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kinsoku/>
        <w:wordWrap/>
        <w:overflowPunct w:val="0"/>
        <w:topLinePunct w:val="0"/>
        <w:autoSpaceDE/>
        <w:autoSpaceDN/>
        <w:bidi w:val="0"/>
        <w:snapToGrid/>
        <w:spacing w:line="600" w:lineRule="exact"/>
        <w:ind w:left="0" w:right="0" w:firstLine="0"/>
        <w:jc w:val="center"/>
        <w:textAlignment w:val="auto"/>
        <w:rPr>
          <w:rFonts w:ascii="黑体" w:hAnsi="黑体" w:eastAsia="黑体" w:cs="黑体"/>
          <w:bCs/>
          <w:color w:val="000000" w:themeColor="text1"/>
          <w:sz w:val="44"/>
          <w:szCs w:val="44"/>
          <w14:textFill>
            <w14:solidFill>
              <w14:schemeClr w14:val="tx1"/>
            </w14:solidFill>
          </w14:textFill>
        </w:rPr>
      </w:pPr>
      <w:r>
        <w:rPr>
          <w:rFonts w:ascii="黑体" w:hAnsi="黑体" w:eastAsia="黑体" w:cs="黑体"/>
          <w:bCs/>
          <w:color w:val="000000" w:themeColor="text1"/>
          <w:sz w:val="44"/>
          <w:szCs w:val="44"/>
          <w:lang w:val="en-US" w:eastAsia="zh-CN"/>
          <w14:textFill>
            <w14:solidFill>
              <w14:schemeClr w14:val="tx1"/>
            </w14:solidFill>
          </w14:textFill>
        </w:rPr>
        <w:t>兴国县金融工作局2021年部</w:t>
      </w:r>
      <w:r>
        <w:rPr>
          <w:rFonts w:ascii="黑体" w:hAnsi="黑体" w:eastAsia="黑体" w:cs="黑体"/>
          <w:bCs/>
          <w:color w:val="000000" w:themeColor="text1"/>
          <w:sz w:val="44"/>
          <w:szCs w:val="44"/>
          <w14:textFill>
            <w14:solidFill>
              <w14:schemeClr w14:val="tx1"/>
            </w14:solidFill>
          </w14:textFill>
        </w:rPr>
        <w:t>门预算</w:t>
      </w:r>
    </w:p>
    <w:p>
      <w:pPr>
        <w:pStyle w:val="6"/>
        <w:keepNext w:val="0"/>
        <w:keepLines w:val="0"/>
        <w:pageBreakBefore w:val="0"/>
        <w:kinsoku/>
        <w:wordWrap/>
        <w:topLinePunct w:val="0"/>
        <w:autoSpaceDE/>
        <w:autoSpaceDN/>
        <w:bidi w:val="0"/>
        <w:spacing w:line="600" w:lineRule="exact"/>
        <w:jc w:val="center"/>
        <w:rPr>
          <w:rFonts w:ascii="黑体" w:hAnsi="黑体" w:eastAsia="黑体" w:cs="黑体"/>
          <w:bCs/>
          <w:color w:val="000000" w:themeColor="text1"/>
          <w:sz w:val="44"/>
          <w:szCs w:val="44"/>
          <w14:textFill>
            <w14:solidFill>
              <w14:schemeClr w14:val="tx1"/>
            </w14:solidFill>
          </w14:textFill>
        </w:rPr>
      </w:pPr>
      <w:r>
        <w:rPr>
          <w:rFonts w:ascii="黑体" w:hAnsi="黑体" w:eastAsia="黑体" w:cs="黑体"/>
          <w:bCs/>
          <w:color w:val="000000" w:themeColor="text1"/>
          <w:sz w:val="44"/>
          <w:szCs w:val="44"/>
          <w14:textFill>
            <w14:solidFill>
              <w14:schemeClr w14:val="tx1"/>
            </w14:solidFill>
          </w14:textFill>
        </w:rPr>
        <w:t>编制说明</w:t>
      </w:r>
    </w:p>
    <w:p>
      <w:pPr>
        <w:jc w:val="center"/>
        <w:rPr>
          <w:rFonts w:hint="eastAsia"/>
          <w:sz w:val="36"/>
          <w:szCs w:val="36"/>
        </w:rPr>
      </w:pPr>
    </w:p>
    <w:p>
      <w:pPr>
        <w:ind w:left="641" w:leftChars="0" w:hanging="641" w:hangingChars="213"/>
        <w:rPr>
          <w:rFonts w:hint="eastAsia" w:ascii="仿宋" w:hAnsi="仿宋" w:eastAsia="仿宋" w:cs="仿宋"/>
          <w:b/>
          <w:bCs/>
          <w:sz w:val="30"/>
          <w:szCs w:val="30"/>
        </w:rPr>
      </w:pPr>
      <w:r>
        <w:rPr>
          <w:rFonts w:hint="eastAsia" w:ascii="仿宋" w:hAnsi="仿宋" w:eastAsia="仿宋" w:cs="仿宋"/>
          <w:b/>
          <w:bCs/>
          <w:sz w:val="30"/>
          <w:szCs w:val="30"/>
        </w:rPr>
        <w:t>第一部分 兴国县</w:t>
      </w:r>
      <w:r>
        <w:rPr>
          <w:rFonts w:hint="eastAsia" w:ascii="仿宋" w:hAnsi="仿宋" w:eastAsia="仿宋" w:cs="仿宋"/>
          <w:b/>
          <w:bCs/>
          <w:sz w:val="30"/>
          <w:szCs w:val="30"/>
          <w:lang w:eastAsia="zh-CN"/>
        </w:rPr>
        <w:t>金融工作局</w:t>
      </w:r>
      <w:r>
        <w:rPr>
          <w:rFonts w:hint="eastAsia" w:ascii="仿宋" w:hAnsi="仿宋" w:eastAsia="仿宋" w:cs="仿宋"/>
          <w:b/>
          <w:bCs/>
          <w:sz w:val="30"/>
          <w:szCs w:val="30"/>
        </w:rPr>
        <w:t>部门概况</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一、部门主要职责</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二、部门基本情况</w:t>
      </w:r>
    </w:p>
    <w:p>
      <w:pPr>
        <w:ind w:left="641" w:leftChars="0" w:hanging="641" w:hangingChars="213"/>
        <w:rPr>
          <w:rFonts w:hint="eastAsia" w:ascii="仿宋" w:hAnsi="仿宋" w:eastAsia="仿宋" w:cs="仿宋"/>
          <w:b/>
          <w:bCs/>
          <w:sz w:val="30"/>
          <w:szCs w:val="30"/>
        </w:rPr>
      </w:pPr>
      <w:r>
        <w:rPr>
          <w:rFonts w:hint="eastAsia" w:ascii="仿宋" w:hAnsi="仿宋" w:eastAsia="仿宋" w:cs="仿宋"/>
          <w:b/>
          <w:bCs/>
          <w:sz w:val="30"/>
          <w:szCs w:val="30"/>
        </w:rPr>
        <w:t>第二部分兴国县</w:t>
      </w:r>
      <w:r>
        <w:rPr>
          <w:rFonts w:hint="eastAsia" w:ascii="仿宋" w:hAnsi="仿宋" w:eastAsia="仿宋" w:cs="仿宋"/>
          <w:b/>
          <w:bCs/>
          <w:sz w:val="30"/>
          <w:szCs w:val="30"/>
          <w:lang w:eastAsia="zh-CN"/>
        </w:rPr>
        <w:t>金融工作局</w:t>
      </w:r>
      <w:r>
        <w:rPr>
          <w:rFonts w:hint="eastAsia" w:ascii="仿宋" w:hAnsi="仿宋" w:eastAsia="仿宋" w:cs="仿宋"/>
          <w:b/>
          <w:bCs/>
          <w:sz w:val="30"/>
          <w:szCs w:val="30"/>
        </w:rPr>
        <w:t>2021年部门预算情况说明</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一、2021年部门预算收支情况说明</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二、2021年“三公”经费预算情况说明</w:t>
      </w:r>
    </w:p>
    <w:p>
      <w:pPr>
        <w:ind w:left="641" w:leftChars="0" w:hanging="641" w:hangingChars="213"/>
        <w:rPr>
          <w:rFonts w:hint="eastAsia" w:ascii="仿宋" w:hAnsi="仿宋" w:eastAsia="仿宋" w:cs="仿宋"/>
          <w:b/>
          <w:bCs/>
          <w:sz w:val="30"/>
          <w:szCs w:val="30"/>
        </w:rPr>
      </w:pPr>
      <w:r>
        <w:rPr>
          <w:rFonts w:hint="eastAsia" w:ascii="仿宋" w:hAnsi="仿宋" w:eastAsia="仿宋" w:cs="仿宋"/>
          <w:b/>
          <w:bCs/>
          <w:sz w:val="30"/>
          <w:szCs w:val="30"/>
        </w:rPr>
        <w:t>第三部分兴国县</w:t>
      </w:r>
      <w:r>
        <w:rPr>
          <w:rFonts w:hint="eastAsia" w:ascii="仿宋" w:hAnsi="仿宋" w:eastAsia="仿宋" w:cs="仿宋"/>
          <w:b/>
          <w:bCs/>
          <w:sz w:val="30"/>
          <w:szCs w:val="30"/>
          <w:lang w:eastAsia="zh-CN"/>
        </w:rPr>
        <w:t>金融工作局</w:t>
      </w:r>
      <w:r>
        <w:rPr>
          <w:rFonts w:hint="eastAsia" w:ascii="仿宋" w:hAnsi="仿宋" w:eastAsia="仿宋" w:cs="仿宋"/>
          <w:b/>
          <w:bCs/>
          <w:sz w:val="30"/>
          <w:szCs w:val="30"/>
        </w:rPr>
        <w:t>2021年部门预算表</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一、《收支预算总表》</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二、《部门收入总表》</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三、《部门支出总表》</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四、《财政拨款收支总表》</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五、《一般公共预算支出表》</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六、《一般公共预算基本支出表》</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七、《“三公”经费支出表》</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八、《政府性基金预算支出表》</w:t>
      </w:r>
    </w:p>
    <w:p>
      <w:pPr>
        <w:ind w:left="634" w:leftChars="284" w:hanging="38" w:hangingChars="12"/>
        <w:rPr>
          <w:rFonts w:ascii="Adobe 仿宋 Std R" w:hAnsi="Adobe 仿宋 Std R" w:eastAsia="Adobe 仿宋 Std R" w:cs="黑体"/>
          <w:kern w:val="2"/>
          <w:sz w:val="32"/>
          <w:szCs w:val="30"/>
        </w:rPr>
      </w:pPr>
      <w:r>
        <w:rPr>
          <w:rFonts w:hint="eastAsia" w:ascii="Adobe 仿宋 Std R" w:hAnsi="Adobe 仿宋 Std R" w:eastAsia="Adobe 仿宋 Std R" w:cs="黑体"/>
          <w:kern w:val="2"/>
          <w:sz w:val="32"/>
          <w:szCs w:val="30"/>
          <w:lang w:val="en-US" w:eastAsia="zh-CN"/>
        </w:rPr>
        <w:t>九</w:t>
      </w:r>
      <w:r>
        <w:rPr>
          <w:rFonts w:hint="eastAsia" w:ascii="Adobe 仿宋 Std R" w:hAnsi="Adobe 仿宋 Std R" w:eastAsia="Adobe 仿宋 Std R" w:cs="黑体"/>
          <w:kern w:val="2"/>
          <w:sz w:val="32"/>
          <w:szCs w:val="30"/>
        </w:rPr>
        <w:t>、</w:t>
      </w:r>
      <w:r>
        <w:rPr>
          <w:rFonts w:ascii="Adobe 仿宋 Std R" w:hAnsi="Adobe 仿宋 Std R" w:eastAsia="Adobe 仿宋 Std R" w:cs="黑体"/>
          <w:kern w:val="2"/>
          <w:sz w:val="32"/>
          <w:szCs w:val="30"/>
        </w:rPr>
        <w:t>《</w:t>
      </w:r>
      <w:r>
        <w:rPr>
          <w:rFonts w:hint="eastAsia" w:ascii="Adobe 仿宋 Std R" w:hAnsi="Adobe 仿宋 Std R" w:eastAsia="Adobe 仿宋 Std R" w:cs="黑体"/>
          <w:kern w:val="2"/>
          <w:sz w:val="32"/>
          <w:szCs w:val="30"/>
        </w:rPr>
        <w:t>部门整体支出绩效目标表</w:t>
      </w:r>
      <w:r>
        <w:rPr>
          <w:rFonts w:ascii="Adobe 仿宋 Std R" w:hAnsi="Adobe 仿宋 Std R" w:eastAsia="Adobe 仿宋 Std R" w:cs="黑体"/>
          <w:kern w:val="2"/>
          <w:sz w:val="32"/>
          <w:szCs w:val="30"/>
        </w:rPr>
        <w:t>》</w:t>
      </w:r>
    </w:p>
    <w:p>
      <w:pPr>
        <w:pStyle w:val="7"/>
        <w:keepNext w:val="0"/>
        <w:keepLines w:val="0"/>
        <w:pageBreakBefore w:val="0"/>
        <w:widowControl/>
        <w:tabs>
          <w:tab w:val="left" w:pos="6546"/>
        </w:tabs>
        <w:kinsoku/>
        <w:wordWrap/>
        <w:overflowPunct/>
        <w:topLinePunct w:val="0"/>
        <w:autoSpaceDE/>
        <w:autoSpaceDN/>
        <w:bidi w:val="0"/>
        <w:adjustRightInd/>
        <w:snapToGrid/>
        <w:spacing w:line="560" w:lineRule="atLeast"/>
        <w:ind w:right="0" w:rightChars="0" w:firstLine="640" w:firstLineChars="200"/>
        <w:jc w:val="left"/>
        <w:textAlignment w:val="auto"/>
        <w:outlineLvl w:val="9"/>
        <w:rPr>
          <w:rFonts w:ascii="Adobe 仿宋 Std R" w:hAnsi="Adobe 仿宋 Std R" w:eastAsia="Adobe 仿宋 Std R" w:cs="黑体"/>
          <w:kern w:val="2"/>
          <w:sz w:val="32"/>
          <w:szCs w:val="30"/>
        </w:rPr>
      </w:pPr>
      <w:r>
        <w:rPr>
          <w:rFonts w:hint="eastAsia" w:ascii="Adobe 仿宋 Std R" w:hAnsi="Adobe 仿宋 Std R" w:eastAsia="Adobe 仿宋 Std R" w:cs="黑体"/>
          <w:kern w:val="2"/>
          <w:sz w:val="32"/>
          <w:szCs w:val="30"/>
        </w:rPr>
        <w:t>十、</w:t>
      </w:r>
      <w:r>
        <w:rPr>
          <w:rFonts w:ascii="Adobe 仿宋 Std R" w:hAnsi="Adobe 仿宋 Std R" w:eastAsia="Adobe 仿宋 Std R" w:cs="黑体"/>
          <w:kern w:val="2"/>
          <w:sz w:val="32"/>
          <w:szCs w:val="30"/>
        </w:rPr>
        <w:t>《</w:t>
      </w:r>
      <w:r>
        <w:rPr>
          <w:rFonts w:hint="eastAsia" w:ascii="Adobe 仿宋 Std R" w:hAnsi="Adobe 仿宋 Std R" w:eastAsia="Adobe 仿宋 Std R" w:cs="黑体"/>
          <w:kern w:val="2"/>
          <w:sz w:val="32"/>
          <w:szCs w:val="30"/>
        </w:rPr>
        <w:t>重点项目绩效目标表</w:t>
      </w:r>
      <w:r>
        <w:rPr>
          <w:rFonts w:ascii="Adobe 仿宋 Std R" w:hAnsi="Adobe 仿宋 Std R" w:eastAsia="Adobe 仿宋 Std R" w:cs="黑体"/>
          <w:kern w:val="2"/>
          <w:sz w:val="32"/>
          <w:szCs w:val="30"/>
        </w:rPr>
        <w:t>》</w:t>
      </w:r>
    </w:p>
    <w:p>
      <w:pPr>
        <w:ind w:left="632" w:leftChars="284" w:hanging="36" w:hangingChars="12"/>
        <w:rPr>
          <w:rFonts w:hint="eastAsia" w:ascii="仿宋" w:hAnsi="仿宋" w:eastAsia="仿宋" w:cs="仿宋"/>
          <w:sz w:val="30"/>
          <w:szCs w:val="30"/>
        </w:rPr>
      </w:pPr>
    </w:p>
    <w:p>
      <w:pPr>
        <w:ind w:left="10" w:leftChars="5" w:firstLine="584" w:firstLineChars="194"/>
        <w:rPr>
          <w:rFonts w:hint="eastAsia" w:ascii="仿宋" w:hAnsi="仿宋" w:eastAsia="仿宋" w:cs="仿宋"/>
          <w:b/>
          <w:bCs/>
          <w:sz w:val="30"/>
          <w:szCs w:val="30"/>
        </w:rPr>
      </w:pPr>
      <w:r>
        <w:rPr>
          <w:rFonts w:hint="eastAsia" w:ascii="仿宋" w:hAnsi="仿宋" w:eastAsia="仿宋" w:cs="仿宋"/>
          <w:b/>
          <w:bCs/>
          <w:sz w:val="30"/>
          <w:szCs w:val="30"/>
        </w:rPr>
        <w:t>第四部分 名词解释</w:t>
      </w:r>
    </w:p>
    <w:p>
      <w:pPr>
        <w:ind w:left="10" w:leftChars="5" w:firstLine="584" w:firstLineChars="194"/>
        <w:rPr>
          <w:rFonts w:hint="eastAsia" w:ascii="仿宋" w:hAnsi="仿宋" w:eastAsia="仿宋" w:cs="仿宋"/>
          <w:b/>
          <w:bCs/>
          <w:sz w:val="30"/>
          <w:szCs w:val="30"/>
        </w:rPr>
      </w:pPr>
    </w:p>
    <w:p>
      <w:pPr>
        <w:jc w:val="center"/>
        <w:rPr>
          <w:rFonts w:hint="eastAsia" w:ascii="仿宋" w:hAnsi="仿宋" w:eastAsia="仿宋" w:cs="仿宋"/>
          <w:b/>
          <w:bCs/>
          <w:sz w:val="30"/>
          <w:szCs w:val="30"/>
        </w:rPr>
      </w:pPr>
    </w:p>
    <w:p>
      <w:pPr>
        <w:jc w:val="center"/>
        <w:rPr>
          <w:rFonts w:hint="eastAsia" w:ascii="仿宋" w:hAnsi="仿宋" w:eastAsia="仿宋" w:cs="仿宋"/>
          <w:b/>
          <w:bCs/>
          <w:sz w:val="30"/>
          <w:szCs w:val="30"/>
        </w:rPr>
      </w:pPr>
      <w:r>
        <w:rPr>
          <w:rFonts w:hint="eastAsia" w:ascii="仿宋" w:hAnsi="仿宋" w:eastAsia="仿宋" w:cs="仿宋"/>
          <w:b/>
          <w:bCs/>
          <w:sz w:val="30"/>
          <w:szCs w:val="30"/>
        </w:rPr>
        <w:t>第一部分兴国县</w:t>
      </w:r>
      <w:r>
        <w:rPr>
          <w:rFonts w:hint="eastAsia" w:ascii="仿宋" w:hAnsi="仿宋" w:eastAsia="仿宋" w:cs="仿宋"/>
          <w:b/>
          <w:bCs/>
          <w:sz w:val="30"/>
          <w:szCs w:val="30"/>
          <w:lang w:eastAsia="zh-CN"/>
        </w:rPr>
        <w:t>金融工作局</w:t>
      </w:r>
      <w:r>
        <w:rPr>
          <w:rFonts w:hint="eastAsia" w:ascii="仿宋" w:hAnsi="仿宋" w:eastAsia="仿宋" w:cs="仿宋"/>
          <w:b/>
          <w:bCs/>
          <w:sz w:val="30"/>
          <w:szCs w:val="30"/>
        </w:rPr>
        <w:t>部门概况</w:t>
      </w:r>
    </w:p>
    <w:p>
      <w:pPr>
        <w:jc w:val="center"/>
        <w:rPr>
          <w:rFonts w:hint="eastAsia" w:ascii="仿宋" w:hAnsi="仿宋" w:eastAsia="仿宋" w:cs="仿宋"/>
          <w:b/>
          <w:bCs/>
          <w:sz w:val="30"/>
          <w:szCs w:val="30"/>
        </w:rPr>
      </w:pPr>
    </w:p>
    <w:p>
      <w:pPr>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一、部门主要职责</w:t>
      </w:r>
    </w:p>
    <w:p>
      <w:pPr>
        <w:ind w:firstLine="640" w:firstLineChars="200"/>
        <w:rPr>
          <w:rFonts w:hint="eastAsia" w:ascii="仿宋_GB2312" w:eastAsia="仿宋_GB2312" w:cs="仿宋_GB2312"/>
          <w:i w:val="0"/>
          <w:color w:val="000000"/>
          <w:kern w:val="0"/>
          <w:sz w:val="32"/>
          <w:szCs w:val="32"/>
          <w:u w:val="none"/>
        </w:rPr>
      </w:pPr>
      <w:r>
        <w:rPr>
          <w:rFonts w:hint="eastAsia" w:ascii="仿宋_GB2312" w:eastAsia="仿宋_GB2312" w:cs="仿宋_GB2312"/>
          <w:i w:val="0"/>
          <w:color w:val="000000"/>
          <w:kern w:val="0"/>
          <w:sz w:val="32"/>
          <w:szCs w:val="32"/>
          <w:u w:val="none"/>
        </w:rPr>
        <w:t>兴国县金融工作局，为县人民政府直属正科级全额拨款事业单位。</w:t>
      </w:r>
    </w:p>
    <w:p>
      <w:pPr>
        <w:ind w:firstLine="640" w:firstLineChars="200"/>
        <w:rPr>
          <w:rFonts w:hint="eastAsia" w:ascii="仿宋_GB2312" w:eastAsia="仿宋_GB2312" w:cs="仿宋_GB2312"/>
          <w:i w:val="0"/>
          <w:color w:val="000000"/>
          <w:kern w:val="0"/>
          <w:sz w:val="32"/>
          <w:szCs w:val="32"/>
          <w:u w:val="none"/>
          <w:shd w:val="clear" w:fill="FFFFFF"/>
        </w:rPr>
      </w:pPr>
      <w:r>
        <w:rPr>
          <w:rFonts w:hint="eastAsia" w:ascii="仿宋_GB2312" w:eastAsia="仿宋_GB2312" w:cs="仿宋_GB2312"/>
          <w:i w:val="0"/>
          <w:color w:val="000000"/>
          <w:kern w:val="0"/>
          <w:sz w:val="32"/>
          <w:szCs w:val="32"/>
          <w:u w:val="none"/>
        </w:rPr>
        <w:t>主要职责是：</w:t>
      </w:r>
      <w:r>
        <w:rPr>
          <w:rFonts w:hint="eastAsia" w:ascii="仿宋_GB2312" w:eastAsia="仿宋_GB2312" w:cs="仿宋_GB2312"/>
          <w:i w:val="0"/>
          <w:color w:val="000000"/>
          <w:kern w:val="0"/>
          <w:sz w:val="32"/>
          <w:szCs w:val="32"/>
          <w:u w:val="none"/>
          <w:shd w:val="clear" w:fill="FFFFFF"/>
          <w:lang w:val="en-US" w:eastAsia="zh-CN"/>
        </w:rPr>
        <w:t>1、</w:t>
      </w:r>
      <w:r>
        <w:rPr>
          <w:rFonts w:hint="eastAsia" w:ascii="仿宋_GB2312" w:eastAsia="仿宋_GB2312" w:cs="仿宋_GB2312"/>
          <w:i w:val="0"/>
          <w:color w:val="000000"/>
          <w:kern w:val="0"/>
          <w:sz w:val="32"/>
          <w:szCs w:val="32"/>
          <w:u w:val="none"/>
          <w:shd w:val="clear" w:fill="FFFFFF"/>
        </w:rPr>
        <w:t>拟定我县落实国家金融政策的实施意见，督促驻县金融机构落实好国家、省、市和县委、县政府的决策部署，协调和支持各金融机构创新业务，加大对地方经济和社会发展的支持</w:t>
      </w:r>
      <w:r>
        <w:rPr>
          <w:rFonts w:hint="eastAsia" w:ascii="仿宋_GB2312" w:eastAsia="仿宋_GB2312" w:cs="仿宋_GB2312"/>
          <w:i w:val="0"/>
          <w:color w:val="000000"/>
          <w:kern w:val="0"/>
          <w:sz w:val="32"/>
          <w:szCs w:val="32"/>
          <w:u w:val="none"/>
          <w:shd w:val="clear" w:fill="FFFFFF"/>
          <w:lang w:eastAsia="zh-CN"/>
        </w:rPr>
        <w:t>；</w:t>
      </w:r>
      <w:r>
        <w:rPr>
          <w:rFonts w:hint="eastAsia" w:ascii="仿宋_GB2312" w:eastAsia="仿宋_GB2312" w:cs="仿宋_GB2312"/>
          <w:i w:val="0"/>
          <w:color w:val="000000"/>
          <w:kern w:val="0"/>
          <w:sz w:val="32"/>
          <w:szCs w:val="32"/>
          <w:u w:val="none"/>
          <w:shd w:val="clear" w:fill="FFFFFF"/>
          <w:lang w:val="en-US" w:eastAsia="zh-CN"/>
        </w:rPr>
        <w:t>2、</w:t>
      </w:r>
      <w:r>
        <w:rPr>
          <w:rFonts w:hint="eastAsia" w:ascii="仿宋_GB2312" w:eastAsia="仿宋_GB2312" w:cs="仿宋_GB2312"/>
          <w:i w:val="0"/>
          <w:color w:val="000000"/>
          <w:kern w:val="0"/>
          <w:sz w:val="32"/>
          <w:szCs w:val="32"/>
          <w:u w:val="none"/>
          <w:shd w:val="clear" w:fill="FFFFFF"/>
        </w:rPr>
        <w:t>研究拟订全县金融发展中长期规划和工作计划；研究分析经济金融形势，提出优化金融环境、改善金融服务、促进我县金融业发展的政策建议</w:t>
      </w:r>
      <w:r>
        <w:rPr>
          <w:rFonts w:hint="eastAsia" w:ascii="仿宋_GB2312" w:eastAsia="仿宋_GB2312" w:cs="仿宋_GB2312"/>
          <w:i w:val="0"/>
          <w:color w:val="000000"/>
          <w:kern w:val="0"/>
          <w:sz w:val="32"/>
          <w:szCs w:val="32"/>
          <w:u w:val="none"/>
          <w:shd w:val="clear" w:fill="FFFFFF"/>
          <w:lang w:eastAsia="zh-CN"/>
        </w:rPr>
        <w:t>；</w:t>
      </w:r>
      <w:r>
        <w:rPr>
          <w:rFonts w:hint="eastAsia" w:ascii="仿宋_GB2312" w:eastAsia="仿宋_GB2312" w:cs="仿宋_GB2312"/>
          <w:i w:val="0"/>
          <w:color w:val="000000"/>
          <w:kern w:val="0"/>
          <w:sz w:val="32"/>
          <w:szCs w:val="32"/>
          <w:u w:val="none"/>
          <w:shd w:val="clear" w:fill="FFFFFF"/>
          <w:lang w:val="en-US" w:eastAsia="zh-CN"/>
        </w:rPr>
        <w:t>3、</w:t>
      </w:r>
      <w:r>
        <w:rPr>
          <w:rFonts w:hint="eastAsia" w:ascii="仿宋_GB2312" w:eastAsia="仿宋_GB2312" w:cs="仿宋_GB2312"/>
          <w:i w:val="0"/>
          <w:color w:val="000000"/>
          <w:kern w:val="0"/>
          <w:sz w:val="32"/>
          <w:szCs w:val="32"/>
          <w:u w:val="none"/>
          <w:shd w:val="clear" w:fill="FFFFFF"/>
        </w:rPr>
        <w:t>负责全县企业上市工作，指导和推动拟上市公司资产重组及融资；协助做好证券期货机构和上市公司规范发展工作</w:t>
      </w:r>
      <w:r>
        <w:rPr>
          <w:rFonts w:hint="eastAsia" w:ascii="仿宋_GB2312" w:eastAsia="仿宋_GB2312" w:cs="仿宋_GB2312"/>
          <w:i w:val="0"/>
          <w:color w:val="000000"/>
          <w:kern w:val="0"/>
          <w:sz w:val="32"/>
          <w:szCs w:val="32"/>
          <w:u w:val="none"/>
          <w:shd w:val="clear" w:fill="FFFFFF"/>
          <w:lang w:eastAsia="zh-CN"/>
        </w:rPr>
        <w:t>；</w:t>
      </w:r>
      <w:r>
        <w:rPr>
          <w:rFonts w:hint="eastAsia" w:ascii="仿宋_GB2312" w:eastAsia="仿宋_GB2312" w:cs="仿宋_GB2312"/>
          <w:i w:val="0"/>
          <w:color w:val="000000"/>
          <w:kern w:val="0"/>
          <w:sz w:val="32"/>
          <w:szCs w:val="32"/>
          <w:u w:val="none"/>
          <w:shd w:val="clear" w:fill="FFFFFF"/>
          <w:lang w:val="en-US" w:eastAsia="zh-CN"/>
        </w:rPr>
        <w:t>4、</w:t>
      </w:r>
      <w:r>
        <w:rPr>
          <w:rFonts w:hint="eastAsia" w:ascii="仿宋_GB2312" w:eastAsia="仿宋_GB2312" w:cs="仿宋_GB2312"/>
          <w:i w:val="0"/>
          <w:color w:val="000000"/>
          <w:kern w:val="0"/>
          <w:sz w:val="32"/>
          <w:szCs w:val="32"/>
          <w:u w:val="none"/>
          <w:shd w:val="clear" w:fill="FFFFFF"/>
        </w:rPr>
        <w:t>承担对地方金融机构的相关业务管理工作，参与对地方金融机构及其高管人员的业绩考核。对县属金融企业高管人员的提名、任免提出意见</w:t>
      </w:r>
      <w:r>
        <w:rPr>
          <w:rFonts w:hint="eastAsia" w:ascii="仿宋_GB2312" w:eastAsia="仿宋_GB2312" w:cs="仿宋_GB2312"/>
          <w:i w:val="0"/>
          <w:color w:val="000000"/>
          <w:kern w:val="0"/>
          <w:sz w:val="32"/>
          <w:szCs w:val="32"/>
          <w:u w:val="none"/>
          <w:shd w:val="clear" w:fill="FFFFFF"/>
          <w:lang w:eastAsia="zh-CN"/>
        </w:rPr>
        <w:t>；</w:t>
      </w:r>
      <w:r>
        <w:rPr>
          <w:rFonts w:hint="eastAsia" w:ascii="仿宋_GB2312" w:eastAsia="仿宋_GB2312" w:cs="仿宋_GB2312"/>
          <w:i w:val="0"/>
          <w:color w:val="000000"/>
          <w:kern w:val="0"/>
          <w:sz w:val="32"/>
          <w:szCs w:val="32"/>
          <w:u w:val="none"/>
          <w:shd w:val="clear" w:fill="FFFFFF"/>
          <w:lang w:val="en-US" w:eastAsia="zh-CN"/>
        </w:rPr>
        <w:t>5、</w:t>
      </w:r>
      <w:r>
        <w:rPr>
          <w:rFonts w:hint="eastAsia" w:ascii="仿宋_GB2312" w:eastAsia="仿宋_GB2312" w:cs="仿宋_GB2312"/>
          <w:i w:val="0"/>
          <w:color w:val="000000"/>
          <w:kern w:val="0"/>
          <w:sz w:val="32"/>
          <w:szCs w:val="32"/>
          <w:u w:val="none"/>
          <w:shd w:val="clear" w:fill="FFFFFF"/>
        </w:rPr>
        <w:t>指导负责辖区内小额贷款</w:t>
      </w:r>
      <w:r>
        <w:rPr>
          <w:rFonts w:hint="eastAsia" w:ascii="仿宋_GB2312" w:eastAsia="仿宋_GB2312" w:cs="仿宋_GB2312"/>
          <w:i w:val="0"/>
          <w:color w:val="000000"/>
          <w:kern w:val="0"/>
          <w:sz w:val="32"/>
          <w:szCs w:val="32"/>
          <w:u w:val="none"/>
          <w:shd w:val="clear" w:fill="FFFFFF"/>
          <w:lang w:eastAsia="zh-CN"/>
        </w:rPr>
        <w:t>、担保公司</w:t>
      </w:r>
      <w:r>
        <w:rPr>
          <w:rFonts w:hint="eastAsia" w:ascii="仿宋_GB2312" w:eastAsia="仿宋_GB2312" w:cs="仿宋_GB2312"/>
          <w:i w:val="0"/>
          <w:color w:val="000000"/>
          <w:kern w:val="0"/>
          <w:sz w:val="32"/>
          <w:szCs w:val="32"/>
          <w:u w:val="none"/>
          <w:shd w:val="clear" w:fill="FFFFFF"/>
        </w:rPr>
        <w:t>日常监管工作</w:t>
      </w:r>
      <w:r>
        <w:rPr>
          <w:rFonts w:hint="eastAsia" w:ascii="仿宋_GB2312" w:eastAsia="仿宋_GB2312" w:cs="仿宋_GB2312"/>
          <w:i w:val="0"/>
          <w:color w:val="000000"/>
          <w:kern w:val="0"/>
          <w:sz w:val="32"/>
          <w:szCs w:val="32"/>
          <w:u w:val="none"/>
          <w:shd w:val="clear" w:fill="FFFFFF"/>
          <w:lang w:eastAsia="zh-CN"/>
        </w:rPr>
        <w:t>；</w:t>
      </w:r>
      <w:r>
        <w:rPr>
          <w:rFonts w:hint="eastAsia" w:ascii="仿宋_GB2312" w:eastAsia="仿宋_GB2312" w:cs="仿宋_GB2312"/>
          <w:i w:val="0"/>
          <w:color w:val="000000"/>
          <w:kern w:val="0"/>
          <w:sz w:val="32"/>
          <w:szCs w:val="32"/>
          <w:u w:val="none"/>
          <w:shd w:val="clear" w:fill="FFFFFF"/>
          <w:lang w:val="en-US" w:eastAsia="zh-CN"/>
        </w:rPr>
        <w:t>6、</w:t>
      </w:r>
      <w:r>
        <w:rPr>
          <w:rFonts w:hint="eastAsia" w:ascii="仿宋_GB2312" w:eastAsia="仿宋_GB2312" w:cs="仿宋_GB2312"/>
          <w:i w:val="0"/>
          <w:color w:val="000000"/>
          <w:kern w:val="0"/>
          <w:sz w:val="32"/>
          <w:szCs w:val="32"/>
          <w:u w:val="none"/>
          <w:shd w:val="clear" w:fill="FFFFFF"/>
        </w:rPr>
        <w:t>助金融监管机构对地方金融机构及金融行业自律组织的监管；负责组织实施县政府对地方金融机构和地方金融中介组织的管理；负责与驻县金融机构的联系</w:t>
      </w:r>
      <w:r>
        <w:rPr>
          <w:rFonts w:hint="eastAsia" w:ascii="仿宋_GB2312" w:eastAsia="仿宋_GB2312" w:cs="仿宋_GB2312"/>
          <w:i w:val="0"/>
          <w:color w:val="000000"/>
          <w:kern w:val="0"/>
          <w:sz w:val="32"/>
          <w:szCs w:val="32"/>
          <w:u w:val="none"/>
          <w:shd w:val="clear" w:fill="FFFFFF"/>
          <w:lang w:eastAsia="zh-CN"/>
        </w:rPr>
        <w:t>；</w:t>
      </w:r>
      <w:r>
        <w:rPr>
          <w:rFonts w:hint="eastAsia" w:ascii="仿宋_GB2312" w:eastAsia="仿宋_GB2312" w:cs="仿宋_GB2312"/>
          <w:i w:val="0"/>
          <w:color w:val="000000"/>
          <w:kern w:val="0"/>
          <w:sz w:val="32"/>
          <w:szCs w:val="32"/>
          <w:u w:val="none"/>
          <w:shd w:val="clear" w:fill="FFFFFF"/>
          <w:lang w:val="en-US" w:eastAsia="zh-CN"/>
        </w:rPr>
        <w:t>7、</w:t>
      </w:r>
      <w:r>
        <w:rPr>
          <w:rFonts w:hint="eastAsia" w:ascii="仿宋_GB2312" w:eastAsia="仿宋_GB2312" w:cs="仿宋_GB2312"/>
          <w:i w:val="0"/>
          <w:color w:val="000000"/>
          <w:kern w:val="0"/>
          <w:sz w:val="32"/>
          <w:szCs w:val="32"/>
          <w:u w:val="none"/>
          <w:shd w:val="clear" w:fill="FFFFFF"/>
        </w:rPr>
        <w:t>协助推进地方金融机构的政策重组；指导和推进金融市场体系建设；指导和推进农村金融政策和发展</w:t>
      </w:r>
      <w:r>
        <w:rPr>
          <w:rFonts w:hint="eastAsia" w:ascii="仿宋_GB2312" w:eastAsia="仿宋_GB2312" w:cs="仿宋_GB2312"/>
          <w:i w:val="0"/>
          <w:color w:val="000000"/>
          <w:kern w:val="0"/>
          <w:sz w:val="32"/>
          <w:szCs w:val="32"/>
          <w:u w:val="none"/>
          <w:shd w:val="clear" w:fill="FFFFFF"/>
          <w:lang w:eastAsia="zh-CN"/>
        </w:rPr>
        <w:t>；</w:t>
      </w:r>
      <w:r>
        <w:rPr>
          <w:rFonts w:hint="eastAsia" w:ascii="仿宋_GB2312" w:eastAsia="仿宋_GB2312" w:cs="仿宋_GB2312"/>
          <w:i w:val="0"/>
          <w:color w:val="000000"/>
          <w:kern w:val="0"/>
          <w:sz w:val="32"/>
          <w:szCs w:val="32"/>
          <w:u w:val="none"/>
          <w:shd w:val="clear" w:fill="FFFFFF"/>
          <w:lang w:val="en-US" w:eastAsia="zh-CN"/>
        </w:rPr>
        <w:t>8、</w:t>
      </w:r>
      <w:r>
        <w:rPr>
          <w:rFonts w:hint="eastAsia" w:ascii="仿宋_GB2312" w:eastAsia="仿宋_GB2312" w:cs="仿宋_GB2312"/>
          <w:i w:val="0"/>
          <w:color w:val="000000"/>
          <w:kern w:val="0"/>
          <w:sz w:val="32"/>
          <w:szCs w:val="32"/>
          <w:u w:val="none"/>
          <w:shd w:val="clear" w:fill="FFFFFF"/>
        </w:rPr>
        <w:t>配合协助省、市政府金融办对驻县省、市属金融企业进行监管</w:t>
      </w:r>
      <w:r>
        <w:rPr>
          <w:rFonts w:hint="eastAsia" w:ascii="仿宋_GB2312" w:eastAsia="仿宋_GB2312" w:cs="仿宋_GB2312"/>
          <w:i w:val="0"/>
          <w:color w:val="000000"/>
          <w:kern w:val="0"/>
          <w:sz w:val="32"/>
          <w:szCs w:val="32"/>
          <w:u w:val="none"/>
          <w:shd w:val="clear" w:fill="FFFFFF"/>
          <w:lang w:eastAsia="zh-CN"/>
        </w:rPr>
        <w:t>；</w:t>
      </w:r>
      <w:r>
        <w:rPr>
          <w:rFonts w:hint="eastAsia" w:ascii="仿宋_GB2312" w:eastAsia="仿宋_GB2312" w:cs="仿宋_GB2312"/>
          <w:i w:val="0"/>
          <w:color w:val="000000"/>
          <w:kern w:val="0"/>
          <w:sz w:val="32"/>
          <w:szCs w:val="32"/>
          <w:u w:val="none"/>
          <w:shd w:val="clear" w:fill="FFFFFF"/>
          <w:lang w:val="en-US" w:eastAsia="zh-CN"/>
        </w:rPr>
        <w:t>9、</w:t>
      </w:r>
      <w:r>
        <w:rPr>
          <w:rFonts w:hint="eastAsia" w:ascii="仿宋_GB2312" w:eastAsia="仿宋_GB2312" w:cs="仿宋_GB2312"/>
          <w:i w:val="0"/>
          <w:color w:val="000000"/>
          <w:kern w:val="0"/>
          <w:sz w:val="32"/>
          <w:szCs w:val="32"/>
          <w:u w:val="none"/>
          <w:shd w:val="clear" w:fill="FFFFFF"/>
        </w:rPr>
        <w:t>合有关部门整顿和规范金融秩序、查处非法金融机构和非法金融活动，防范和化解金融风险</w:t>
      </w:r>
      <w:r>
        <w:rPr>
          <w:rFonts w:hint="eastAsia" w:ascii="仿宋_GB2312" w:eastAsia="仿宋_GB2312" w:cs="仿宋_GB2312"/>
          <w:i w:val="0"/>
          <w:color w:val="000000"/>
          <w:kern w:val="0"/>
          <w:sz w:val="32"/>
          <w:szCs w:val="32"/>
          <w:u w:val="none"/>
          <w:shd w:val="clear" w:fill="FFFFFF"/>
          <w:lang w:eastAsia="zh-CN"/>
        </w:rPr>
        <w:t>；</w:t>
      </w:r>
      <w:r>
        <w:rPr>
          <w:rFonts w:hint="eastAsia" w:ascii="仿宋_GB2312" w:eastAsia="仿宋_GB2312" w:cs="仿宋_GB2312"/>
          <w:i w:val="0"/>
          <w:color w:val="000000"/>
          <w:kern w:val="0"/>
          <w:sz w:val="32"/>
          <w:szCs w:val="32"/>
          <w:u w:val="none"/>
          <w:shd w:val="clear" w:fill="FFFFFF"/>
          <w:lang w:val="en-US" w:eastAsia="zh-CN"/>
        </w:rPr>
        <w:t>10、</w:t>
      </w:r>
      <w:r>
        <w:rPr>
          <w:rFonts w:hint="eastAsia" w:ascii="仿宋_GB2312" w:eastAsia="仿宋_GB2312" w:cs="仿宋_GB2312"/>
          <w:i w:val="0"/>
          <w:color w:val="000000"/>
          <w:kern w:val="0"/>
          <w:sz w:val="32"/>
          <w:szCs w:val="32"/>
          <w:u w:val="none"/>
          <w:shd w:val="clear" w:fill="FFFFFF"/>
        </w:rPr>
        <w:t>承办县委、县政府交办的其它事项。</w:t>
      </w:r>
    </w:p>
    <w:p>
      <w:pPr>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二、部门基本情况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 w:hAnsi="仿宋" w:eastAsia="仿宋" w:cs="仿宋"/>
          <w:color w:val="000000"/>
          <w:sz w:val="32"/>
          <w:szCs w:val="32"/>
          <w:lang w:eastAsia="zh-CN"/>
        </w:rPr>
        <w:t>金融工作</w:t>
      </w:r>
      <w:r>
        <w:rPr>
          <w:rFonts w:hint="eastAsia" w:ascii="仿宋" w:hAnsi="仿宋" w:eastAsia="仿宋" w:cs="仿宋"/>
          <w:color w:val="000000"/>
          <w:sz w:val="32"/>
          <w:szCs w:val="32"/>
        </w:rPr>
        <w:t>局编制数</w:t>
      </w:r>
      <w:r>
        <w:rPr>
          <w:rFonts w:hint="eastAsia" w:ascii="仿宋" w:hAnsi="仿宋" w:eastAsia="仿宋" w:cs="仿宋"/>
          <w:color w:val="000000"/>
          <w:sz w:val="32"/>
          <w:szCs w:val="32"/>
          <w:lang w:eastAsia="zh-CN"/>
        </w:rPr>
        <w:t>共有</w:t>
      </w:r>
      <w:r>
        <w:rPr>
          <w:rFonts w:hint="eastAsia" w:ascii="仿宋" w:hAnsi="仿宋" w:eastAsia="仿宋" w:cs="仿宋"/>
          <w:color w:val="000000"/>
          <w:sz w:val="32"/>
          <w:szCs w:val="32"/>
          <w:lang w:val="en-US" w:eastAsia="zh-CN"/>
        </w:rPr>
        <w:t>5</w:t>
      </w:r>
      <w:r>
        <w:rPr>
          <w:rFonts w:hint="eastAsia" w:ascii="仿宋" w:hAnsi="仿宋" w:eastAsia="仿宋" w:cs="仿宋"/>
          <w:color w:val="000000"/>
          <w:sz w:val="32"/>
          <w:szCs w:val="32"/>
        </w:rPr>
        <w:t>人，</w:t>
      </w:r>
      <w:r>
        <w:rPr>
          <w:rFonts w:hint="eastAsia" w:ascii="仿宋" w:hAnsi="仿宋" w:eastAsia="仿宋" w:cs="仿宋"/>
          <w:color w:val="000000"/>
          <w:sz w:val="32"/>
          <w:szCs w:val="32"/>
          <w:lang w:eastAsia="zh-CN"/>
        </w:rPr>
        <w:t>均属于财政</w:t>
      </w:r>
      <w:r>
        <w:rPr>
          <w:rFonts w:hint="eastAsia" w:ascii="仿宋" w:hAnsi="仿宋" w:eastAsia="仿宋" w:cs="仿宋"/>
          <w:color w:val="000000"/>
          <w:sz w:val="32"/>
          <w:szCs w:val="32"/>
        </w:rPr>
        <w:t>全额事业编制其中：在职人数</w:t>
      </w:r>
      <w:r>
        <w:rPr>
          <w:rFonts w:hint="eastAsia" w:ascii="仿宋" w:hAnsi="仿宋" w:eastAsia="仿宋" w:cs="仿宋"/>
          <w:color w:val="000000"/>
          <w:sz w:val="32"/>
          <w:szCs w:val="32"/>
          <w:lang w:val="en-US" w:eastAsia="zh-CN"/>
        </w:rPr>
        <w:t>5</w:t>
      </w:r>
      <w:r>
        <w:rPr>
          <w:rFonts w:hint="eastAsia" w:ascii="仿宋" w:hAnsi="仿宋" w:eastAsia="仿宋" w:cs="仿宋"/>
          <w:color w:val="000000"/>
          <w:sz w:val="32"/>
          <w:szCs w:val="32"/>
        </w:rPr>
        <w:t>人</w:t>
      </w:r>
      <w:r>
        <w:rPr>
          <w:rFonts w:hint="eastAsia" w:ascii="仿宋" w:hAnsi="仿宋" w:eastAsia="仿宋" w:cs="仿宋"/>
          <w:color w:val="000000"/>
          <w:sz w:val="32"/>
          <w:szCs w:val="32"/>
          <w:lang w:eastAsia="zh-CN"/>
        </w:rPr>
        <w:t>，</w:t>
      </w:r>
      <w:r>
        <w:rPr>
          <w:rFonts w:hint="eastAsia" w:ascii="仿宋" w:hAnsi="仿宋" w:eastAsia="仿宋"/>
          <w:sz w:val="32"/>
          <w:szCs w:val="32"/>
        </w:rPr>
        <w:t>包括全部补助事业人员</w:t>
      </w:r>
      <w:r>
        <w:rPr>
          <w:rFonts w:hint="eastAsia" w:ascii="仿宋" w:hAnsi="仿宋" w:eastAsia="仿宋"/>
          <w:sz w:val="32"/>
          <w:szCs w:val="32"/>
          <w:lang w:val="en-US" w:eastAsia="zh-CN"/>
        </w:rPr>
        <w:t>5</w:t>
      </w:r>
      <w:r>
        <w:rPr>
          <w:rFonts w:hint="eastAsia" w:ascii="仿宋" w:hAnsi="仿宋" w:eastAsia="仿宋"/>
          <w:sz w:val="32"/>
          <w:szCs w:val="32"/>
        </w:rPr>
        <w:t>人</w:t>
      </w:r>
      <w:r>
        <w:rPr>
          <w:rFonts w:hint="eastAsia" w:ascii="仿宋" w:hAnsi="仿宋" w:eastAsia="仿宋" w:cs="仿宋"/>
          <w:color w:val="000000"/>
          <w:sz w:val="32"/>
          <w:szCs w:val="32"/>
        </w:rPr>
        <w:t>。</w:t>
      </w:r>
      <w:r>
        <w:rPr>
          <w:rFonts w:hint="eastAsia" w:ascii="仿宋_GB2312" w:hAnsi="仿宋_GB2312" w:eastAsia="仿宋_GB2312" w:cs="仿宋_GB2312"/>
          <w:sz w:val="32"/>
          <w:szCs w:val="32"/>
          <w:lang w:val="en-US" w:eastAsia="zh-CN"/>
        </w:rPr>
        <w:t>本单位分三个股室，一个办公室负责单位日常事务；一个资本市场股负责负责全县企业上市工作，指导和推动拟上市公司资产重组及融资；协助做好证券期货机构和上市公司规范发展工作；一个地方金融股负责督促驻县金融机构落实好国家、省、市和县委、县政府的决策部署，协调和支持各金融机构创新业务，加大对地方经济和社会发展的支持，承担对地方金融机构的相关业务管理工作，参与对地方金融机构及其高管人员的业绩考核。</w:t>
      </w:r>
    </w:p>
    <w:p>
      <w:pPr>
        <w:keepNext w:val="0"/>
        <w:keepLines w:val="0"/>
        <w:pageBreakBefore w:val="0"/>
        <w:kinsoku/>
        <w:overflowPunct/>
        <w:topLinePunct w:val="0"/>
        <w:autoSpaceDN/>
        <w:bidi w:val="0"/>
        <w:adjustRightInd/>
        <w:spacing w:line="540" w:lineRule="exact"/>
        <w:ind w:firstLine="640" w:firstLineChars="200"/>
        <w:textAlignment w:val="auto"/>
        <w:rPr>
          <w:rFonts w:hint="eastAsia" w:ascii="仿宋" w:hAnsi="仿宋" w:eastAsia="仿宋" w:cs="仿宋"/>
          <w:color w:val="000000"/>
          <w:sz w:val="32"/>
          <w:szCs w:val="32"/>
        </w:rPr>
      </w:pPr>
    </w:p>
    <w:p>
      <w:pPr>
        <w:ind w:left="0" w:leftChars="0" w:firstLine="0" w:firstLineChars="0"/>
        <w:jc w:val="center"/>
        <w:rPr>
          <w:rFonts w:hint="eastAsia" w:ascii="仿宋" w:hAnsi="仿宋" w:eastAsia="仿宋" w:cs="仿宋"/>
          <w:b/>
          <w:bCs/>
          <w:sz w:val="30"/>
          <w:szCs w:val="30"/>
        </w:rPr>
      </w:pPr>
      <w:r>
        <w:rPr>
          <w:rFonts w:hint="eastAsia" w:ascii="仿宋" w:hAnsi="仿宋" w:eastAsia="仿宋" w:cs="仿宋"/>
          <w:b/>
          <w:bCs/>
          <w:sz w:val="30"/>
          <w:szCs w:val="30"/>
        </w:rPr>
        <w:t>第二部分 兴国县</w:t>
      </w:r>
      <w:r>
        <w:rPr>
          <w:rFonts w:hint="eastAsia" w:ascii="仿宋" w:hAnsi="仿宋" w:eastAsia="仿宋" w:cs="仿宋"/>
          <w:b/>
          <w:bCs/>
          <w:sz w:val="30"/>
          <w:szCs w:val="30"/>
          <w:lang w:eastAsia="zh-CN"/>
        </w:rPr>
        <w:t>金融工作局</w:t>
      </w:r>
      <w:r>
        <w:rPr>
          <w:rFonts w:hint="eastAsia" w:ascii="仿宋" w:hAnsi="仿宋" w:eastAsia="仿宋" w:cs="仿宋"/>
          <w:b/>
          <w:bCs/>
          <w:sz w:val="30"/>
          <w:szCs w:val="30"/>
        </w:rPr>
        <w:t>部门2021年部门预算情况说明</w:t>
      </w:r>
    </w:p>
    <w:p>
      <w:pPr>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一、2021年部门预算收支情况说明</w:t>
      </w:r>
    </w:p>
    <w:p>
      <w:pPr>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（一）收入预算情况</w:t>
      </w:r>
    </w:p>
    <w:p>
      <w:pPr>
        <w:pStyle w:val="6"/>
        <w:keepNext w:val="0"/>
        <w:keepLines w:val="0"/>
        <w:pageBreakBefore w:val="0"/>
        <w:widowControl w:val="0"/>
        <w:kinsoku/>
        <w:wordWrap/>
        <w:overflowPunct/>
        <w:topLinePunct w:val="0"/>
        <w:autoSpaceDE/>
        <w:autoSpaceDN/>
        <w:bidi w:val="0"/>
        <w:adjustRightInd/>
        <w:snapToGrid/>
        <w:spacing w:line="600" w:lineRule="exact"/>
        <w:ind w:firstLine="641"/>
        <w:textAlignment w:val="auto"/>
        <w:rPr>
          <w:rFonts w:hint="eastAsia" w:ascii="仿宋_GB2312" w:hAnsi="仿宋_GB2312" w:eastAsia="仿宋_GB2312" w:cs="仿宋_GB2312"/>
          <w:color w:val="auto"/>
          <w:kern w:val="0"/>
          <w:sz w:val="32"/>
          <w:szCs w:val="32"/>
          <w:lang w:val="en-US" w:eastAsia="zh-CN" w:bidi="hi-IN"/>
        </w:rPr>
      </w:pPr>
      <w:r>
        <w:rPr>
          <w:rFonts w:hint="eastAsia" w:ascii="仿宋" w:hAnsi="仿宋" w:eastAsia="仿宋"/>
          <w:sz w:val="32"/>
          <w:szCs w:val="32"/>
        </w:rPr>
        <w:t>202</w:t>
      </w:r>
      <w:r>
        <w:rPr>
          <w:rFonts w:hint="eastAsia" w:ascii="仿宋" w:hAnsi="仿宋" w:eastAsia="仿宋"/>
          <w:sz w:val="32"/>
          <w:szCs w:val="32"/>
          <w:lang w:val="en-US" w:eastAsia="zh-CN"/>
        </w:rPr>
        <w:t>1</w:t>
      </w:r>
      <w:r>
        <w:rPr>
          <w:rFonts w:hint="eastAsia" w:ascii="仿宋" w:hAnsi="仿宋" w:eastAsia="仿宋"/>
          <w:sz w:val="32"/>
          <w:szCs w:val="32"/>
        </w:rPr>
        <w:t>年</w:t>
      </w:r>
      <w:r>
        <w:rPr>
          <w:rFonts w:hint="eastAsia" w:ascii="仿宋" w:hAnsi="仿宋" w:eastAsia="仿宋"/>
          <w:sz w:val="32"/>
          <w:szCs w:val="32"/>
          <w:lang w:eastAsia="zh-CN"/>
        </w:rPr>
        <w:t>金融工作局</w:t>
      </w:r>
      <w:r>
        <w:rPr>
          <w:rFonts w:hint="eastAsia" w:ascii="仿宋" w:hAnsi="仿宋" w:eastAsia="仿宋"/>
          <w:sz w:val="32"/>
          <w:szCs w:val="32"/>
        </w:rPr>
        <w:t>收入预算总额为</w:t>
      </w:r>
      <w:r>
        <w:rPr>
          <w:rFonts w:hint="eastAsia" w:ascii="仿宋" w:hAnsi="仿宋" w:eastAsia="仿宋"/>
          <w:sz w:val="32"/>
          <w:szCs w:val="32"/>
          <w:lang w:val="en-US" w:eastAsia="zh-CN"/>
        </w:rPr>
        <w:t>817.35</w:t>
      </w:r>
      <w:r>
        <w:rPr>
          <w:rFonts w:hint="eastAsia" w:ascii="仿宋" w:hAnsi="仿宋" w:eastAsia="仿宋"/>
          <w:sz w:val="32"/>
          <w:szCs w:val="32"/>
        </w:rPr>
        <w:t>万元,其中：财政拨款收</w:t>
      </w:r>
      <w:r>
        <w:rPr>
          <w:rFonts w:hint="eastAsia" w:ascii="仿宋" w:hAnsi="仿宋" w:eastAsia="仿宋"/>
          <w:sz w:val="32"/>
          <w:szCs w:val="32"/>
          <w:lang w:val="en-US" w:eastAsia="zh-CN"/>
        </w:rPr>
        <w:t>817.35</w:t>
      </w:r>
      <w:r>
        <w:rPr>
          <w:rFonts w:hint="eastAsia" w:ascii="仿宋" w:hAnsi="仿宋" w:eastAsia="仿宋"/>
          <w:sz w:val="32"/>
          <w:szCs w:val="32"/>
        </w:rPr>
        <w:t>万元,占收入预算总额的100%，包括财政拨款（补助）收入</w:t>
      </w:r>
      <w:r>
        <w:rPr>
          <w:rFonts w:hint="eastAsia" w:ascii="仿宋" w:hAnsi="仿宋" w:eastAsia="仿宋"/>
          <w:sz w:val="32"/>
          <w:szCs w:val="32"/>
          <w:lang w:val="en-US" w:eastAsia="zh-CN"/>
        </w:rPr>
        <w:t xml:space="preserve"> 817.35</w:t>
      </w:r>
      <w:r>
        <w:rPr>
          <w:rFonts w:hint="eastAsia" w:ascii="仿宋" w:hAnsi="仿宋" w:eastAsia="仿宋"/>
          <w:sz w:val="32"/>
          <w:szCs w:val="32"/>
        </w:rPr>
        <w:t>万元。</w:t>
      </w:r>
      <w:r>
        <w:rPr>
          <w:rFonts w:hint="eastAsia" w:ascii="仿宋" w:hAnsi="仿宋" w:eastAsia="仿宋"/>
          <w:sz w:val="32"/>
          <w:szCs w:val="32"/>
          <w:lang w:eastAsia="zh-CN"/>
        </w:rPr>
        <w:t>比上年增加</w:t>
      </w:r>
      <w:r>
        <w:rPr>
          <w:rFonts w:hint="eastAsia" w:ascii="仿宋" w:hAnsi="仿宋" w:eastAsia="仿宋"/>
          <w:sz w:val="32"/>
          <w:szCs w:val="32"/>
          <w:lang w:val="en-US" w:eastAsia="zh-CN"/>
        </w:rPr>
        <w:t>140.88</w:t>
      </w:r>
      <w:r>
        <w:rPr>
          <w:rFonts w:hint="eastAsia" w:ascii="仿宋" w:hAnsi="仿宋" w:eastAsia="仿宋"/>
          <w:sz w:val="32"/>
          <w:szCs w:val="32"/>
        </w:rPr>
        <w:t>万元</w:t>
      </w:r>
      <w:r>
        <w:rPr>
          <w:rFonts w:hint="eastAsia" w:ascii="仿宋" w:hAnsi="仿宋" w:eastAsia="仿宋"/>
          <w:sz w:val="32"/>
          <w:szCs w:val="32"/>
          <w:lang w:val="en-US" w:eastAsia="zh-CN"/>
        </w:rPr>
        <w:t>，增幅20.83%，主要是机构改革，人员调整增加。本单位</w:t>
      </w:r>
      <w:r>
        <w:rPr>
          <w:rFonts w:hint="eastAsia" w:ascii="仿宋_GB2312" w:hAnsi="仿宋_GB2312" w:eastAsia="仿宋_GB2312" w:cs="仿宋_GB2312"/>
          <w:color w:val="auto"/>
          <w:kern w:val="0"/>
          <w:sz w:val="32"/>
          <w:szCs w:val="32"/>
          <w:lang w:val="en-US" w:eastAsia="zh-CN" w:bidi="hi-IN"/>
        </w:rPr>
        <w:t>无事业收入、事业单位经营收入，2020年结转（结余</w:t>
      </w:r>
      <w:r>
        <w:rPr>
          <w:rFonts w:hint="eastAsia" w:ascii="仿宋_GB2312" w:hAnsi="仿宋_GB2312" w:eastAsia="仿宋_GB2312" w:cs="仿宋_GB2312"/>
          <w:color w:val="000000" w:themeColor="text1"/>
          <w:kern w:val="0"/>
          <w:sz w:val="32"/>
          <w:szCs w:val="32"/>
          <w:highlight w:val="none"/>
          <w:lang w:val="en-US" w:eastAsia="zh-CN" w:bidi="hi-IN"/>
          <w14:textFill>
            <w14:solidFill>
              <w14:schemeClr w14:val="tx1"/>
            </w14:solidFill>
          </w14:textFill>
        </w:rPr>
        <w:t>）14万元，较上年减少46%。</w:t>
      </w:r>
    </w:p>
    <w:p>
      <w:pPr>
        <w:keepNext w:val="0"/>
        <w:keepLines w:val="0"/>
        <w:pageBreakBefore w:val="0"/>
        <w:kinsoku/>
        <w:overflowPunct/>
        <w:topLinePunct w:val="0"/>
        <w:autoSpaceDN/>
        <w:bidi w:val="0"/>
        <w:adjustRightInd/>
        <w:spacing w:line="540" w:lineRule="exact"/>
        <w:ind w:left="150" w:firstLine="640" w:firstLineChars="200"/>
        <w:textAlignment w:val="auto"/>
        <w:rPr>
          <w:rFonts w:hint="default" w:ascii="仿宋" w:hAnsi="仿宋" w:eastAsia="仿宋"/>
          <w:sz w:val="32"/>
          <w:szCs w:val="32"/>
          <w:lang w:val="en-US" w:eastAsia="zh-CN"/>
        </w:rPr>
      </w:pPr>
    </w:p>
    <w:p>
      <w:pPr>
        <w:keepNext w:val="0"/>
        <w:keepLines w:val="0"/>
        <w:pageBreakBefore w:val="0"/>
        <w:kinsoku/>
        <w:overflowPunct/>
        <w:topLinePunct w:val="0"/>
        <w:autoSpaceDN/>
        <w:bidi w:val="0"/>
        <w:adjustRightInd/>
        <w:spacing w:line="540" w:lineRule="exact"/>
        <w:ind w:left="150" w:firstLine="640" w:firstLineChars="200"/>
        <w:textAlignment w:val="auto"/>
        <w:rPr>
          <w:rFonts w:hint="default" w:ascii="仿宋" w:hAnsi="仿宋" w:eastAsia="仿宋"/>
          <w:sz w:val="32"/>
          <w:szCs w:val="32"/>
          <w:lang w:val="en-US" w:eastAsia="zh-CN"/>
        </w:rPr>
      </w:pPr>
    </w:p>
    <w:p>
      <w:pPr>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（二）支出预算情况</w:t>
      </w:r>
    </w:p>
    <w:p>
      <w:pPr>
        <w:keepNext w:val="0"/>
        <w:keepLines w:val="0"/>
        <w:pageBreakBefore w:val="0"/>
        <w:kinsoku/>
        <w:overflowPunct/>
        <w:topLinePunct w:val="0"/>
        <w:autoSpaceDN/>
        <w:bidi w:val="0"/>
        <w:adjustRightInd/>
        <w:spacing w:line="540" w:lineRule="exact"/>
        <w:ind w:firstLine="800" w:firstLineChars="250"/>
        <w:textAlignment w:val="auto"/>
        <w:rPr>
          <w:rFonts w:hint="eastAsia"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1</w:t>
      </w:r>
      <w:r>
        <w:rPr>
          <w:rFonts w:hint="eastAsia" w:ascii="仿宋" w:hAnsi="仿宋" w:eastAsia="仿宋"/>
          <w:sz w:val="32"/>
          <w:szCs w:val="32"/>
          <w:lang w:eastAsia="zh-CN"/>
        </w:rPr>
        <w:t>金融工作局</w:t>
      </w:r>
      <w:r>
        <w:rPr>
          <w:rFonts w:hint="eastAsia" w:ascii="仿宋" w:hAnsi="仿宋" w:eastAsia="仿宋"/>
          <w:sz w:val="32"/>
          <w:szCs w:val="32"/>
        </w:rPr>
        <w:t>支出预算总额为</w:t>
      </w:r>
      <w:r>
        <w:rPr>
          <w:rFonts w:hint="eastAsia" w:ascii="仿宋" w:hAnsi="仿宋" w:eastAsia="仿宋"/>
          <w:sz w:val="32"/>
          <w:szCs w:val="32"/>
          <w:lang w:val="en-US" w:eastAsia="zh-CN"/>
        </w:rPr>
        <w:t>817.35</w:t>
      </w:r>
      <w:r>
        <w:rPr>
          <w:rFonts w:hint="eastAsia" w:ascii="仿宋" w:hAnsi="仿宋" w:eastAsia="仿宋"/>
          <w:sz w:val="32"/>
          <w:szCs w:val="32"/>
        </w:rPr>
        <w:t>万元，</w:t>
      </w:r>
      <w:r>
        <w:rPr>
          <w:rFonts w:hint="eastAsia" w:ascii="仿宋_GB2312" w:hAnsi="仿宋_GB2312" w:eastAsia="仿宋_GB2312" w:cs="仿宋_GB2312"/>
          <w:color w:val="auto"/>
          <w:kern w:val="0"/>
          <w:sz w:val="32"/>
          <w:szCs w:val="32"/>
          <w:lang w:val="en-US" w:eastAsia="zh-CN" w:bidi="hi-IN"/>
        </w:rPr>
        <w:t>较上年增幅20.83%，</w:t>
      </w:r>
      <w:r>
        <w:rPr>
          <w:rFonts w:hint="eastAsia" w:ascii="仿宋" w:hAnsi="仿宋" w:eastAsia="仿宋"/>
          <w:color w:val="000000" w:themeColor="text1"/>
          <w:sz w:val="32"/>
          <w:szCs w:val="32"/>
          <w14:textFill>
            <w14:solidFill>
              <w14:schemeClr w14:val="tx1"/>
            </w14:solidFill>
          </w14:textFill>
        </w:rPr>
        <w:t>占支出总额的100%，</w:t>
      </w:r>
      <w:r>
        <w:rPr>
          <w:rFonts w:hint="eastAsia" w:ascii="仿宋" w:hAnsi="仿宋" w:eastAsia="仿宋"/>
          <w:sz w:val="32"/>
          <w:szCs w:val="32"/>
          <w:lang w:val="en-US" w:eastAsia="zh-CN"/>
        </w:rPr>
        <w:t>主要是机构改革，人员调整增加。</w:t>
      </w:r>
      <w:r>
        <w:rPr>
          <w:rFonts w:hint="eastAsia" w:ascii="仿宋" w:hAnsi="仿宋" w:eastAsia="仿宋"/>
          <w:sz w:val="32"/>
          <w:szCs w:val="32"/>
        </w:rPr>
        <w:t>其中：</w:t>
      </w:r>
    </w:p>
    <w:p>
      <w:pPr>
        <w:keepNext w:val="0"/>
        <w:keepLines w:val="0"/>
        <w:pageBreakBefore w:val="0"/>
        <w:kinsoku/>
        <w:overflowPunct/>
        <w:topLinePunct w:val="0"/>
        <w:autoSpaceDN/>
        <w:bidi w:val="0"/>
        <w:adjustRightInd/>
        <w:spacing w:line="540" w:lineRule="exact"/>
        <w:textAlignment w:val="auto"/>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b/>
          <w:bCs/>
          <w:color w:val="000000" w:themeColor="text1"/>
          <w:sz w:val="32"/>
          <w:szCs w:val="32"/>
          <w14:textFill>
            <w14:solidFill>
              <w14:schemeClr w14:val="tx1"/>
            </w14:solidFill>
          </w14:textFill>
        </w:rPr>
        <w:t>按支出项目类别划分：</w:t>
      </w:r>
      <w:r>
        <w:rPr>
          <w:rFonts w:hint="eastAsia" w:ascii="仿宋" w:hAnsi="仿宋" w:eastAsia="仿宋"/>
          <w:color w:val="000000" w:themeColor="text1"/>
          <w:sz w:val="32"/>
          <w:szCs w:val="32"/>
          <w14:textFill>
            <w14:solidFill>
              <w14:schemeClr w14:val="tx1"/>
            </w14:solidFill>
          </w14:textFill>
        </w:rPr>
        <w:t>基本支出</w:t>
      </w:r>
      <w:r>
        <w:rPr>
          <w:rFonts w:hint="eastAsia" w:ascii="仿宋" w:hAnsi="仿宋" w:eastAsia="仿宋"/>
          <w:color w:val="000000" w:themeColor="text1"/>
          <w:sz w:val="32"/>
          <w:szCs w:val="32"/>
          <w:lang w:val="en-US" w:eastAsia="zh-CN"/>
          <w14:textFill>
            <w14:solidFill>
              <w14:schemeClr w14:val="tx1"/>
            </w14:solidFill>
          </w14:textFill>
        </w:rPr>
        <w:t>47.35</w:t>
      </w:r>
      <w:r>
        <w:rPr>
          <w:rFonts w:hint="eastAsia" w:ascii="仿宋" w:hAnsi="仿宋" w:eastAsia="仿宋"/>
          <w:color w:val="000000" w:themeColor="text1"/>
          <w:sz w:val="32"/>
          <w:szCs w:val="32"/>
          <w14:textFill>
            <w14:solidFill>
              <w14:schemeClr w14:val="tx1"/>
            </w14:solidFill>
          </w14:textFill>
        </w:rPr>
        <w:t>万元，占支出总额的</w:t>
      </w:r>
      <w:r>
        <w:rPr>
          <w:rFonts w:hint="eastAsia" w:ascii="仿宋" w:hAnsi="仿宋" w:eastAsia="仿宋"/>
          <w:color w:val="000000" w:themeColor="text1"/>
          <w:sz w:val="32"/>
          <w:szCs w:val="32"/>
          <w:lang w:val="en-US" w:eastAsia="zh-CN"/>
          <w14:textFill>
            <w14:solidFill>
              <w14:schemeClr w14:val="tx1"/>
            </w14:solidFill>
          </w14:textFill>
        </w:rPr>
        <w:t>5.8</w:t>
      </w:r>
      <w:r>
        <w:rPr>
          <w:rFonts w:hint="eastAsia" w:ascii="仿宋" w:hAnsi="仿宋" w:eastAsia="仿宋"/>
          <w:color w:val="000000" w:themeColor="text1"/>
          <w:sz w:val="32"/>
          <w:szCs w:val="32"/>
          <w14:textFill>
            <w14:solidFill>
              <w14:schemeClr w14:val="tx1"/>
            </w14:solidFill>
          </w14:textFill>
        </w:rPr>
        <w:t>%，包括工资福利支出</w:t>
      </w:r>
      <w:r>
        <w:rPr>
          <w:rFonts w:hint="eastAsia" w:ascii="仿宋" w:hAnsi="仿宋" w:eastAsia="仿宋"/>
          <w:color w:val="000000" w:themeColor="text1"/>
          <w:sz w:val="32"/>
          <w:szCs w:val="32"/>
          <w:lang w:val="en-US" w:eastAsia="zh-CN"/>
          <w14:textFill>
            <w14:solidFill>
              <w14:schemeClr w14:val="tx1"/>
            </w14:solidFill>
          </w14:textFill>
        </w:rPr>
        <w:t>28.67</w:t>
      </w:r>
      <w:r>
        <w:rPr>
          <w:rFonts w:hint="eastAsia" w:ascii="仿宋" w:hAnsi="仿宋" w:eastAsia="仿宋"/>
          <w:color w:val="000000" w:themeColor="text1"/>
          <w:sz w:val="32"/>
          <w:szCs w:val="32"/>
          <w14:textFill>
            <w14:solidFill>
              <w14:schemeClr w14:val="tx1"/>
            </w14:solidFill>
          </w14:textFill>
        </w:rPr>
        <w:t>万元</w:t>
      </w:r>
      <w:r>
        <w:rPr>
          <w:rFonts w:hint="eastAsia" w:ascii="仿宋" w:hAnsi="仿宋" w:eastAsia="仿宋"/>
          <w:color w:val="000000" w:themeColor="text1"/>
          <w:sz w:val="32"/>
          <w:szCs w:val="32"/>
          <w:lang w:eastAsia="zh-CN"/>
          <w14:textFill>
            <w14:solidFill>
              <w14:schemeClr w14:val="tx1"/>
            </w14:solidFill>
          </w14:textFill>
        </w:rPr>
        <w:t>、定额工作经费支出</w:t>
      </w:r>
      <w:r>
        <w:rPr>
          <w:rFonts w:hint="eastAsia" w:ascii="仿宋" w:hAnsi="仿宋" w:eastAsia="仿宋"/>
          <w:color w:val="000000" w:themeColor="text1"/>
          <w:sz w:val="32"/>
          <w:szCs w:val="32"/>
          <w:lang w:val="en-US" w:eastAsia="zh-CN"/>
          <w14:textFill>
            <w14:solidFill>
              <w14:schemeClr w14:val="tx1"/>
            </w14:solidFill>
          </w14:textFill>
        </w:rPr>
        <w:t>3万元</w:t>
      </w:r>
      <w:r>
        <w:rPr>
          <w:rFonts w:hint="eastAsia" w:ascii="仿宋" w:hAnsi="仿宋" w:eastAsia="仿宋"/>
          <w:color w:val="000000" w:themeColor="text1"/>
          <w:sz w:val="32"/>
          <w:szCs w:val="32"/>
          <w14:textFill>
            <w14:solidFill>
              <w14:schemeClr w14:val="tx1"/>
            </w14:solidFill>
          </w14:textFill>
        </w:rPr>
        <w:t>、</w:t>
      </w:r>
      <w:r>
        <w:rPr>
          <w:rFonts w:hint="eastAsia" w:ascii="宋体" w:hAnsi="宋体" w:eastAsia="仿宋_GB2312" w:cs="仿宋_GB2312"/>
          <w:color w:val="000000" w:themeColor="text1"/>
          <w:sz w:val="32"/>
          <w:szCs w:val="32"/>
          <w14:textFill>
            <w14:solidFill>
              <w14:schemeClr w14:val="tx1"/>
            </w14:solidFill>
          </w14:textFill>
        </w:rPr>
        <w:t>对个人和家庭的补助支出</w:t>
      </w:r>
      <w:r>
        <w:rPr>
          <w:rFonts w:hint="eastAsia" w:ascii="宋体" w:hAnsi="宋体" w:eastAsia="仿宋_GB2312" w:cs="仿宋_GB2312"/>
          <w:color w:val="000000" w:themeColor="text1"/>
          <w:sz w:val="32"/>
          <w:szCs w:val="32"/>
          <w:lang w:val="en-US" w:eastAsia="zh-CN"/>
          <w14:textFill>
            <w14:solidFill>
              <w14:schemeClr w14:val="tx1"/>
            </w14:solidFill>
          </w14:textFill>
        </w:rPr>
        <w:t>,15.68</w:t>
      </w:r>
      <w:r>
        <w:rPr>
          <w:rFonts w:hint="eastAsia" w:ascii="宋体" w:hAnsi="宋体" w:eastAsia="仿宋_GB2312" w:cs="仿宋_GB2312"/>
          <w:color w:val="000000" w:themeColor="text1"/>
          <w:sz w:val="32"/>
          <w:szCs w:val="32"/>
          <w14:textFill>
            <w14:solidFill>
              <w14:schemeClr w14:val="tx1"/>
            </w14:solidFill>
          </w14:textFill>
        </w:rPr>
        <w:t>万元</w:t>
      </w:r>
      <w:r>
        <w:rPr>
          <w:rFonts w:hint="eastAsia" w:ascii="宋体" w:hAnsi="宋体" w:eastAsia="仿宋_GB2312" w:cs="仿宋_GB2312"/>
          <w:color w:val="000000" w:themeColor="text1"/>
          <w:sz w:val="32"/>
          <w:szCs w:val="32"/>
          <w:lang w:eastAsia="zh-CN"/>
          <w14:textFill>
            <w14:solidFill>
              <w14:schemeClr w14:val="tx1"/>
            </w14:solidFill>
          </w14:textFill>
        </w:rPr>
        <w:t>，</w:t>
      </w:r>
      <w:r>
        <w:rPr>
          <w:rFonts w:hint="eastAsia" w:ascii="宋体" w:hAnsi="宋体" w:eastAsia="仿宋_GB2312" w:cs="仿宋_GB2312"/>
          <w:color w:val="000000" w:themeColor="text1"/>
          <w:sz w:val="32"/>
          <w:szCs w:val="32"/>
          <w14:textFill>
            <w14:solidFill>
              <w14:schemeClr w14:val="tx1"/>
            </w14:solidFill>
          </w14:textFill>
        </w:rPr>
        <w:t>项目支出</w:t>
      </w:r>
      <w:r>
        <w:rPr>
          <w:rFonts w:hint="eastAsia" w:ascii="宋体" w:hAnsi="宋体" w:eastAsia="仿宋_GB2312" w:cs="仿宋_GB2312"/>
          <w:color w:val="000000" w:themeColor="text1"/>
          <w:sz w:val="32"/>
          <w:szCs w:val="32"/>
          <w:lang w:val="en-US" w:eastAsia="zh-CN"/>
          <w14:textFill>
            <w14:solidFill>
              <w14:schemeClr w14:val="tx1"/>
            </w14:solidFill>
          </w14:textFill>
        </w:rPr>
        <w:t>770</w:t>
      </w:r>
      <w:r>
        <w:rPr>
          <w:rFonts w:hint="eastAsia" w:ascii="宋体" w:hAnsi="宋体" w:eastAsia="仿宋_GB2312" w:cs="仿宋_GB2312"/>
          <w:color w:val="000000" w:themeColor="text1"/>
          <w:sz w:val="32"/>
          <w:szCs w:val="32"/>
          <w14:textFill>
            <w14:solidFill>
              <w14:schemeClr w14:val="tx1"/>
            </w14:solidFill>
          </w14:textFill>
        </w:rPr>
        <w:t>万元，占支出预算总额的</w:t>
      </w:r>
      <w:r>
        <w:rPr>
          <w:rFonts w:hint="eastAsia" w:ascii="宋体" w:hAnsi="宋体" w:eastAsia="仿宋_GB2312" w:cs="仿宋_GB2312"/>
          <w:color w:val="000000" w:themeColor="text1"/>
          <w:sz w:val="32"/>
          <w:szCs w:val="32"/>
          <w:lang w:val="en-US" w:eastAsia="zh-CN"/>
          <w14:textFill>
            <w14:solidFill>
              <w14:schemeClr w14:val="tx1"/>
            </w14:solidFill>
          </w14:textFill>
        </w:rPr>
        <w:t>94.2</w:t>
      </w:r>
      <w:r>
        <w:rPr>
          <w:rFonts w:hint="eastAsia" w:ascii="宋体" w:hAnsi="宋体" w:eastAsia="仿宋_GB2312" w:cs="仿宋_GB2312"/>
          <w:color w:val="000000" w:themeColor="text1"/>
          <w:sz w:val="32"/>
          <w:szCs w:val="32"/>
          <w14:textFill>
            <w14:solidFill>
              <w14:schemeClr w14:val="tx1"/>
            </w14:solidFill>
          </w14:textFill>
        </w:rPr>
        <w:t>%，包括基本</w:t>
      </w:r>
      <w:r>
        <w:rPr>
          <w:rFonts w:hint="eastAsia" w:ascii="宋体" w:hAnsi="宋体" w:eastAsia="仿宋_GB2312" w:cs="仿宋_GB2312"/>
          <w:color w:val="000000" w:themeColor="text1"/>
          <w:sz w:val="32"/>
          <w:szCs w:val="32"/>
          <w:lang w:eastAsia="zh-CN"/>
          <w14:textFill>
            <w14:solidFill>
              <w14:schemeClr w14:val="tx1"/>
            </w14:solidFill>
          </w14:textFill>
        </w:rPr>
        <w:t>银行考核</w:t>
      </w:r>
      <w:r>
        <w:rPr>
          <w:rFonts w:hint="eastAsia" w:ascii="宋体" w:hAnsi="宋体" w:eastAsia="仿宋_GB2312" w:cs="仿宋_GB2312"/>
          <w:color w:val="000000" w:themeColor="text1"/>
          <w:sz w:val="32"/>
          <w:szCs w:val="32"/>
          <w14:textFill>
            <w14:solidFill>
              <w14:schemeClr w14:val="tx1"/>
            </w14:solidFill>
          </w14:textFill>
        </w:rPr>
        <w:t>项目支出</w:t>
      </w:r>
      <w:r>
        <w:rPr>
          <w:rFonts w:hint="eastAsia" w:ascii="宋体" w:hAnsi="宋体" w:eastAsia="仿宋_GB2312" w:cs="仿宋_GB2312"/>
          <w:color w:val="000000" w:themeColor="text1"/>
          <w:sz w:val="32"/>
          <w:szCs w:val="32"/>
          <w:lang w:val="en-US" w:eastAsia="zh-CN"/>
          <w14:textFill>
            <w14:solidFill>
              <w14:schemeClr w14:val="tx1"/>
            </w14:solidFill>
          </w14:textFill>
        </w:rPr>
        <w:t>200</w:t>
      </w:r>
      <w:r>
        <w:rPr>
          <w:rFonts w:hint="eastAsia" w:ascii="宋体" w:hAnsi="宋体" w:eastAsia="仿宋_GB2312" w:cs="仿宋_GB2312"/>
          <w:color w:val="000000" w:themeColor="text1"/>
          <w:sz w:val="32"/>
          <w:szCs w:val="32"/>
          <w14:textFill>
            <w14:solidFill>
              <w14:schemeClr w14:val="tx1"/>
            </w14:solidFill>
          </w14:textFill>
        </w:rPr>
        <w:t>万元、</w:t>
      </w:r>
      <w:r>
        <w:rPr>
          <w:rFonts w:hint="eastAsia" w:ascii="宋体" w:hAnsi="宋体" w:eastAsia="仿宋_GB2312" w:cs="仿宋_GB2312"/>
          <w:color w:val="000000" w:themeColor="text1"/>
          <w:sz w:val="32"/>
          <w:szCs w:val="32"/>
          <w:lang w:eastAsia="zh-CN"/>
          <w14:textFill>
            <w14:solidFill>
              <w14:schemeClr w14:val="tx1"/>
            </w14:solidFill>
          </w14:textFill>
        </w:rPr>
        <w:t>保险类项目支出</w:t>
      </w:r>
      <w:r>
        <w:rPr>
          <w:rFonts w:hint="eastAsia" w:ascii="宋体" w:hAnsi="宋体" w:eastAsia="仿宋_GB2312" w:cs="仿宋_GB2312"/>
          <w:color w:val="000000" w:themeColor="text1"/>
          <w:sz w:val="32"/>
          <w:szCs w:val="32"/>
          <w:lang w:val="en-US" w:eastAsia="zh-CN"/>
          <w14:textFill>
            <w14:solidFill>
              <w14:schemeClr w14:val="tx1"/>
            </w14:solidFill>
          </w14:textFill>
        </w:rPr>
        <w:t>550万元，及</w:t>
      </w:r>
      <w:r>
        <w:rPr>
          <w:rFonts w:hint="eastAsia" w:ascii="仿宋" w:hAnsi="仿宋" w:eastAsia="仿宋"/>
          <w:color w:val="000000" w:themeColor="text1"/>
          <w:sz w:val="32"/>
          <w:szCs w:val="32"/>
          <w:lang w:eastAsia="zh-CN"/>
          <w14:textFill>
            <w14:solidFill>
              <w14:schemeClr w14:val="tx1"/>
            </w14:solidFill>
          </w14:textFill>
        </w:rPr>
        <w:t>根据江西省打击和处置非法集资工作领导小组《关于印发</w:t>
      </w:r>
      <w:r>
        <w:rPr>
          <w:rFonts w:hint="eastAsia" w:ascii="仿宋" w:hAnsi="仿宋" w:eastAsia="仿宋"/>
          <w:color w:val="000000" w:themeColor="text1"/>
          <w:sz w:val="32"/>
          <w:szCs w:val="32"/>
          <w:lang w:val="en-US" w:eastAsia="zh-CN"/>
          <w14:textFill>
            <w14:solidFill>
              <w14:schemeClr w14:val="tx1"/>
            </w14:solidFill>
          </w14:textFill>
        </w:rPr>
        <w:t>2019年社区市防范和处置非法集资平安建设工作考核评价细则的通知</w:t>
      </w:r>
      <w:r>
        <w:rPr>
          <w:rFonts w:hint="eastAsia" w:ascii="仿宋" w:hAnsi="仿宋" w:eastAsia="仿宋"/>
          <w:color w:val="000000" w:themeColor="text1"/>
          <w:sz w:val="32"/>
          <w:szCs w:val="32"/>
          <w:lang w:eastAsia="zh-CN"/>
          <w14:textFill>
            <w14:solidFill>
              <w14:schemeClr w14:val="tx1"/>
            </w14:solidFill>
          </w14:textFill>
        </w:rPr>
        <w:t>》（赣处非发</w:t>
      </w:r>
      <w:r>
        <w:rPr>
          <w:rFonts w:hint="eastAsia" w:ascii="宋体" w:hAnsi="宋体" w:eastAsia="宋体" w:cs="宋体"/>
          <w:color w:val="000000" w:themeColor="text1"/>
          <w:sz w:val="32"/>
          <w:szCs w:val="32"/>
          <w:lang w:eastAsia="zh-CN"/>
          <w14:textFill>
            <w14:solidFill>
              <w14:schemeClr w14:val="tx1"/>
            </w14:solidFill>
          </w14:textFill>
        </w:rPr>
        <w:t>〔</w:t>
      </w:r>
      <w:r>
        <w:rPr>
          <w:rFonts w:hint="eastAsia" w:ascii="宋体" w:hAnsi="宋体" w:cs="宋体"/>
          <w:color w:val="000000" w:themeColor="text1"/>
          <w:sz w:val="32"/>
          <w:szCs w:val="32"/>
          <w:lang w:val="en-US" w:eastAsia="zh-CN"/>
          <w14:textFill>
            <w14:solidFill>
              <w14:schemeClr w14:val="tx1"/>
            </w14:solidFill>
          </w14:textFill>
        </w:rPr>
        <w:t>2019</w:t>
      </w:r>
      <w:r>
        <w:rPr>
          <w:rFonts w:hint="eastAsia" w:ascii="宋体" w:hAnsi="宋体" w:eastAsia="宋体" w:cs="宋体"/>
          <w:color w:val="000000" w:themeColor="text1"/>
          <w:sz w:val="32"/>
          <w:szCs w:val="32"/>
          <w:lang w:eastAsia="zh-CN"/>
          <w14:textFill>
            <w14:solidFill>
              <w14:schemeClr w14:val="tx1"/>
            </w14:solidFill>
          </w14:textFill>
        </w:rPr>
        <w:t>〕</w:t>
      </w:r>
      <w:r>
        <w:rPr>
          <w:rFonts w:hint="eastAsia" w:ascii="宋体" w:hAnsi="宋体" w:cs="宋体"/>
          <w:color w:val="000000" w:themeColor="text1"/>
          <w:sz w:val="32"/>
          <w:szCs w:val="32"/>
          <w:lang w:val="en-US" w:eastAsia="zh-CN"/>
          <w14:textFill>
            <w14:solidFill>
              <w14:schemeClr w14:val="tx1"/>
            </w14:solidFill>
          </w14:textFill>
        </w:rPr>
        <w:t>2号</w:t>
      </w:r>
      <w:r>
        <w:rPr>
          <w:rFonts w:hint="eastAsia" w:ascii="仿宋" w:hAnsi="仿宋" w:eastAsia="仿宋"/>
          <w:color w:val="000000" w:themeColor="text1"/>
          <w:sz w:val="32"/>
          <w:szCs w:val="32"/>
          <w:lang w:eastAsia="zh-CN"/>
          <w14:textFill>
            <w14:solidFill>
              <w14:schemeClr w14:val="tx1"/>
            </w14:solidFill>
          </w14:textFill>
        </w:rPr>
        <w:t>）文件考核内容第一条“明确防范和处置非法集资专门机构，合理配置专职工作人员，保障相关工作经费并纳入同级政府预算”我局</w:t>
      </w:r>
      <w:r>
        <w:rPr>
          <w:rFonts w:hint="eastAsia" w:ascii="仿宋" w:hAnsi="仿宋" w:eastAsia="仿宋"/>
          <w:color w:val="000000" w:themeColor="text1"/>
          <w:sz w:val="32"/>
          <w:szCs w:val="32"/>
          <w:lang w:val="en-US" w:eastAsia="zh-CN"/>
          <w14:textFill>
            <w14:solidFill>
              <w14:schemeClr w14:val="tx1"/>
            </w14:solidFill>
          </w14:textFill>
        </w:rPr>
        <w:t>2021年预算</w:t>
      </w:r>
      <w:r>
        <w:rPr>
          <w:rFonts w:hint="eastAsia" w:ascii="仿宋" w:hAnsi="仿宋" w:eastAsia="仿宋"/>
          <w:color w:val="000000" w:themeColor="text1"/>
          <w:sz w:val="32"/>
          <w:szCs w:val="32"/>
          <w:lang w:eastAsia="zh-CN"/>
          <w14:textFill>
            <w14:solidFill>
              <w14:schemeClr w14:val="tx1"/>
            </w14:solidFill>
          </w14:textFill>
        </w:rPr>
        <w:t>非法集资工作经费支出</w:t>
      </w:r>
      <w:r>
        <w:rPr>
          <w:rFonts w:hint="eastAsia" w:ascii="仿宋" w:hAnsi="仿宋" w:eastAsia="仿宋"/>
          <w:color w:val="000000" w:themeColor="text1"/>
          <w:sz w:val="32"/>
          <w:szCs w:val="32"/>
          <w:lang w:val="en-US" w:eastAsia="zh-CN"/>
          <w14:textFill>
            <w14:solidFill>
              <w14:schemeClr w14:val="tx1"/>
            </w14:solidFill>
          </w14:textFill>
        </w:rPr>
        <w:t>20万元</w:t>
      </w:r>
      <w:r>
        <w:rPr>
          <w:rFonts w:hint="eastAsia" w:ascii="仿宋" w:hAnsi="仿宋" w:eastAsia="仿宋"/>
          <w:color w:val="000000" w:themeColor="text1"/>
          <w:sz w:val="32"/>
          <w:szCs w:val="32"/>
          <w14:textFill>
            <w14:solidFill>
              <w14:schemeClr w14:val="tx1"/>
            </w14:solidFill>
          </w14:textFill>
        </w:rPr>
        <w:t>。</w:t>
      </w:r>
    </w:p>
    <w:p>
      <w:pPr>
        <w:ind w:firstLine="643" w:firstLineChars="200"/>
        <w:rPr>
          <w:rFonts w:hint="eastAsia" w:ascii="仿宋" w:hAnsi="仿宋" w:eastAsia="仿宋"/>
          <w:color w:val="000000" w:themeColor="text1"/>
          <w:sz w:val="32"/>
          <w:szCs w:val="32"/>
          <w:lang w:eastAsia="zh-CN"/>
          <w14:textFill>
            <w14:solidFill>
              <w14:schemeClr w14:val="tx1"/>
            </w14:solidFill>
          </w14:textFill>
        </w:rPr>
      </w:pPr>
      <w:r>
        <w:rPr>
          <w:rFonts w:hint="eastAsia" w:ascii="宋体" w:hAnsi="宋体" w:eastAsia="仿宋_GB2312" w:cs="仿宋_GB2312"/>
          <w:b/>
          <w:bCs/>
          <w:color w:val="000000" w:themeColor="text1"/>
          <w:sz w:val="32"/>
          <w:szCs w:val="32"/>
          <w14:textFill>
            <w14:solidFill>
              <w14:schemeClr w14:val="tx1"/>
            </w14:solidFill>
          </w14:textFill>
        </w:rPr>
        <w:t>按支出功能科目划分：</w:t>
      </w:r>
      <w:r>
        <w:rPr>
          <w:rFonts w:hint="eastAsia" w:ascii="宋体" w:hAnsi="宋体" w:eastAsia="仿宋_GB2312" w:cs="仿宋_GB2312"/>
          <w:color w:val="000000" w:themeColor="text1"/>
          <w:sz w:val="32"/>
          <w:szCs w:val="32"/>
          <w14:textFill>
            <w14:solidFill>
              <w14:schemeClr w14:val="tx1"/>
            </w14:solidFill>
          </w14:textFill>
        </w:rPr>
        <w:t>一般公共服务支出</w:t>
      </w:r>
      <w:r>
        <w:rPr>
          <w:rFonts w:hint="eastAsia" w:ascii="宋体" w:hAnsi="宋体" w:eastAsia="仿宋_GB2312" w:cs="仿宋_GB2312"/>
          <w:color w:val="000000" w:themeColor="text1"/>
          <w:sz w:val="32"/>
          <w:szCs w:val="32"/>
          <w:lang w:val="en-US" w:eastAsia="zh-CN"/>
          <w14:textFill>
            <w14:solidFill>
              <w14:schemeClr w14:val="tx1"/>
            </w14:solidFill>
          </w14:textFill>
        </w:rPr>
        <w:t>47.35</w:t>
      </w:r>
      <w:r>
        <w:rPr>
          <w:rFonts w:hint="eastAsia" w:ascii="宋体" w:hAnsi="宋体" w:eastAsia="仿宋_GB2312" w:cs="仿宋_GB2312"/>
          <w:color w:val="000000" w:themeColor="text1"/>
          <w:sz w:val="32"/>
          <w:szCs w:val="32"/>
          <w14:textFill>
            <w14:solidFill>
              <w14:schemeClr w14:val="tx1"/>
            </w14:solidFill>
          </w14:textFill>
        </w:rPr>
        <w:t>万元，占支出预算总额的</w:t>
      </w:r>
      <w:r>
        <w:rPr>
          <w:rFonts w:hint="eastAsia" w:ascii="宋体" w:hAnsi="宋体" w:eastAsia="仿宋_GB2312" w:cs="仿宋_GB2312"/>
          <w:color w:val="000000" w:themeColor="text1"/>
          <w:sz w:val="32"/>
          <w:szCs w:val="32"/>
          <w:lang w:val="en-US" w:eastAsia="zh-CN"/>
          <w14:textFill>
            <w14:solidFill>
              <w14:schemeClr w14:val="tx1"/>
            </w14:solidFill>
          </w14:textFill>
        </w:rPr>
        <w:t>5.8</w:t>
      </w:r>
      <w:r>
        <w:rPr>
          <w:rFonts w:hint="eastAsia" w:ascii="宋体" w:hAnsi="宋体" w:eastAsia="仿宋_GB2312" w:cs="仿宋_GB2312"/>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政策性农业保险县配套支出</w:t>
      </w:r>
      <w:r>
        <w:rPr>
          <w:rFonts w:hint="eastAsia" w:ascii="仿宋" w:hAnsi="仿宋" w:eastAsia="仿宋"/>
          <w:color w:val="000000" w:themeColor="text1"/>
          <w:sz w:val="32"/>
          <w:szCs w:val="32"/>
          <w:lang w:val="en-US" w:eastAsia="zh-CN"/>
          <w14:textFill>
            <w14:solidFill>
              <w14:schemeClr w14:val="tx1"/>
            </w14:solidFill>
          </w14:textFill>
        </w:rPr>
        <w:t>550</w:t>
      </w:r>
      <w:r>
        <w:rPr>
          <w:rFonts w:hint="eastAsia" w:ascii="仿宋" w:hAnsi="仿宋" w:eastAsia="仿宋"/>
          <w:color w:val="000000" w:themeColor="text1"/>
          <w:sz w:val="32"/>
          <w:szCs w:val="32"/>
          <w14:textFill>
            <w14:solidFill>
              <w14:schemeClr w14:val="tx1"/>
            </w14:solidFill>
          </w14:textFill>
        </w:rPr>
        <w:t>万元，占支出预算总额的</w:t>
      </w:r>
      <w:r>
        <w:rPr>
          <w:rFonts w:hint="eastAsia" w:ascii="仿宋" w:hAnsi="仿宋" w:eastAsia="仿宋"/>
          <w:color w:val="000000" w:themeColor="text1"/>
          <w:sz w:val="32"/>
          <w:szCs w:val="32"/>
          <w:lang w:val="en-US" w:eastAsia="zh-CN"/>
          <w14:textFill>
            <w14:solidFill>
              <w14:schemeClr w14:val="tx1"/>
            </w14:solidFill>
          </w14:textFill>
        </w:rPr>
        <w:t>67.29</w:t>
      </w: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lang w:val="en-US" w:eastAsia="zh-CN"/>
          <w14:textFill>
            <w14:solidFill>
              <w14:schemeClr w14:val="tx1"/>
            </w14:solidFill>
          </w14:textFill>
        </w:rPr>
        <w:t>2020</w:t>
      </w:r>
      <w:r>
        <w:rPr>
          <w:rFonts w:hint="eastAsia" w:ascii="仿宋" w:hAnsi="仿宋" w:eastAsia="仿宋"/>
          <w:color w:val="000000" w:themeColor="text1"/>
          <w:sz w:val="32"/>
          <w:szCs w:val="32"/>
          <w14:textFill>
            <w14:solidFill>
              <w14:schemeClr w14:val="tx1"/>
            </w14:solidFill>
          </w14:textFill>
        </w:rPr>
        <w:t>年县域经济金融发展考核奖励支出</w:t>
      </w:r>
      <w:r>
        <w:rPr>
          <w:rFonts w:hint="eastAsia" w:ascii="仿宋" w:hAnsi="仿宋" w:eastAsia="仿宋"/>
          <w:color w:val="000000" w:themeColor="text1"/>
          <w:sz w:val="32"/>
          <w:szCs w:val="32"/>
          <w:lang w:val="en-US" w:eastAsia="zh-CN"/>
          <w14:textFill>
            <w14:solidFill>
              <w14:schemeClr w14:val="tx1"/>
            </w14:solidFill>
          </w14:textFill>
        </w:rPr>
        <w:t>200</w:t>
      </w:r>
      <w:r>
        <w:rPr>
          <w:rFonts w:hint="eastAsia" w:ascii="仿宋" w:hAnsi="仿宋" w:eastAsia="仿宋"/>
          <w:color w:val="000000" w:themeColor="text1"/>
          <w:sz w:val="32"/>
          <w:szCs w:val="32"/>
          <w14:textFill>
            <w14:solidFill>
              <w14:schemeClr w14:val="tx1"/>
            </w14:solidFill>
          </w14:textFill>
        </w:rPr>
        <w:t>万元，占支出预算总额的</w:t>
      </w:r>
      <w:r>
        <w:rPr>
          <w:rFonts w:hint="eastAsia" w:ascii="仿宋" w:hAnsi="仿宋" w:eastAsia="仿宋"/>
          <w:b w:val="0"/>
          <w:bCs w:val="0"/>
          <w:color w:val="000000" w:themeColor="text1"/>
          <w:sz w:val="32"/>
          <w:szCs w:val="32"/>
          <w:lang w:val="en-US" w:eastAsia="zh-CN"/>
          <w14:textFill>
            <w14:solidFill>
              <w14:schemeClr w14:val="tx1"/>
            </w14:solidFill>
          </w14:textFill>
        </w:rPr>
        <w:t>24.47</w:t>
      </w:r>
      <w:r>
        <w:rPr>
          <w:rFonts w:hint="eastAsia" w:ascii="仿宋" w:hAnsi="仿宋" w:eastAsia="仿宋"/>
          <w:b w:val="0"/>
          <w:bCs w:val="0"/>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;医疗卫生和计划生育支出</w:t>
      </w:r>
      <w:r>
        <w:rPr>
          <w:rFonts w:hint="eastAsia" w:ascii="仿宋" w:hAnsi="仿宋" w:eastAsia="仿宋"/>
          <w:color w:val="000000" w:themeColor="text1"/>
          <w:sz w:val="32"/>
          <w:szCs w:val="32"/>
          <w:lang w:val="en-US" w:eastAsia="zh-CN"/>
          <w14:textFill>
            <w14:solidFill>
              <w14:schemeClr w14:val="tx1"/>
            </w14:solidFill>
          </w14:textFill>
        </w:rPr>
        <w:t>3</w:t>
      </w:r>
      <w:r>
        <w:rPr>
          <w:rFonts w:hint="eastAsia" w:ascii="仿宋" w:hAnsi="仿宋" w:eastAsia="仿宋"/>
          <w:color w:val="000000" w:themeColor="text1"/>
          <w:sz w:val="32"/>
          <w:szCs w:val="32"/>
          <w14:textFill>
            <w14:solidFill>
              <w14:schemeClr w14:val="tx1"/>
            </w14:solidFill>
          </w14:textFill>
        </w:rPr>
        <w:t>万元，占支出预算总额的</w:t>
      </w:r>
      <w:r>
        <w:rPr>
          <w:rFonts w:hint="eastAsia" w:ascii="仿宋" w:hAnsi="仿宋" w:eastAsia="仿宋"/>
          <w:color w:val="000000" w:themeColor="text1"/>
          <w:sz w:val="32"/>
          <w:szCs w:val="32"/>
          <w:lang w:val="en-US" w:eastAsia="zh-CN"/>
          <w14:textFill>
            <w14:solidFill>
              <w14:schemeClr w14:val="tx1"/>
            </w14:solidFill>
          </w14:textFill>
        </w:rPr>
        <w:t>0.36</w:t>
      </w:r>
      <w:r>
        <w:rPr>
          <w:rFonts w:hint="eastAsia" w:ascii="仿宋" w:hAnsi="仿宋" w:eastAsia="仿宋"/>
          <w:color w:val="000000" w:themeColor="text1"/>
          <w:sz w:val="32"/>
          <w:szCs w:val="32"/>
          <w14:textFill>
            <w14:solidFill>
              <w14:schemeClr w14:val="tx1"/>
            </w14:solidFill>
          </w14:textFill>
        </w:rPr>
        <w:t>%；住房保障支出</w:t>
      </w:r>
      <w:r>
        <w:rPr>
          <w:rFonts w:hint="eastAsia" w:ascii="仿宋" w:hAnsi="仿宋" w:eastAsia="仿宋"/>
          <w:color w:val="000000" w:themeColor="text1"/>
          <w:sz w:val="32"/>
          <w:szCs w:val="32"/>
          <w:lang w:val="en-US" w:eastAsia="zh-CN"/>
          <w14:textFill>
            <w14:solidFill>
              <w14:schemeClr w14:val="tx1"/>
            </w14:solidFill>
          </w14:textFill>
        </w:rPr>
        <w:t>3.27</w:t>
      </w:r>
      <w:r>
        <w:rPr>
          <w:rFonts w:hint="eastAsia" w:ascii="仿宋" w:hAnsi="仿宋" w:eastAsia="仿宋"/>
          <w:color w:val="000000" w:themeColor="text1"/>
          <w:sz w:val="32"/>
          <w:szCs w:val="32"/>
          <w14:textFill>
            <w14:solidFill>
              <w14:schemeClr w14:val="tx1"/>
            </w14:solidFill>
          </w14:textFill>
        </w:rPr>
        <w:t>万元，占支出预算总额的</w:t>
      </w:r>
      <w:r>
        <w:rPr>
          <w:rFonts w:hint="eastAsia" w:ascii="仿宋" w:hAnsi="仿宋" w:eastAsia="仿宋"/>
          <w:color w:val="000000" w:themeColor="text1"/>
          <w:sz w:val="32"/>
          <w:szCs w:val="32"/>
          <w:lang w:val="en-US" w:eastAsia="zh-CN"/>
          <w14:textFill>
            <w14:solidFill>
              <w14:schemeClr w14:val="tx1"/>
            </w14:solidFill>
          </w14:textFill>
        </w:rPr>
        <w:t>0.04</w:t>
      </w:r>
      <w:r>
        <w:rPr>
          <w:rFonts w:hint="eastAsia" w:ascii="仿宋" w:hAnsi="仿宋" w:eastAsia="仿宋"/>
          <w:color w:val="000000" w:themeColor="text1"/>
          <w:sz w:val="32"/>
          <w:szCs w:val="32"/>
          <w14:textFill>
            <w14:solidFill>
              <w14:schemeClr w14:val="tx1"/>
            </w14:solidFill>
          </w14:textFill>
        </w:rPr>
        <w:t>%;社会保障和就业支出</w:t>
      </w:r>
      <w:r>
        <w:rPr>
          <w:rFonts w:hint="eastAsia" w:ascii="仿宋" w:hAnsi="仿宋" w:eastAsia="仿宋"/>
          <w:color w:val="000000" w:themeColor="text1"/>
          <w:sz w:val="32"/>
          <w:szCs w:val="32"/>
          <w:lang w:val="en-US" w:eastAsia="zh-CN"/>
          <w14:textFill>
            <w14:solidFill>
              <w14:schemeClr w14:val="tx1"/>
            </w14:solidFill>
          </w14:textFill>
        </w:rPr>
        <w:t>4.59</w:t>
      </w:r>
      <w:r>
        <w:rPr>
          <w:rFonts w:hint="eastAsia" w:ascii="仿宋" w:hAnsi="仿宋" w:eastAsia="仿宋"/>
          <w:color w:val="000000" w:themeColor="text1"/>
          <w:sz w:val="32"/>
          <w:szCs w:val="32"/>
          <w14:textFill>
            <w14:solidFill>
              <w14:schemeClr w14:val="tx1"/>
            </w14:solidFill>
          </w14:textFill>
        </w:rPr>
        <w:t>万元，占支出预算总额的</w:t>
      </w:r>
      <w:r>
        <w:rPr>
          <w:rFonts w:hint="eastAsia" w:ascii="仿宋" w:hAnsi="仿宋" w:eastAsia="仿宋"/>
          <w:color w:val="000000" w:themeColor="text1"/>
          <w:sz w:val="32"/>
          <w:szCs w:val="32"/>
          <w:lang w:val="en-US" w:eastAsia="zh-CN"/>
          <w14:textFill>
            <w14:solidFill>
              <w14:schemeClr w14:val="tx1"/>
            </w14:solidFill>
          </w14:textFill>
        </w:rPr>
        <w:t>0.56</w:t>
      </w: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lang w:eastAsia="zh-CN"/>
          <w14:textFill>
            <w14:solidFill>
              <w14:schemeClr w14:val="tx1"/>
            </w14:solidFill>
          </w14:textFill>
        </w:rPr>
        <w:t>，中餐补贴支出</w:t>
      </w:r>
      <w:r>
        <w:rPr>
          <w:rFonts w:hint="eastAsia" w:ascii="仿宋" w:hAnsi="仿宋" w:eastAsia="仿宋"/>
          <w:color w:val="000000" w:themeColor="text1"/>
          <w:sz w:val="32"/>
          <w:szCs w:val="32"/>
          <w:lang w:val="en-US" w:eastAsia="zh-CN"/>
          <w14:textFill>
            <w14:solidFill>
              <w14:schemeClr w14:val="tx1"/>
            </w14:solidFill>
          </w14:textFill>
        </w:rPr>
        <w:t>1.58</w:t>
      </w:r>
      <w:r>
        <w:rPr>
          <w:rFonts w:hint="eastAsia" w:ascii="仿宋" w:hAnsi="仿宋" w:eastAsia="仿宋"/>
          <w:color w:val="000000" w:themeColor="text1"/>
          <w:sz w:val="32"/>
          <w:szCs w:val="32"/>
          <w14:textFill>
            <w14:solidFill>
              <w14:schemeClr w14:val="tx1"/>
            </w14:solidFill>
          </w14:textFill>
        </w:rPr>
        <w:t>万元，占支出预算总额的</w:t>
      </w:r>
      <w:r>
        <w:rPr>
          <w:rFonts w:hint="eastAsia" w:ascii="仿宋" w:hAnsi="仿宋" w:eastAsia="仿宋"/>
          <w:color w:val="000000" w:themeColor="text1"/>
          <w:sz w:val="32"/>
          <w:szCs w:val="32"/>
          <w:lang w:val="en-US" w:eastAsia="zh-CN"/>
          <w14:textFill>
            <w14:solidFill>
              <w14:schemeClr w14:val="tx1"/>
            </w14:solidFill>
          </w14:textFill>
        </w:rPr>
        <w:t>0.02</w:t>
      </w: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lang w:eastAsia="zh-CN"/>
          <w14:textFill>
            <w14:solidFill>
              <w14:schemeClr w14:val="tx1"/>
            </w14:solidFill>
          </w14:textFill>
        </w:rPr>
        <w:t>，公车补贴支出</w:t>
      </w:r>
      <w:r>
        <w:rPr>
          <w:rFonts w:hint="eastAsia" w:ascii="仿宋" w:hAnsi="仿宋" w:eastAsia="仿宋"/>
          <w:color w:val="000000" w:themeColor="text1"/>
          <w:sz w:val="32"/>
          <w:szCs w:val="32"/>
          <w:lang w:val="en-US" w:eastAsia="zh-CN"/>
          <w14:textFill>
            <w14:solidFill>
              <w14:schemeClr w14:val="tx1"/>
            </w14:solidFill>
          </w14:textFill>
        </w:rPr>
        <w:t>3.24</w:t>
      </w:r>
      <w:r>
        <w:rPr>
          <w:rFonts w:hint="eastAsia" w:ascii="仿宋" w:hAnsi="仿宋" w:eastAsia="仿宋"/>
          <w:color w:val="000000" w:themeColor="text1"/>
          <w:sz w:val="32"/>
          <w:szCs w:val="32"/>
          <w14:textFill>
            <w14:solidFill>
              <w14:schemeClr w14:val="tx1"/>
            </w14:solidFill>
          </w14:textFill>
        </w:rPr>
        <w:t>万元，占支出预算总额的</w:t>
      </w:r>
      <w:r>
        <w:rPr>
          <w:rFonts w:hint="eastAsia" w:ascii="仿宋" w:hAnsi="仿宋" w:eastAsia="仿宋"/>
          <w:color w:val="000000" w:themeColor="text1"/>
          <w:sz w:val="32"/>
          <w:szCs w:val="32"/>
          <w:lang w:val="en-US" w:eastAsia="zh-CN"/>
          <w14:textFill>
            <w14:solidFill>
              <w14:schemeClr w14:val="tx1"/>
            </w14:solidFill>
          </w14:textFill>
        </w:rPr>
        <w:t>0.4</w:t>
      </w: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lang w:eastAsia="zh-CN"/>
          <w14:textFill>
            <w14:solidFill>
              <w14:schemeClr w14:val="tx1"/>
            </w14:solidFill>
          </w14:textFill>
        </w:rPr>
        <w:t>。</w:t>
      </w:r>
    </w:p>
    <w:p>
      <w:pPr>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（三）财政拨款支出情况</w:t>
      </w:r>
    </w:p>
    <w:p>
      <w:pPr>
        <w:keepNext w:val="0"/>
        <w:keepLines w:val="0"/>
        <w:pageBreakBefore w:val="0"/>
        <w:kinsoku/>
        <w:overflowPunct/>
        <w:topLinePunct w:val="0"/>
        <w:autoSpaceDN/>
        <w:bidi w:val="0"/>
        <w:adjustRightInd/>
        <w:spacing w:line="540" w:lineRule="exact"/>
        <w:ind w:left="150" w:firstLine="640" w:firstLineChars="200"/>
        <w:textAlignment w:val="auto"/>
        <w:rPr>
          <w:rFonts w:hint="default" w:ascii="仿宋" w:hAnsi="仿宋" w:eastAsia="仿宋"/>
          <w:sz w:val="32"/>
          <w:szCs w:val="32"/>
          <w:lang w:val="en-US" w:eastAsia="zh-CN"/>
        </w:rPr>
      </w:pPr>
      <w:r>
        <w:rPr>
          <w:rFonts w:hint="eastAsia" w:ascii="仿宋" w:hAnsi="仿宋" w:eastAsia="仿宋"/>
          <w:color w:val="000000" w:themeColor="text1"/>
          <w:sz w:val="32"/>
          <w:szCs w:val="32"/>
          <w14:textFill>
            <w14:solidFill>
              <w14:schemeClr w14:val="tx1"/>
            </w14:solidFill>
          </w14:textFill>
        </w:rPr>
        <w:t>202</w:t>
      </w:r>
      <w:r>
        <w:rPr>
          <w:rFonts w:hint="eastAsia" w:ascii="仿宋" w:hAnsi="仿宋" w:eastAsia="仿宋"/>
          <w:color w:val="000000" w:themeColor="text1"/>
          <w:sz w:val="32"/>
          <w:szCs w:val="32"/>
          <w:lang w:val="en-US" w:eastAsia="zh-CN"/>
          <w14:textFill>
            <w14:solidFill>
              <w14:schemeClr w14:val="tx1"/>
            </w14:solidFill>
          </w14:textFill>
        </w:rPr>
        <w:t>1</w:t>
      </w:r>
      <w:r>
        <w:rPr>
          <w:rFonts w:hint="eastAsia" w:ascii="仿宋" w:hAnsi="仿宋" w:eastAsia="仿宋"/>
          <w:color w:val="000000" w:themeColor="text1"/>
          <w:sz w:val="32"/>
          <w:szCs w:val="32"/>
          <w14:textFill>
            <w14:solidFill>
              <w14:schemeClr w14:val="tx1"/>
            </w14:solidFill>
          </w14:textFill>
        </w:rPr>
        <w:t>年</w:t>
      </w:r>
      <w:r>
        <w:rPr>
          <w:rFonts w:hint="eastAsia" w:ascii="仿宋" w:hAnsi="仿宋" w:eastAsia="仿宋"/>
          <w:color w:val="000000" w:themeColor="text1"/>
          <w:sz w:val="32"/>
          <w:szCs w:val="32"/>
          <w:lang w:eastAsia="zh-CN"/>
          <w14:textFill>
            <w14:solidFill>
              <w14:schemeClr w14:val="tx1"/>
            </w14:solidFill>
          </w14:textFill>
        </w:rPr>
        <w:t>金融工作局</w:t>
      </w:r>
      <w:r>
        <w:rPr>
          <w:rFonts w:hint="eastAsia" w:ascii="仿宋" w:hAnsi="仿宋" w:eastAsia="仿宋"/>
          <w:color w:val="000000" w:themeColor="text1"/>
          <w:sz w:val="32"/>
          <w:szCs w:val="32"/>
          <w14:textFill>
            <w14:solidFill>
              <w14:schemeClr w14:val="tx1"/>
            </w14:solidFill>
          </w14:textFill>
        </w:rPr>
        <w:t>拨款支出预算</w:t>
      </w:r>
      <w:r>
        <w:rPr>
          <w:rFonts w:hint="eastAsia" w:ascii="仿宋" w:hAnsi="仿宋" w:eastAsia="仿宋"/>
          <w:color w:val="000000" w:themeColor="text1"/>
          <w:sz w:val="32"/>
          <w:szCs w:val="32"/>
          <w:lang w:val="en-US" w:eastAsia="zh-CN"/>
          <w14:textFill>
            <w14:solidFill>
              <w14:schemeClr w14:val="tx1"/>
            </w14:solidFill>
          </w14:textFill>
        </w:rPr>
        <w:t>817.35</w:t>
      </w:r>
      <w:r>
        <w:rPr>
          <w:rFonts w:hint="eastAsia" w:ascii="仿宋" w:hAnsi="仿宋" w:eastAsia="仿宋"/>
          <w:color w:val="000000" w:themeColor="text1"/>
          <w:sz w:val="32"/>
          <w:szCs w:val="32"/>
          <w14:textFill>
            <w14:solidFill>
              <w14:schemeClr w14:val="tx1"/>
            </w14:solidFill>
          </w14:textFill>
        </w:rPr>
        <w:t>万元，</w:t>
      </w:r>
      <w:r>
        <w:rPr>
          <w:rFonts w:hint="eastAsia" w:ascii="仿宋_GB2312" w:hAnsi="仿宋_GB2312" w:eastAsia="仿宋_GB2312" w:cs="仿宋_GB2312"/>
          <w:color w:val="auto"/>
          <w:kern w:val="0"/>
          <w:sz w:val="32"/>
          <w:szCs w:val="32"/>
          <w:lang w:val="en-US" w:eastAsia="zh-CN" w:bidi="hi-IN"/>
        </w:rPr>
        <w:t>较上年增幅20.83%，</w:t>
      </w:r>
      <w:r>
        <w:rPr>
          <w:rFonts w:hint="eastAsia" w:ascii="仿宋" w:hAnsi="仿宋" w:eastAsia="仿宋"/>
          <w:color w:val="000000" w:themeColor="text1"/>
          <w:sz w:val="32"/>
          <w:szCs w:val="32"/>
          <w14:textFill>
            <w14:solidFill>
              <w14:schemeClr w14:val="tx1"/>
            </w14:solidFill>
          </w14:textFill>
        </w:rPr>
        <w:t>占支出总额的100%，</w:t>
      </w:r>
      <w:r>
        <w:rPr>
          <w:rFonts w:hint="eastAsia" w:ascii="仿宋" w:hAnsi="仿宋" w:eastAsia="仿宋"/>
          <w:sz w:val="32"/>
          <w:szCs w:val="32"/>
          <w:lang w:val="en-US" w:eastAsia="zh-CN"/>
        </w:rPr>
        <w:t>主要是机构改革，人员调整增加。</w:t>
      </w:r>
      <w:r>
        <w:rPr>
          <w:rFonts w:hint="eastAsia" w:ascii="仿宋" w:hAnsi="仿宋" w:eastAsia="仿宋"/>
          <w:color w:val="000000" w:themeColor="text1"/>
          <w:sz w:val="32"/>
          <w:szCs w:val="32"/>
          <w14:textFill>
            <w14:solidFill>
              <w14:schemeClr w14:val="tx1"/>
            </w14:solidFill>
          </w14:textFill>
        </w:rPr>
        <w:t>具体为：政策性农业保险县配套支出</w:t>
      </w:r>
      <w:r>
        <w:rPr>
          <w:rFonts w:hint="eastAsia" w:ascii="仿宋" w:hAnsi="仿宋" w:eastAsia="仿宋"/>
          <w:color w:val="000000" w:themeColor="text1"/>
          <w:sz w:val="32"/>
          <w:szCs w:val="32"/>
          <w:lang w:val="en-US" w:eastAsia="zh-CN"/>
          <w14:textFill>
            <w14:solidFill>
              <w14:schemeClr w14:val="tx1"/>
            </w14:solidFill>
          </w14:textFill>
        </w:rPr>
        <w:t>500</w:t>
      </w:r>
      <w:r>
        <w:rPr>
          <w:rFonts w:hint="eastAsia" w:ascii="仿宋" w:hAnsi="仿宋" w:eastAsia="仿宋"/>
          <w:color w:val="000000" w:themeColor="text1"/>
          <w:sz w:val="32"/>
          <w:szCs w:val="32"/>
          <w14:textFill>
            <w14:solidFill>
              <w14:schemeClr w14:val="tx1"/>
            </w14:solidFill>
          </w14:textFill>
        </w:rPr>
        <w:t>万元，占支出预算总额的</w:t>
      </w:r>
      <w:r>
        <w:rPr>
          <w:rFonts w:hint="eastAsia" w:ascii="仿宋" w:hAnsi="仿宋" w:eastAsia="仿宋"/>
          <w:color w:val="000000" w:themeColor="text1"/>
          <w:sz w:val="32"/>
          <w:szCs w:val="32"/>
          <w:lang w:val="en-US" w:eastAsia="zh-CN"/>
          <w14:textFill>
            <w14:solidFill>
              <w14:schemeClr w14:val="tx1"/>
            </w14:solidFill>
          </w14:textFill>
        </w:rPr>
        <w:t>67.29</w:t>
      </w:r>
      <w:r>
        <w:rPr>
          <w:rFonts w:hint="eastAsia" w:ascii="仿宋" w:hAnsi="仿宋" w:eastAsia="仿宋"/>
          <w:color w:val="000000" w:themeColor="text1"/>
          <w:sz w:val="32"/>
          <w:szCs w:val="32"/>
          <w14:textFill>
            <w14:solidFill>
              <w14:schemeClr w14:val="tx1"/>
            </w14:solidFill>
          </w14:textFill>
        </w:rPr>
        <w:t>%；20</w:t>
      </w:r>
      <w:r>
        <w:rPr>
          <w:rFonts w:hint="eastAsia" w:ascii="仿宋" w:hAnsi="仿宋" w:eastAsia="仿宋"/>
          <w:color w:val="000000" w:themeColor="text1"/>
          <w:sz w:val="32"/>
          <w:szCs w:val="32"/>
          <w:lang w:val="en-US" w:eastAsia="zh-CN"/>
          <w14:textFill>
            <w14:solidFill>
              <w14:schemeClr w14:val="tx1"/>
            </w14:solidFill>
          </w14:textFill>
        </w:rPr>
        <w:t>20</w:t>
      </w:r>
      <w:r>
        <w:rPr>
          <w:rFonts w:hint="eastAsia" w:ascii="仿宋" w:hAnsi="仿宋" w:eastAsia="仿宋"/>
          <w:color w:val="000000" w:themeColor="text1"/>
          <w:sz w:val="32"/>
          <w:szCs w:val="32"/>
          <w14:textFill>
            <w14:solidFill>
              <w14:schemeClr w14:val="tx1"/>
            </w14:solidFill>
          </w14:textFill>
        </w:rPr>
        <w:t>年县域经济金融发展考核奖励支出</w:t>
      </w:r>
      <w:r>
        <w:rPr>
          <w:rFonts w:hint="eastAsia" w:ascii="仿宋" w:hAnsi="仿宋" w:eastAsia="仿宋"/>
          <w:color w:val="000000" w:themeColor="text1"/>
          <w:sz w:val="32"/>
          <w:szCs w:val="32"/>
          <w:lang w:val="en-US" w:eastAsia="zh-CN"/>
          <w14:textFill>
            <w14:solidFill>
              <w14:schemeClr w14:val="tx1"/>
            </w14:solidFill>
          </w14:textFill>
        </w:rPr>
        <w:t>200</w:t>
      </w:r>
      <w:r>
        <w:rPr>
          <w:rFonts w:hint="eastAsia" w:ascii="仿宋" w:hAnsi="仿宋" w:eastAsia="仿宋"/>
          <w:color w:val="000000" w:themeColor="text1"/>
          <w:sz w:val="32"/>
          <w:szCs w:val="32"/>
          <w14:textFill>
            <w14:solidFill>
              <w14:schemeClr w14:val="tx1"/>
            </w14:solidFill>
          </w14:textFill>
        </w:rPr>
        <w:t>万元，占支出预算总额的</w:t>
      </w:r>
      <w:r>
        <w:rPr>
          <w:rFonts w:hint="eastAsia" w:ascii="仿宋" w:hAnsi="仿宋" w:eastAsia="仿宋"/>
          <w:color w:val="000000" w:themeColor="text1"/>
          <w:sz w:val="32"/>
          <w:szCs w:val="32"/>
          <w:lang w:val="en-US" w:eastAsia="zh-CN"/>
          <w14:textFill>
            <w14:solidFill>
              <w14:schemeClr w14:val="tx1"/>
            </w14:solidFill>
          </w14:textFill>
        </w:rPr>
        <w:t>24.47</w:t>
      </w:r>
      <w:r>
        <w:rPr>
          <w:rFonts w:hint="eastAsia" w:ascii="仿宋" w:hAnsi="仿宋" w:eastAsia="仿宋"/>
          <w:color w:val="000000" w:themeColor="text1"/>
          <w:sz w:val="32"/>
          <w:szCs w:val="32"/>
          <w14:textFill>
            <w14:solidFill>
              <w14:schemeClr w14:val="tx1"/>
            </w14:solidFill>
          </w14:textFill>
        </w:rPr>
        <w:t>%;医疗卫生和计划生育支出</w:t>
      </w:r>
      <w:r>
        <w:rPr>
          <w:rFonts w:hint="eastAsia" w:ascii="仿宋" w:hAnsi="仿宋" w:eastAsia="仿宋"/>
          <w:color w:val="000000" w:themeColor="text1"/>
          <w:sz w:val="32"/>
          <w:szCs w:val="32"/>
          <w:lang w:val="en-US" w:eastAsia="zh-CN"/>
          <w14:textFill>
            <w14:solidFill>
              <w14:schemeClr w14:val="tx1"/>
            </w14:solidFill>
          </w14:textFill>
        </w:rPr>
        <w:t>3</w:t>
      </w:r>
      <w:r>
        <w:rPr>
          <w:rFonts w:hint="eastAsia" w:ascii="仿宋" w:hAnsi="仿宋" w:eastAsia="仿宋"/>
          <w:color w:val="000000" w:themeColor="text1"/>
          <w:sz w:val="32"/>
          <w:szCs w:val="32"/>
          <w14:textFill>
            <w14:solidFill>
              <w14:schemeClr w14:val="tx1"/>
            </w14:solidFill>
          </w14:textFill>
        </w:rPr>
        <w:t>万元，占支出预算总额的</w:t>
      </w:r>
      <w:r>
        <w:rPr>
          <w:rFonts w:hint="eastAsia" w:ascii="仿宋" w:hAnsi="仿宋" w:eastAsia="仿宋"/>
          <w:color w:val="000000" w:themeColor="text1"/>
          <w:sz w:val="32"/>
          <w:szCs w:val="32"/>
          <w:lang w:val="en-US" w:eastAsia="zh-CN"/>
          <w14:textFill>
            <w14:solidFill>
              <w14:schemeClr w14:val="tx1"/>
            </w14:solidFill>
          </w14:textFill>
        </w:rPr>
        <w:t>0.4</w:t>
      </w:r>
      <w:r>
        <w:rPr>
          <w:rFonts w:hint="eastAsia" w:ascii="仿宋" w:hAnsi="仿宋" w:eastAsia="仿宋"/>
          <w:color w:val="000000" w:themeColor="text1"/>
          <w:sz w:val="32"/>
          <w:szCs w:val="32"/>
          <w14:textFill>
            <w14:solidFill>
              <w14:schemeClr w14:val="tx1"/>
            </w14:solidFill>
          </w14:textFill>
        </w:rPr>
        <w:t>%；住房保障支出</w:t>
      </w:r>
      <w:r>
        <w:rPr>
          <w:rFonts w:hint="eastAsia" w:ascii="仿宋" w:hAnsi="仿宋" w:eastAsia="仿宋"/>
          <w:color w:val="000000" w:themeColor="text1"/>
          <w:sz w:val="32"/>
          <w:szCs w:val="32"/>
          <w:lang w:val="en-US" w:eastAsia="zh-CN"/>
          <w14:textFill>
            <w14:solidFill>
              <w14:schemeClr w14:val="tx1"/>
            </w14:solidFill>
          </w14:textFill>
        </w:rPr>
        <w:t>3.27</w:t>
      </w:r>
      <w:r>
        <w:rPr>
          <w:rFonts w:hint="eastAsia" w:ascii="仿宋" w:hAnsi="仿宋" w:eastAsia="仿宋"/>
          <w:color w:val="000000" w:themeColor="text1"/>
          <w:sz w:val="32"/>
          <w:szCs w:val="32"/>
          <w14:textFill>
            <w14:solidFill>
              <w14:schemeClr w14:val="tx1"/>
            </w14:solidFill>
          </w14:textFill>
        </w:rPr>
        <w:t>万元，占支出预算总额的</w:t>
      </w:r>
      <w:r>
        <w:rPr>
          <w:rFonts w:hint="eastAsia" w:ascii="仿宋" w:hAnsi="仿宋" w:eastAsia="仿宋"/>
          <w:color w:val="000000" w:themeColor="text1"/>
          <w:sz w:val="32"/>
          <w:szCs w:val="32"/>
          <w:lang w:val="en-US" w:eastAsia="zh-CN"/>
          <w14:textFill>
            <w14:solidFill>
              <w14:schemeClr w14:val="tx1"/>
            </w14:solidFill>
          </w14:textFill>
        </w:rPr>
        <w:t>0.043</w:t>
      </w:r>
      <w:r>
        <w:rPr>
          <w:rFonts w:hint="eastAsia" w:ascii="仿宋" w:hAnsi="仿宋" w:eastAsia="仿宋"/>
          <w:color w:val="000000" w:themeColor="text1"/>
          <w:sz w:val="32"/>
          <w:szCs w:val="32"/>
          <w14:textFill>
            <w14:solidFill>
              <w14:schemeClr w14:val="tx1"/>
            </w14:solidFill>
          </w14:textFill>
        </w:rPr>
        <w:t>%;社会保障和就业支出</w:t>
      </w:r>
      <w:r>
        <w:rPr>
          <w:rFonts w:hint="eastAsia" w:ascii="仿宋" w:hAnsi="仿宋" w:eastAsia="仿宋"/>
          <w:color w:val="000000" w:themeColor="text1"/>
          <w:sz w:val="32"/>
          <w:szCs w:val="32"/>
          <w:lang w:val="en-US" w:eastAsia="zh-CN"/>
          <w14:textFill>
            <w14:solidFill>
              <w14:schemeClr w14:val="tx1"/>
            </w14:solidFill>
          </w14:textFill>
        </w:rPr>
        <w:t>4.59</w:t>
      </w:r>
      <w:r>
        <w:rPr>
          <w:rFonts w:hint="eastAsia" w:ascii="仿宋" w:hAnsi="仿宋" w:eastAsia="仿宋"/>
          <w:color w:val="000000" w:themeColor="text1"/>
          <w:sz w:val="32"/>
          <w:szCs w:val="32"/>
          <w14:textFill>
            <w14:solidFill>
              <w14:schemeClr w14:val="tx1"/>
            </w14:solidFill>
          </w14:textFill>
        </w:rPr>
        <w:t>万元，占支出预算总额的</w:t>
      </w:r>
      <w:r>
        <w:rPr>
          <w:rFonts w:hint="eastAsia" w:ascii="仿宋" w:hAnsi="仿宋" w:eastAsia="仿宋"/>
          <w:color w:val="000000" w:themeColor="text1"/>
          <w:sz w:val="32"/>
          <w:szCs w:val="32"/>
          <w:lang w:val="en-US" w:eastAsia="zh-CN"/>
          <w14:textFill>
            <w14:solidFill>
              <w14:schemeClr w14:val="tx1"/>
            </w14:solidFill>
          </w14:textFill>
        </w:rPr>
        <w:t>0.56</w:t>
      </w: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lang w:eastAsia="zh-CN"/>
          <w14:textFill>
            <w14:solidFill>
              <w14:schemeClr w14:val="tx1"/>
            </w14:solidFill>
          </w14:textFill>
        </w:rPr>
        <w:t>。</w:t>
      </w:r>
    </w:p>
    <w:p>
      <w:pPr>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（四）政府性基金情况</w:t>
      </w:r>
    </w:p>
    <w:p>
      <w:pPr>
        <w:ind w:firstLine="600" w:firstLineChars="200"/>
        <w:rPr>
          <w:rFonts w:hint="eastAsia" w:ascii="仿宋" w:hAnsi="仿宋" w:eastAsia="仿宋" w:cs="仿宋"/>
          <w:sz w:val="30"/>
          <w:szCs w:val="30"/>
          <w:lang w:eastAsia="zh-CN"/>
        </w:rPr>
      </w:pPr>
      <w:r>
        <w:rPr>
          <w:rFonts w:hint="eastAsia" w:ascii="仿宋" w:hAnsi="仿宋" w:eastAsia="仿宋" w:cs="仿宋"/>
          <w:sz w:val="30"/>
          <w:szCs w:val="30"/>
          <w:lang w:eastAsia="zh-CN"/>
        </w:rPr>
        <w:t>无</w:t>
      </w:r>
    </w:p>
    <w:p>
      <w:pPr>
        <w:ind w:firstLine="428" w:firstLineChars="142"/>
        <w:rPr>
          <w:rFonts w:hint="eastAsia" w:ascii="仿宋" w:hAnsi="仿宋" w:eastAsia="仿宋" w:cs="仿宋"/>
          <w:b/>
          <w:bCs/>
          <w:sz w:val="30"/>
          <w:szCs w:val="30"/>
        </w:rPr>
      </w:pPr>
      <w:r>
        <w:rPr>
          <w:rFonts w:hint="eastAsia" w:ascii="仿宋" w:hAnsi="仿宋" w:eastAsia="仿宋" w:cs="仿宋"/>
          <w:b/>
          <w:bCs/>
          <w:sz w:val="30"/>
          <w:szCs w:val="30"/>
        </w:rPr>
        <w:t>（五）机关运行经费等重要事项的说明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2021</w:t>
      </w:r>
      <w:r>
        <w:rPr>
          <w:rFonts w:hint="eastAsia" w:ascii="仿宋_GB2312" w:hAnsi="仿宋_GB2312" w:eastAsia="仿宋_GB2312" w:cs="仿宋_GB2312"/>
          <w:sz w:val="32"/>
          <w:szCs w:val="32"/>
        </w:rPr>
        <w:t>年部门运行</w:t>
      </w:r>
      <w:r>
        <w:rPr>
          <w:rFonts w:hint="eastAsia" w:ascii="仿宋_GB2312" w:hAnsi="仿宋_GB2312" w:eastAsia="仿宋_GB2312" w:cs="仿宋_GB2312"/>
          <w:sz w:val="32"/>
          <w:szCs w:val="32"/>
          <w:lang w:eastAsia="zh-CN"/>
        </w:rPr>
        <w:t>经</w:t>
      </w:r>
      <w:r>
        <w:rPr>
          <w:rFonts w:hint="eastAsia" w:ascii="仿宋_GB2312" w:hAnsi="仿宋_GB2312" w:eastAsia="仿宋_GB2312" w:cs="仿宋_GB2312"/>
          <w:sz w:val="32"/>
          <w:szCs w:val="32"/>
        </w:rPr>
        <w:t>费预算</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比上年增加</w:t>
      </w:r>
      <w:r>
        <w:rPr>
          <w:rFonts w:hint="eastAsia" w:ascii="仿宋_GB2312" w:hAnsi="仿宋_GB2312" w:eastAsia="仿宋_GB2312" w:cs="仿宋_GB2312"/>
          <w:sz w:val="32"/>
          <w:szCs w:val="32"/>
          <w:lang w:val="en-US" w:eastAsia="zh-CN"/>
        </w:rPr>
        <w:t>5万元，</w:t>
      </w:r>
      <w:r>
        <w:rPr>
          <w:rFonts w:hint="eastAsia" w:ascii="仿宋" w:hAnsi="仿宋" w:eastAsia="仿宋" w:cs="仿宋"/>
          <w:sz w:val="30"/>
          <w:szCs w:val="30"/>
        </w:rPr>
        <w:t>增长</w:t>
      </w:r>
      <w:r>
        <w:rPr>
          <w:rFonts w:hint="eastAsia" w:ascii="仿宋" w:hAnsi="仿宋" w:eastAsia="仿宋" w:cs="仿宋"/>
          <w:sz w:val="30"/>
          <w:szCs w:val="30"/>
          <w:u w:val="single"/>
          <w:lang w:val="en-US" w:eastAsia="zh-CN"/>
        </w:rPr>
        <w:t>33.33</w:t>
      </w:r>
      <w:r>
        <w:rPr>
          <w:rFonts w:hint="eastAsia" w:ascii="仿宋" w:hAnsi="仿宋" w:eastAsia="仿宋" w:cs="仿宋"/>
          <w:sz w:val="30"/>
          <w:szCs w:val="30"/>
        </w:rPr>
        <w:t>％</w:t>
      </w:r>
      <w:r>
        <w:rPr>
          <w:rFonts w:hint="eastAsia" w:ascii="仿宋" w:hAnsi="仿宋" w:eastAsia="仿宋" w:cs="仿宋"/>
          <w:sz w:val="30"/>
          <w:szCs w:val="30"/>
          <w:lang w:eastAsia="zh-CN"/>
        </w:rPr>
        <w:t>，</w:t>
      </w:r>
      <w:r>
        <w:rPr>
          <w:rFonts w:hint="eastAsia" w:ascii="仿宋_GB2312" w:hAnsi="仿宋_GB2312" w:eastAsia="仿宋_GB2312" w:cs="仿宋_GB2312"/>
          <w:sz w:val="32"/>
          <w:szCs w:val="32"/>
          <w:lang w:val="en-US" w:eastAsia="zh-CN"/>
        </w:rPr>
        <w:t>主要原因</w:t>
      </w:r>
      <w:r>
        <w:rPr>
          <w:rFonts w:hint="eastAsia" w:ascii="仿宋_GB2312" w:hAnsi="仿宋_GB2312" w:eastAsia="仿宋_GB2312" w:cs="仿宋_GB2312"/>
          <w:sz w:val="32"/>
          <w:szCs w:val="32"/>
          <w:lang w:eastAsia="zh-CN"/>
        </w:rPr>
        <w:t>根据江西省打击和处置非法集资工作领导小组《关于印发</w:t>
      </w:r>
      <w:r>
        <w:rPr>
          <w:rFonts w:hint="eastAsia" w:ascii="仿宋_GB2312" w:hAnsi="仿宋_GB2312" w:eastAsia="仿宋_GB2312" w:cs="仿宋_GB2312"/>
          <w:sz w:val="32"/>
          <w:szCs w:val="32"/>
          <w:lang w:val="en-US" w:eastAsia="zh-CN"/>
        </w:rPr>
        <w:t>2019年社区市防范和处置非法集资平安建设工作考核评价细则的通知</w:t>
      </w:r>
      <w:r>
        <w:rPr>
          <w:rFonts w:hint="eastAsia" w:ascii="仿宋_GB2312" w:hAnsi="仿宋_GB2312" w:eastAsia="仿宋_GB2312" w:cs="仿宋_GB2312"/>
          <w:sz w:val="32"/>
          <w:szCs w:val="32"/>
          <w:lang w:eastAsia="zh-CN"/>
        </w:rPr>
        <w:t>》（赣处非发〔</w:t>
      </w:r>
      <w:r>
        <w:rPr>
          <w:rFonts w:hint="eastAsia" w:ascii="仿宋_GB2312" w:hAnsi="仿宋_GB2312" w:eastAsia="仿宋_GB2312" w:cs="仿宋_GB2312"/>
          <w:sz w:val="32"/>
          <w:szCs w:val="32"/>
          <w:lang w:val="en-US" w:eastAsia="zh-CN"/>
        </w:rPr>
        <w:t>2019</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2号</w:t>
      </w:r>
      <w:r>
        <w:rPr>
          <w:rFonts w:hint="eastAsia" w:ascii="仿宋_GB2312" w:hAnsi="仿宋_GB2312" w:eastAsia="仿宋_GB2312" w:cs="仿宋_GB2312"/>
          <w:sz w:val="32"/>
          <w:szCs w:val="32"/>
          <w:lang w:eastAsia="zh-CN"/>
        </w:rPr>
        <w:t>）文件考核内容第一条“明确防范和处置非法集资专门机构，合理配置专职工作人员，保障相关工作经费并纳入同级政府预算”我局</w:t>
      </w:r>
      <w:r>
        <w:rPr>
          <w:rFonts w:hint="eastAsia" w:ascii="仿宋_GB2312" w:hAnsi="仿宋_GB2312" w:eastAsia="仿宋_GB2312" w:cs="仿宋_GB2312"/>
          <w:sz w:val="32"/>
          <w:szCs w:val="32"/>
          <w:lang w:val="en-US" w:eastAsia="zh-CN"/>
        </w:rPr>
        <w:t>2021年预算</w:t>
      </w:r>
      <w:r>
        <w:rPr>
          <w:rFonts w:hint="eastAsia" w:ascii="仿宋_GB2312" w:hAnsi="仿宋_GB2312" w:eastAsia="仿宋_GB2312" w:cs="仿宋_GB2312"/>
          <w:sz w:val="32"/>
          <w:szCs w:val="32"/>
          <w:lang w:eastAsia="zh-CN"/>
        </w:rPr>
        <w:t>非法集资工作经费支出</w:t>
      </w:r>
      <w:r>
        <w:rPr>
          <w:rFonts w:hint="eastAsia" w:ascii="仿宋_GB2312" w:hAnsi="仿宋_GB2312" w:eastAsia="仿宋_GB2312" w:cs="仿宋_GB2312"/>
          <w:sz w:val="32"/>
          <w:szCs w:val="32"/>
          <w:lang w:val="en-US" w:eastAsia="zh-CN"/>
        </w:rPr>
        <w:t>5万元，占项目资金的0.56%。</w:t>
      </w:r>
      <w:r>
        <w:rPr>
          <w:rFonts w:hint="eastAsia" w:ascii="仿宋_GB2312" w:hAnsi="仿宋_GB2312" w:eastAsia="仿宋_GB2312" w:cs="仿宋_GB2312"/>
          <w:sz w:val="32"/>
          <w:szCs w:val="32"/>
        </w:rPr>
        <w:t>本级</w:t>
      </w:r>
      <w:r>
        <w:rPr>
          <w:rFonts w:hint="eastAsia" w:ascii="仿宋_GB2312" w:hAnsi="仿宋_GB2312" w:eastAsia="仿宋_GB2312" w:cs="仿宋_GB2312"/>
          <w:sz w:val="32"/>
          <w:szCs w:val="32"/>
          <w:lang w:eastAsia="zh-CN"/>
        </w:rPr>
        <w:t>无下属单位。</w:t>
      </w:r>
    </w:p>
    <w:p>
      <w:pPr>
        <w:ind w:firstLine="569" w:firstLineChars="189"/>
        <w:rPr>
          <w:rFonts w:hint="eastAsia" w:ascii="仿宋" w:hAnsi="仿宋" w:eastAsia="仿宋" w:cs="仿宋"/>
          <w:b/>
          <w:bCs/>
          <w:sz w:val="30"/>
          <w:szCs w:val="30"/>
        </w:rPr>
      </w:pPr>
      <w:r>
        <w:rPr>
          <w:rFonts w:hint="eastAsia" w:ascii="仿宋" w:hAnsi="仿宋" w:eastAsia="仿宋" w:cs="仿宋"/>
          <w:b/>
          <w:bCs/>
          <w:sz w:val="30"/>
          <w:szCs w:val="30"/>
        </w:rPr>
        <w:t>（六）政府采购情况</w:t>
      </w:r>
    </w:p>
    <w:p>
      <w:pPr>
        <w:ind w:firstLine="567" w:firstLineChars="189"/>
        <w:rPr>
          <w:rFonts w:hint="eastAsia" w:ascii="仿宋" w:hAnsi="仿宋" w:eastAsia="仿宋" w:cs="仿宋"/>
          <w:sz w:val="30"/>
          <w:szCs w:val="30"/>
          <w:lang w:eastAsia="zh-CN"/>
        </w:rPr>
      </w:pPr>
      <w:r>
        <w:rPr>
          <w:rFonts w:hint="eastAsia" w:ascii="仿宋" w:hAnsi="仿宋" w:eastAsia="仿宋" w:cs="仿宋"/>
          <w:sz w:val="30"/>
          <w:szCs w:val="30"/>
        </w:rPr>
        <w:t>2021年部门</w:t>
      </w:r>
      <w:r>
        <w:rPr>
          <w:rFonts w:hint="eastAsia" w:ascii="仿宋" w:hAnsi="仿宋" w:eastAsia="仿宋" w:cs="仿宋"/>
          <w:sz w:val="30"/>
          <w:szCs w:val="30"/>
          <w:lang w:eastAsia="zh-CN"/>
        </w:rPr>
        <w:t>或单位</w:t>
      </w:r>
      <w:r>
        <w:rPr>
          <w:rFonts w:hint="eastAsia" w:ascii="仿宋" w:hAnsi="仿宋" w:eastAsia="仿宋" w:cs="仿宋"/>
          <w:sz w:val="30"/>
          <w:szCs w:val="30"/>
        </w:rPr>
        <w:t>所属各单位政府采购总额</w:t>
      </w:r>
      <w:r>
        <w:rPr>
          <w:rFonts w:hint="eastAsia" w:ascii="仿宋" w:hAnsi="仿宋" w:eastAsia="仿宋" w:cs="仿宋"/>
          <w:sz w:val="30"/>
          <w:szCs w:val="30"/>
          <w:u w:val="single"/>
          <w:lang w:val="en-US" w:eastAsia="zh-CN"/>
        </w:rPr>
        <w:t>3</w:t>
      </w:r>
      <w:r>
        <w:rPr>
          <w:rFonts w:hint="eastAsia" w:ascii="仿宋" w:hAnsi="仿宋" w:eastAsia="仿宋" w:cs="仿宋"/>
          <w:sz w:val="30"/>
          <w:szCs w:val="30"/>
        </w:rPr>
        <w:t>万元，其中：政府采购货物预算</w:t>
      </w:r>
      <w:r>
        <w:rPr>
          <w:rFonts w:hint="eastAsia" w:ascii="仿宋" w:hAnsi="仿宋" w:eastAsia="仿宋" w:cs="仿宋"/>
          <w:sz w:val="30"/>
          <w:szCs w:val="30"/>
          <w:u w:val="single"/>
          <w:lang w:val="en-US" w:eastAsia="zh-CN"/>
        </w:rPr>
        <w:t>3</w:t>
      </w:r>
      <w:r>
        <w:rPr>
          <w:rFonts w:hint="eastAsia" w:ascii="仿宋" w:hAnsi="仿宋" w:eastAsia="仿宋" w:cs="仿宋"/>
          <w:sz w:val="30"/>
          <w:szCs w:val="30"/>
        </w:rPr>
        <w:t>万元</w:t>
      </w:r>
      <w:r>
        <w:rPr>
          <w:rFonts w:hint="eastAsia" w:ascii="仿宋" w:hAnsi="仿宋" w:eastAsia="仿宋" w:cs="仿宋"/>
          <w:sz w:val="30"/>
          <w:szCs w:val="30"/>
          <w:lang w:eastAsia="zh-CN"/>
        </w:rPr>
        <w:t>，</w:t>
      </w:r>
      <w:r>
        <w:rPr>
          <w:rFonts w:hint="eastAsia" w:ascii="仿宋_GB2312" w:hAnsi="仿宋_GB2312" w:eastAsia="仿宋_GB2312" w:cs="仿宋_GB2312"/>
          <w:sz w:val="32"/>
          <w:szCs w:val="32"/>
          <w:lang w:val="en-US" w:eastAsia="zh-CN"/>
        </w:rPr>
        <w:t>占支出预算总额的0.34%。</w:t>
      </w:r>
    </w:p>
    <w:p>
      <w:pPr>
        <w:ind w:firstLine="569" w:firstLineChars="189"/>
        <w:rPr>
          <w:rFonts w:hint="eastAsia" w:ascii="仿宋" w:hAnsi="仿宋" w:eastAsia="仿宋" w:cs="仿宋"/>
          <w:b/>
          <w:bCs/>
          <w:sz w:val="30"/>
          <w:szCs w:val="30"/>
        </w:rPr>
      </w:pPr>
      <w:r>
        <w:rPr>
          <w:rFonts w:hint="eastAsia" w:ascii="仿宋" w:hAnsi="仿宋" w:eastAsia="仿宋" w:cs="仿宋"/>
          <w:b/>
          <w:bCs/>
          <w:sz w:val="30"/>
          <w:szCs w:val="30"/>
        </w:rPr>
        <w:t>（七）国有资产占有使用情况</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截至202</w:t>
      </w:r>
      <w:r>
        <w:rPr>
          <w:rFonts w:hint="eastAsia" w:ascii="仿宋" w:hAnsi="仿宋" w:eastAsia="仿宋" w:cs="仿宋"/>
          <w:sz w:val="30"/>
          <w:szCs w:val="30"/>
          <w:lang w:val="en-US" w:eastAsia="zh-CN"/>
        </w:rPr>
        <w:t>1</w:t>
      </w:r>
      <w:r>
        <w:rPr>
          <w:rFonts w:hint="eastAsia" w:ascii="仿宋" w:hAnsi="仿宋" w:eastAsia="仿宋" w:cs="仿宋"/>
          <w:sz w:val="30"/>
          <w:szCs w:val="30"/>
        </w:rPr>
        <w:t>年12月31日、部门共有车辆</w:t>
      </w:r>
      <w:r>
        <w:rPr>
          <w:rFonts w:hint="eastAsia" w:ascii="仿宋" w:hAnsi="仿宋" w:eastAsia="仿宋" w:cs="仿宋"/>
          <w:sz w:val="30"/>
          <w:szCs w:val="30"/>
          <w:u w:val="single"/>
          <w:lang w:val="en-US" w:eastAsia="zh-CN"/>
        </w:rPr>
        <w:t>0</w:t>
      </w:r>
      <w:r>
        <w:rPr>
          <w:rFonts w:hint="eastAsia" w:ascii="仿宋" w:hAnsi="仿宋" w:eastAsia="仿宋" w:cs="仿宋"/>
          <w:sz w:val="30"/>
          <w:szCs w:val="30"/>
        </w:rPr>
        <w:t>辆。</w:t>
      </w:r>
    </w:p>
    <w:p>
      <w:pPr>
        <w:jc w:val="left"/>
        <w:rPr>
          <w:rFonts w:hint="eastAsia" w:ascii="仿宋" w:hAnsi="仿宋" w:eastAsia="仿宋" w:cs="仿宋"/>
          <w:b/>
          <w:bCs/>
          <w:sz w:val="30"/>
          <w:szCs w:val="30"/>
        </w:rPr>
      </w:pPr>
      <w:r>
        <w:rPr>
          <w:rFonts w:hint="eastAsia" w:ascii="仿宋" w:hAnsi="仿宋" w:eastAsia="仿宋" w:cs="仿宋"/>
          <w:sz w:val="30"/>
          <w:szCs w:val="30"/>
        </w:rPr>
        <w:t>2021年部门</w:t>
      </w:r>
      <w:r>
        <w:rPr>
          <w:rFonts w:hint="eastAsia" w:ascii="仿宋" w:hAnsi="仿宋" w:eastAsia="仿宋" w:cs="仿宋"/>
          <w:sz w:val="30"/>
          <w:szCs w:val="30"/>
          <w:lang w:eastAsia="zh-CN"/>
        </w:rPr>
        <w:t>或单位</w:t>
      </w:r>
      <w:r>
        <w:rPr>
          <w:rFonts w:hint="eastAsia" w:ascii="仿宋" w:hAnsi="仿宋" w:eastAsia="仿宋" w:cs="仿宋"/>
          <w:sz w:val="30"/>
          <w:szCs w:val="30"/>
        </w:rPr>
        <w:t>预算安排购置车辆</w:t>
      </w:r>
      <w:r>
        <w:rPr>
          <w:rFonts w:hint="eastAsia" w:ascii="仿宋" w:hAnsi="仿宋" w:eastAsia="仿宋" w:cs="仿宋"/>
          <w:sz w:val="30"/>
          <w:szCs w:val="30"/>
          <w:u w:val="single"/>
          <w:lang w:val="en-US" w:eastAsia="zh-CN"/>
        </w:rPr>
        <w:t>0</w:t>
      </w:r>
      <w:r>
        <w:rPr>
          <w:rFonts w:hint="eastAsia" w:ascii="仿宋" w:hAnsi="仿宋" w:eastAsia="仿宋" w:cs="仿宋"/>
          <w:sz w:val="30"/>
          <w:szCs w:val="30"/>
        </w:rPr>
        <w:t>辆，安排购置单位价值200万元以上大型设备具体为</w:t>
      </w:r>
      <w:r>
        <w:rPr>
          <w:rFonts w:hint="eastAsia" w:ascii="仿宋" w:hAnsi="仿宋" w:eastAsia="仿宋" w:cs="仿宋"/>
          <w:sz w:val="30"/>
          <w:szCs w:val="30"/>
          <w:lang w:eastAsia="zh-CN"/>
        </w:rPr>
        <w:t>无</w:t>
      </w:r>
      <w:r>
        <w:rPr>
          <w:rFonts w:hint="eastAsia" w:ascii="仿宋" w:hAnsi="仿宋" w:eastAsia="仿宋" w:cs="仿宋"/>
          <w:sz w:val="30"/>
          <w:szCs w:val="30"/>
        </w:rPr>
        <w:t>。</w:t>
      </w:r>
    </w:p>
    <w:p>
      <w:pPr>
        <w:ind w:firstLine="569" w:firstLineChars="189"/>
        <w:rPr>
          <w:rFonts w:hint="eastAsia" w:ascii="仿宋" w:hAnsi="仿宋" w:eastAsia="仿宋" w:cs="仿宋"/>
          <w:b/>
          <w:bCs/>
          <w:sz w:val="30"/>
          <w:szCs w:val="30"/>
        </w:rPr>
      </w:pPr>
      <w:r>
        <w:rPr>
          <w:rFonts w:hint="eastAsia" w:ascii="仿宋" w:hAnsi="仿宋" w:eastAsia="仿宋" w:cs="仿宋"/>
          <w:b/>
          <w:bCs/>
          <w:sz w:val="30"/>
          <w:szCs w:val="30"/>
        </w:rPr>
        <w:t>（八）绩效目标设置情况</w:t>
      </w:r>
    </w:p>
    <w:p>
      <w:pPr>
        <w:pStyle w:val="6"/>
        <w:keepNext w:val="0"/>
        <w:keepLines w:val="0"/>
        <w:pageBreakBefore w:val="0"/>
        <w:kinsoku/>
        <w:wordWrap/>
        <w:overflowPunct w:val="0"/>
        <w:topLinePunct w:val="0"/>
        <w:autoSpaceDE/>
        <w:autoSpaceDN/>
        <w:bidi w:val="0"/>
        <w:spacing w:line="600" w:lineRule="exact"/>
        <w:ind w:firstLine="640"/>
        <w:textAlignment w:val="auto"/>
        <w:rPr>
          <w:rFonts w:hint="eastAsia" w:ascii="仿宋_GB2312" w:hAnsi="仿宋_GB2312" w:eastAsia="仿宋_GB2312" w:cs="仿宋_GB2312"/>
          <w:color w:val="auto"/>
          <w:kern w:val="0"/>
          <w:sz w:val="32"/>
          <w:szCs w:val="32"/>
          <w:lang w:val="en-US" w:eastAsia="zh-CN" w:bidi="hi-IN"/>
        </w:rPr>
      </w:pPr>
      <w:r>
        <w:rPr>
          <w:rFonts w:ascii="仿宋" w:hAnsi="仿宋" w:eastAsia="仿宋"/>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color w:val="auto"/>
          <w:kern w:val="0"/>
          <w:sz w:val="32"/>
          <w:szCs w:val="32"/>
          <w:lang w:val="en-US" w:eastAsia="zh-CN" w:bidi="hi-IN"/>
        </w:rPr>
        <w:t>021年我局项目2个，预算支出一共770万元，其中财政拨款770万元，占比100%。主要项目为农业保险资金550万元，占项目资金的71.43%；主要用于我县特色“一县一品肉牛保险”、农房保险、农业综合险；县域经济发展考核奖励资金200万元，占项目资金的24.97%，主要用于我县县域经济银行考核奖励。</w:t>
      </w:r>
    </w:p>
    <w:p>
      <w:pPr>
        <w:keepNext w:val="0"/>
        <w:keepLines w:val="0"/>
        <w:pageBreakBefore w:val="0"/>
        <w:kinsoku/>
        <w:wordWrap/>
        <w:topLinePunct w:val="0"/>
        <w:autoSpaceDE/>
        <w:autoSpaceDN/>
        <w:bidi w:val="0"/>
        <w:spacing w:line="600" w:lineRule="exact"/>
        <w:rPr>
          <w:rFonts w:hint="eastAsia" w:ascii="仿宋_GB2312" w:hAnsi="仿宋_GB2312" w:eastAsia="仿宋_GB2312" w:cs="仿宋_GB2312"/>
          <w:color w:val="auto"/>
          <w:kern w:val="0"/>
          <w:sz w:val="32"/>
          <w:szCs w:val="32"/>
          <w:lang w:val="en-US" w:eastAsia="zh-CN" w:bidi="hi-IN"/>
        </w:rPr>
      </w:pPr>
      <w:r>
        <w:rPr>
          <w:rFonts w:hint="eastAsia" w:ascii="仿宋_GB2312" w:hAnsi="仿宋_GB2312" w:eastAsia="仿宋_GB2312" w:cs="仿宋_GB2312"/>
          <w:color w:val="auto"/>
          <w:kern w:val="0"/>
          <w:sz w:val="32"/>
          <w:szCs w:val="32"/>
          <w:lang w:val="en-US" w:eastAsia="zh-CN" w:bidi="hi-IN"/>
        </w:rPr>
        <w:t>项目名称一：综合保险资金</w:t>
      </w:r>
    </w:p>
    <w:p>
      <w:pPr>
        <w:keepNext w:val="0"/>
        <w:keepLines w:val="0"/>
        <w:pageBreakBefore w:val="0"/>
        <w:kinsoku/>
        <w:wordWrap/>
        <w:topLinePunct w:val="0"/>
        <w:autoSpaceDE/>
        <w:autoSpaceDN/>
        <w:bidi w:val="0"/>
        <w:spacing w:line="600" w:lineRule="exact"/>
        <w:ind w:firstLine="604" w:firstLineChars="189"/>
        <w:rPr>
          <w:rFonts w:hint="eastAsia" w:ascii="仿宋_GB2312" w:hAnsi="仿宋_GB2312" w:eastAsia="仿宋_GB2312" w:cs="仿宋_GB2312"/>
          <w:color w:val="auto"/>
          <w:kern w:val="0"/>
          <w:sz w:val="32"/>
          <w:szCs w:val="32"/>
          <w:lang w:val="en-US" w:eastAsia="zh-CN" w:bidi="hi-IN"/>
        </w:rPr>
      </w:pPr>
      <w:r>
        <w:rPr>
          <w:rFonts w:hint="eastAsia" w:ascii="仿宋_GB2312" w:hAnsi="仿宋_GB2312" w:eastAsia="仿宋_GB2312" w:cs="仿宋_GB2312"/>
          <w:color w:val="auto"/>
          <w:kern w:val="0"/>
          <w:sz w:val="32"/>
          <w:szCs w:val="32"/>
          <w:lang w:val="en-US" w:eastAsia="zh-CN" w:bidi="hi-IN"/>
        </w:rPr>
        <w:t>1、项目概述：对我县贫困户肉牛养殖农户购买肉牛保险，及对本县范围内的贫困户住房购买住房保险。</w:t>
      </w:r>
    </w:p>
    <w:p>
      <w:pPr>
        <w:keepNext w:val="0"/>
        <w:keepLines w:val="0"/>
        <w:pageBreakBefore w:val="0"/>
        <w:kinsoku/>
        <w:wordWrap/>
        <w:topLinePunct w:val="0"/>
        <w:autoSpaceDE/>
        <w:autoSpaceDN/>
        <w:bidi w:val="0"/>
        <w:spacing w:line="600" w:lineRule="exact"/>
        <w:ind w:firstLine="604" w:firstLineChars="189"/>
        <w:rPr>
          <w:rFonts w:hint="eastAsia" w:ascii="仿宋_GB2312" w:hAnsi="仿宋_GB2312" w:eastAsia="仿宋_GB2312" w:cs="仿宋_GB2312"/>
          <w:color w:val="auto"/>
          <w:kern w:val="0"/>
          <w:sz w:val="32"/>
          <w:szCs w:val="32"/>
          <w:lang w:val="en-US" w:eastAsia="zh-CN" w:bidi="hi-IN"/>
        </w:rPr>
      </w:pPr>
      <w:r>
        <w:rPr>
          <w:rFonts w:hint="eastAsia" w:ascii="仿宋_GB2312" w:hAnsi="仿宋_GB2312" w:eastAsia="仿宋_GB2312" w:cs="仿宋_GB2312"/>
          <w:color w:val="auto"/>
          <w:kern w:val="0"/>
          <w:sz w:val="32"/>
          <w:szCs w:val="32"/>
          <w:lang w:val="en-US" w:eastAsia="zh-CN" w:bidi="hi-IN"/>
        </w:rPr>
        <w:t>2.立项依据：关于印发《兴国县农村住房保险实施方案》的通知 、关于印发《兴国县2018年度肉牛养殖政策性保险试点工作实施方案》的通知</w:t>
      </w:r>
    </w:p>
    <w:p>
      <w:pPr>
        <w:keepNext w:val="0"/>
        <w:keepLines w:val="0"/>
        <w:pageBreakBefore w:val="0"/>
        <w:kinsoku/>
        <w:wordWrap/>
        <w:topLinePunct w:val="0"/>
        <w:autoSpaceDE/>
        <w:autoSpaceDN/>
        <w:bidi w:val="0"/>
        <w:spacing w:line="600" w:lineRule="exact"/>
        <w:ind w:firstLine="604" w:firstLineChars="189"/>
        <w:rPr>
          <w:rFonts w:hint="eastAsia" w:ascii="仿宋_GB2312" w:hAnsi="仿宋_GB2312" w:eastAsia="仿宋_GB2312" w:cs="仿宋_GB2312"/>
          <w:color w:val="auto"/>
          <w:kern w:val="0"/>
          <w:sz w:val="32"/>
          <w:szCs w:val="32"/>
          <w:lang w:val="en-US" w:eastAsia="zh-CN" w:bidi="hi-IN"/>
        </w:rPr>
      </w:pPr>
      <w:r>
        <w:rPr>
          <w:rFonts w:hint="eastAsia" w:ascii="仿宋_GB2312" w:hAnsi="仿宋_GB2312" w:eastAsia="仿宋_GB2312" w:cs="仿宋_GB2312"/>
          <w:color w:val="auto"/>
          <w:kern w:val="0"/>
          <w:sz w:val="32"/>
          <w:szCs w:val="32"/>
          <w:lang w:val="en-US" w:eastAsia="zh-CN" w:bidi="hi-IN"/>
        </w:rPr>
        <w:t>3.实施主体：人保财险、国寿财险</w:t>
      </w:r>
    </w:p>
    <w:p>
      <w:pPr>
        <w:keepNext w:val="0"/>
        <w:keepLines w:val="0"/>
        <w:pageBreakBefore w:val="0"/>
        <w:kinsoku/>
        <w:wordWrap/>
        <w:topLinePunct w:val="0"/>
        <w:autoSpaceDE/>
        <w:autoSpaceDN/>
        <w:bidi w:val="0"/>
        <w:spacing w:line="600" w:lineRule="exact"/>
        <w:ind w:firstLine="604" w:firstLineChars="189"/>
        <w:rPr>
          <w:rFonts w:hint="default" w:ascii="仿宋_GB2312" w:hAnsi="仿宋_GB2312" w:eastAsia="仿宋_GB2312" w:cs="仿宋_GB2312"/>
          <w:color w:val="auto"/>
          <w:kern w:val="0"/>
          <w:sz w:val="32"/>
          <w:szCs w:val="32"/>
          <w:lang w:val="en-US" w:eastAsia="zh-CN" w:bidi="hi-IN"/>
        </w:rPr>
      </w:pPr>
      <w:r>
        <w:rPr>
          <w:rFonts w:hint="eastAsia" w:ascii="仿宋_GB2312" w:hAnsi="仿宋_GB2312" w:eastAsia="仿宋_GB2312" w:cs="仿宋_GB2312"/>
          <w:color w:val="auto"/>
          <w:kern w:val="0"/>
          <w:sz w:val="32"/>
          <w:szCs w:val="32"/>
          <w:lang w:val="en-US" w:eastAsia="zh-CN" w:bidi="hi-IN"/>
        </w:rPr>
        <w:t>4、实施周期：1年</w:t>
      </w:r>
    </w:p>
    <w:p>
      <w:pPr>
        <w:keepNext w:val="0"/>
        <w:keepLines w:val="0"/>
        <w:pageBreakBefore w:val="0"/>
        <w:kinsoku/>
        <w:wordWrap/>
        <w:topLinePunct w:val="0"/>
        <w:autoSpaceDE/>
        <w:autoSpaceDN/>
        <w:bidi w:val="0"/>
        <w:spacing w:line="600" w:lineRule="exact"/>
        <w:ind w:firstLine="604" w:firstLineChars="189"/>
        <w:rPr>
          <w:rFonts w:hint="eastAsia" w:ascii="仿宋_GB2312" w:hAnsi="仿宋_GB2312" w:eastAsia="仿宋_GB2312" w:cs="仿宋_GB2312"/>
          <w:color w:val="auto"/>
          <w:kern w:val="0"/>
          <w:sz w:val="32"/>
          <w:szCs w:val="32"/>
          <w:lang w:val="en-US" w:eastAsia="zh-CN" w:bidi="hi-IN"/>
        </w:rPr>
      </w:pPr>
      <w:r>
        <w:rPr>
          <w:rFonts w:hint="eastAsia" w:ascii="仿宋_GB2312" w:hAnsi="仿宋_GB2312" w:eastAsia="仿宋_GB2312" w:cs="仿宋_GB2312"/>
          <w:color w:val="auto"/>
          <w:kern w:val="0"/>
          <w:sz w:val="32"/>
          <w:szCs w:val="32"/>
          <w:lang w:val="en-US" w:eastAsia="zh-CN" w:bidi="hi-IN"/>
        </w:rPr>
        <w:t>5.年度预算安排：550万元</w:t>
      </w:r>
    </w:p>
    <w:p>
      <w:pPr>
        <w:keepNext w:val="0"/>
        <w:keepLines w:val="0"/>
        <w:pageBreakBefore w:val="0"/>
        <w:kinsoku/>
        <w:wordWrap/>
        <w:topLinePunct w:val="0"/>
        <w:autoSpaceDE/>
        <w:autoSpaceDN/>
        <w:bidi w:val="0"/>
        <w:spacing w:line="600" w:lineRule="exact"/>
        <w:ind w:firstLine="604" w:firstLineChars="189"/>
        <w:rPr>
          <w:rFonts w:hint="eastAsia" w:ascii="仿宋_GB2312" w:hAnsi="仿宋_GB2312" w:eastAsia="仿宋_GB2312" w:cs="仿宋_GB2312"/>
          <w:color w:val="auto"/>
          <w:kern w:val="0"/>
          <w:sz w:val="32"/>
          <w:szCs w:val="32"/>
          <w:lang w:val="en-US" w:eastAsia="zh-CN" w:bidi="hi-IN"/>
        </w:rPr>
      </w:pPr>
      <w:r>
        <w:rPr>
          <w:rFonts w:hint="eastAsia" w:ascii="仿宋_GB2312" w:hAnsi="仿宋_GB2312" w:eastAsia="仿宋_GB2312" w:cs="仿宋_GB2312"/>
          <w:color w:val="auto"/>
          <w:kern w:val="0"/>
          <w:sz w:val="32"/>
          <w:szCs w:val="32"/>
          <w:lang w:val="en-US" w:eastAsia="zh-CN" w:bidi="hi-IN"/>
        </w:rPr>
        <w:t>6.年度绩效目标：针对肉牛养殖农户购买保险肉牛保险，及对本县范围内的贫困户住房购买住房保险；提高农户发展肉牛养殖产业项目，提高贫困户住房保障；帮助农户发展农业产业及住房保险脱贫致富。</w:t>
      </w:r>
    </w:p>
    <w:p>
      <w:pPr>
        <w:keepNext w:val="0"/>
        <w:keepLines w:val="0"/>
        <w:pageBreakBefore w:val="0"/>
        <w:kinsoku/>
        <w:wordWrap/>
        <w:topLinePunct w:val="0"/>
        <w:autoSpaceDE/>
        <w:autoSpaceDN/>
        <w:bidi w:val="0"/>
        <w:spacing w:line="600" w:lineRule="exact"/>
        <w:rPr>
          <w:rFonts w:hint="eastAsia" w:ascii="仿宋_GB2312" w:hAnsi="仿宋_GB2312" w:eastAsia="仿宋_GB2312" w:cs="仿宋_GB2312"/>
          <w:color w:val="auto"/>
          <w:kern w:val="0"/>
          <w:sz w:val="32"/>
          <w:szCs w:val="32"/>
          <w:lang w:val="en-US" w:eastAsia="zh-CN" w:bidi="hi-IN"/>
        </w:rPr>
      </w:pPr>
      <w:r>
        <w:rPr>
          <w:rFonts w:hint="eastAsia" w:ascii="仿宋_GB2312" w:hAnsi="仿宋_GB2312" w:eastAsia="仿宋_GB2312" w:cs="仿宋_GB2312"/>
          <w:color w:val="auto"/>
          <w:kern w:val="0"/>
          <w:sz w:val="32"/>
          <w:szCs w:val="32"/>
          <w:lang w:val="en-US" w:eastAsia="zh-CN" w:bidi="hi-IN"/>
        </w:rPr>
        <w:t>项目名称二：县域经济发展考核奖励</w:t>
      </w:r>
    </w:p>
    <w:p>
      <w:pPr>
        <w:keepNext w:val="0"/>
        <w:keepLines w:val="0"/>
        <w:pageBreakBefore w:val="0"/>
        <w:kinsoku/>
        <w:wordWrap/>
        <w:topLinePunct w:val="0"/>
        <w:autoSpaceDE/>
        <w:autoSpaceDN/>
        <w:bidi w:val="0"/>
        <w:spacing w:line="600" w:lineRule="exact"/>
        <w:ind w:firstLine="604" w:firstLineChars="189"/>
        <w:rPr>
          <w:rFonts w:hint="default" w:ascii="仿宋_GB2312" w:hAnsi="仿宋_GB2312" w:eastAsia="仿宋_GB2312" w:cs="仿宋_GB2312"/>
          <w:color w:val="auto"/>
          <w:kern w:val="0"/>
          <w:sz w:val="32"/>
          <w:szCs w:val="32"/>
          <w:lang w:val="en-US" w:eastAsia="zh-CN" w:bidi="hi-IN"/>
        </w:rPr>
      </w:pPr>
      <w:r>
        <w:rPr>
          <w:rFonts w:hint="eastAsia" w:ascii="仿宋_GB2312" w:hAnsi="仿宋_GB2312" w:eastAsia="仿宋_GB2312" w:cs="仿宋_GB2312"/>
          <w:color w:val="auto"/>
          <w:kern w:val="0"/>
          <w:sz w:val="32"/>
          <w:szCs w:val="32"/>
          <w:lang w:val="en-US" w:eastAsia="zh-CN" w:bidi="hi-IN"/>
        </w:rPr>
        <w:t>1、项目概述：：对我县范围内支持本地经济发展的金融机构按照考核文件给与奖励。</w:t>
      </w:r>
    </w:p>
    <w:p>
      <w:pPr>
        <w:keepNext w:val="0"/>
        <w:keepLines w:val="0"/>
        <w:pageBreakBefore w:val="0"/>
        <w:kinsoku/>
        <w:wordWrap/>
        <w:topLinePunct w:val="0"/>
        <w:autoSpaceDE/>
        <w:autoSpaceDN/>
        <w:bidi w:val="0"/>
        <w:spacing w:line="600" w:lineRule="exact"/>
        <w:ind w:firstLine="604" w:firstLineChars="189"/>
        <w:rPr>
          <w:rFonts w:hint="eastAsia" w:ascii="仿宋_GB2312" w:hAnsi="仿宋_GB2312" w:eastAsia="仿宋_GB2312" w:cs="仿宋_GB2312"/>
          <w:color w:val="auto"/>
          <w:kern w:val="0"/>
          <w:sz w:val="32"/>
          <w:szCs w:val="32"/>
          <w:lang w:val="en-US" w:eastAsia="zh-CN" w:bidi="hi-IN"/>
        </w:rPr>
      </w:pPr>
      <w:r>
        <w:rPr>
          <w:rFonts w:hint="eastAsia" w:ascii="仿宋_GB2312" w:hAnsi="仿宋_GB2312" w:eastAsia="仿宋_GB2312" w:cs="仿宋_GB2312"/>
          <w:color w:val="auto"/>
          <w:kern w:val="0"/>
          <w:sz w:val="32"/>
          <w:szCs w:val="32"/>
          <w:lang w:val="en-US" w:eastAsia="zh-CN" w:bidi="hi-IN"/>
        </w:rPr>
        <w:t>2.立项依据：关于印发《2020年度兴国县金融机构支持县域经济发展考核办法》的通知</w:t>
      </w:r>
    </w:p>
    <w:p>
      <w:pPr>
        <w:keepNext w:val="0"/>
        <w:keepLines w:val="0"/>
        <w:pageBreakBefore w:val="0"/>
        <w:kinsoku/>
        <w:wordWrap/>
        <w:topLinePunct w:val="0"/>
        <w:autoSpaceDE/>
        <w:autoSpaceDN/>
        <w:bidi w:val="0"/>
        <w:spacing w:line="600" w:lineRule="exact"/>
        <w:ind w:firstLine="604" w:firstLineChars="189"/>
        <w:rPr>
          <w:rFonts w:hint="eastAsia" w:ascii="仿宋_GB2312" w:hAnsi="仿宋_GB2312" w:eastAsia="仿宋_GB2312" w:cs="仿宋_GB2312"/>
          <w:color w:val="auto"/>
          <w:kern w:val="0"/>
          <w:sz w:val="32"/>
          <w:szCs w:val="32"/>
          <w:lang w:val="en-US" w:eastAsia="zh-CN" w:bidi="hi-IN"/>
        </w:rPr>
      </w:pPr>
      <w:r>
        <w:rPr>
          <w:rFonts w:hint="eastAsia" w:ascii="仿宋_GB2312" w:hAnsi="仿宋_GB2312" w:eastAsia="仿宋_GB2312" w:cs="仿宋_GB2312"/>
          <w:color w:val="auto"/>
          <w:kern w:val="0"/>
          <w:sz w:val="32"/>
          <w:szCs w:val="32"/>
          <w:lang w:val="en-US" w:eastAsia="zh-CN" w:bidi="hi-IN"/>
        </w:rPr>
        <w:t>3.实施主体：县域范围内各金融机构</w:t>
      </w:r>
    </w:p>
    <w:p>
      <w:pPr>
        <w:keepNext w:val="0"/>
        <w:keepLines w:val="0"/>
        <w:pageBreakBefore w:val="0"/>
        <w:kinsoku/>
        <w:wordWrap/>
        <w:topLinePunct w:val="0"/>
        <w:autoSpaceDE/>
        <w:autoSpaceDN/>
        <w:bidi w:val="0"/>
        <w:spacing w:line="600" w:lineRule="exact"/>
        <w:ind w:firstLine="604" w:firstLineChars="189"/>
        <w:rPr>
          <w:rFonts w:hint="default" w:ascii="仿宋_GB2312" w:hAnsi="仿宋_GB2312" w:eastAsia="仿宋_GB2312" w:cs="仿宋_GB2312"/>
          <w:color w:val="auto"/>
          <w:kern w:val="0"/>
          <w:sz w:val="32"/>
          <w:szCs w:val="32"/>
          <w:lang w:val="en-US" w:eastAsia="zh-CN" w:bidi="hi-IN"/>
        </w:rPr>
      </w:pPr>
      <w:r>
        <w:rPr>
          <w:rFonts w:hint="eastAsia" w:ascii="仿宋_GB2312" w:hAnsi="仿宋_GB2312" w:eastAsia="仿宋_GB2312" w:cs="仿宋_GB2312"/>
          <w:color w:val="auto"/>
          <w:kern w:val="0"/>
          <w:sz w:val="32"/>
          <w:szCs w:val="32"/>
          <w:lang w:val="en-US" w:eastAsia="zh-CN" w:bidi="hi-IN"/>
        </w:rPr>
        <w:t>4、实施周期：1年</w:t>
      </w:r>
    </w:p>
    <w:p>
      <w:pPr>
        <w:keepNext w:val="0"/>
        <w:keepLines w:val="0"/>
        <w:pageBreakBefore w:val="0"/>
        <w:kinsoku/>
        <w:wordWrap/>
        <w:topLinePunct w:val="0"/>
        <w:autoSpaceDE/>
        <w:autoSpaceDN/>
        <w:bidi w:val="0"/>
        <w:spacing w:line="600" w:lineRule="exact"/>
        <w:ind w:firstLine="604" w:firstLineChars="189"/>
        <w:rPr>
          <w:rFonts w:hint="eastAsia" w:ascii="仿宋_GB2312" w:hAnsi="仿宋_GB2312" w:eastAsia="仿宋_GB2312" w:cs="仿宋_GB2312"/>
          <w:color w:val="auto"/>
          <w:kern w:val="0"/>
          <w:sz w:val="32"/>
          <w:szCs w:val="32"/>
          <w:lang w:val="en-US" w:eastAsia="zh-CN" w:bidi="hi-IN"/>
        </w:rPr>
      </w:pPr>
      <w:r>
        <w:rPr>
          <w:rFonts w:hint="eastAsia" w:ascii="仿宋_GB2312" w:hAnsi="仿宋_GB2312" w:eastAsia="仿宋_GB2312" w:cs="仿宋_GB2312"/>
          <w:color w:val="auto"/>
          <w:kern w:val="0"/>
          <w:sz w:val="32"/>
          <w:szCs w:val="32"/>
          <w:lang w:val="en-US" w:eastAsia="zh-CN" w:bidi="hi-IN"/>
        </w:rPr>
        <w:t>5.年度预算安排：200万元</w:t>
      </w:r>
    </w:p>
    <w:p>
      <w:pPr>
        <w:keepNext w:val="0"/>
        <w:keepLines w:val="0"/>
        <w:pageBreakBefore w:val="0"/>
        <w:kinsoku/>
        <w:wordWrap/>
        <w:topLinePunct w:val="0"/>
        <w:autoSpaceDE/>
        <w:autoSpaceDN/>
        <w:bidi w:val="0"/>
        <w:spacing w:line="600" w:lineRule="exact"/>
        <w:ind w:firstLine="604" w:firstLineChars="189"/>
        <w:rPr>
          <w:rFonts w:hint="eastAsia" w:ascii="仿宋_GB2312" w:hAnsi="仿宋_GB2312" w:eastAsia="仿宋_GB2312" w:cs="仿宋_GB2312"/>
          <w:color w:val="auto"/>
          <w:kern w:val="0"/>
          <w:sz w:val="32"/>
          <w:szCs w:val="32"/>
          <w:lang w:val="en-US" w:eastAsia="zh-CN" w:bidi="hi-IN"/>
        </w:rPr>
      </w:pPr>
      <w:r>
        <w:rPr>
          <w:rFonts w:hint="eastAsia" w:ascii="仿宋_GB2312" w:hAnsi="仿宋_GB2312" w:eastAsia="仿宋_GB2312" w:cs="仿宋_GB2312"/>
          <w:color w:val="auto"/>
          <w:kern w:val="0"/>
          <w:sz w:val="32"/>
          <w:szCs w:val="32"/>
          <w:lang w:val="en-US" w:eastAsia="zh-CN" w:bidi="hi-IN"/>
        </w:rPr>
        <w:t>6.年度绩效目标：对我县范围内支持本地经济发展的金融机构按照文件考核指标给与奖励。</w:t>
      </w:r>
    </w:p>
    <w:tbl>
      <w:tblPr>
        <w:tblStyle w:val="4"/>
        <w:tblW w:w="8582" w:type="dxa"/>
        <w:jc w:val="center"/>
        <w:tblLayout w:type="fixed"/>
        <w:tblCellMar>
          <w:top w:w="15" w:type="dxa"/>
          <w:left w:w="15" w:type="dxa"/>
          <w:bottom w:w="0" w:type="dxa"/>
          <w:right w:w="15" w:type="dxa"/>
        </w:tblCellMar>
      </w:tblPr>
      <w:tblGrid>
        <w:gridCol w:w="82"/>
        <w:gridCol w:w="1135"/>
        <w:gridCol w:w="83"/>
        <w:gridCol w:w="1026"/>
        <w:gridCol w:w="82"/>
        <w:gridCol w:w="1125"/>
        <w:gridCol w:w="81"/>
        <w:gridCol w:w="2746"/>
        <w:gridCol w:w="83"/>
        <w:gridCol w:w="868"/>
        <w:gridCol w:w="82"/>
        <w:gridCol w:w="1106"/>
        <w:gridCol w:w="82"/>
      </w:tblGrid>
      <w:tr>
        <w:tblPrEx>
          <w:tblCellMar>
            <w:top w:w="15" w:type="dxa"/>
            <w:left w:w="15" w:type="dxa"/>
            <w:bottom w:w="0" w:type="dxa"/>
            <w:right w:w="15" w:type="dxa"/>
          </w:tblCellMar>
        </w:tblPrEx>
        <w:trPr>
          <w:trHeight w:val="777" w:hRule="atLeast"/>
          <w:jc w:val="center"/>
        </w:trPr>
        <w:tc>
          <w:tcPr>
            <w:tcW w:w="8499" w:type="dxa"/>
            <w:gridSpan w:val="12"/>
            <w:shd w:val="clear" w:color="auto" w:fill="auto"/>
            <w:vAlign w:val="center"/>
          </w:tcPr>
          <w:p>
            <w:pPr>
              <w:pStyle w:val="6"/>
              <w:keepNext w:val="0"/>
              <w:keepLines w:val="0"/>
              <w:pageBreakBefore w:val="0"/>
              <w:widowControl w:val="0"/>
              <w:kinsoku/>
              <w:wordWrap/>
              <w:overflowPunct w:val="0"/>
              <w:topLinePunct w:val="0"/>
              <w:autoSpaceDE/>
              <w:autoSpaceDN/>
              <w:bidi w:val="0"/>
              <w:spacing w:line="600" w:lineRule="exact"/>
              <w:ind w:left="0" w:right="0" w:firstLine="0"/>
              <w:jc w:val="center"/>
              <w:textAlignment w:val="center"/>
              <w:rPr>
                <w:rFonts w:ascii="宋体" w:hAnsi="宋体" w:cs="宋体"/>
                <w:b/>
                <w:color w:val="000000" w:themeColor="text1"/>
                <w:sz w:val="32"/>
                <w:szCs w:val="32"/>
                <w14:textFill>
                  <w14:solidFill>
                    <w14:schemeClr w14:val="tx1"/>
                  </w14:solidFill>
                </w14:textFill>
              </w:rPr>
            </w:pPr>
            <w:r>
              <w:rPr>
                <w:rFonts w:ascii="宋体" w:hAnsi="宋体" w:eastAsia="方正小标宋简体" w:cs="方正小标宋简体"/>
                <w:b w:val="0"/>
                <w:bCs/>
                <w:color w:val="000000" w:themeColor="text1"/>
                <w:kern w:val="0"/>
                <w:sz w:val="44"/>
                <w:szCs w:val="44"/>
                <w14:textFill>
                  <w14:solidFill>
                    <w14:schemeClr w14:val="tx1"/>
                  </w14:solidFill>
                </w14:textFill>
              </w:rPr>
              <w:t>项目支出绩效目标申报表</w:t>
            </w:r>
          </w:p>
        </w:tc>
        <w:tc>
          <w:tcPr>
            <w:tcW w:w="82" w:type="dxa"/>
            <w:tcMar>
              <w:top w:w="0" w:type="dxa"/>
              <w:left w:w="0" w:type="dxa"/>
              <w:right w:w="0" w:type="dxa"/>
            </w:tcMar>
          </w:tcPr>
          <w:p>
            <w:pPr>
              <w:pStyle w:val="6"/>
              <w:keepNext w:val="0"/>
              <w:keepLines w:val="0"/>
              <w:pageBreakBefore w:val="0"/>
              <w:widowControl w:val="0"/>
              <w:kinsoku/>
              <w:wordWrap/>
              <w:topLinePunct w:val="0"/>
              <w:autoSpaceDE/>
              <w:autoSpaceDN/>
              <w:bidi w:val="0"/>
              <w:spacing w:line="600" w:lineRule="exact"/>
              <w:rPr>
                <w:szCs w:val="20"/>
              </w:rPr>
            </w:pPr>
          </w:p>
        </w:tc>
      </w:tr>
      <w:tr>
        <w:tblPrEx>
          <w:tblCellMar>
            <w:top w:w="15" w:type="dxa"/>
            <w:left w:w="15" w:type="dxa"/>
            <w:bottom w:w="0" w:type="dxa"/>
            <w:right w:w="15" w:type="dxa"/>
          </w:tblCellMar>
        </w:tblPrEx>
        <w:trPr>
          <w:trHeight w:val="355" w:hRule="atLeast"/>
          <w:jc w:val="center"/>
        </w:trPr>
        <w:tc>
          <w:tcPr>
            <w:tcW w:w="8499" w:type="dxa"/>
            <w:gridSpan w:val="12"/>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 xml:space="preserve">（  </w:t>
            </w:r>
            <w:r>
              <w:rPr>
                <w:rFonts w:ascii="宋体" w:hAnsi="宋体" w:cs="宋体"/>
                <w:color w:val="000000" w:themeColor="text1"/>
                <w:kern w:val="0"/>
                <w:sz w:val="24"/>
                <w:szCs w:val="24"/>
                <w:lang w:val="en-US" w:eastAsia="zh-CN"/>
                <w14:textFill>
                  <w14:solidFill>
                    <w14:schemeClr w14:val="tx1"/>
                  </w14:solidFill>
                </w14:textFill>
              </w:rPr>
              <w:t xml:space="preserve">2021 </w:t>
            </w:r>
            <w:r>
              <w:rPr>
                <w:rFonts w:ascii="宋体" w:hAnsi="宋体" w:cs="宋体"/>
                <w:color w:val="000000" w:themeColor="text1"/>
                <w:kern w:val="0"/>
                <w:sz w:val="24"/>
                <w:szCs w:val="24"/>
                <w14:textFill>
                  <w14:solidFill>
                    <w14:schemeClr w14:val="tx1"/>
                  </w14:solidFill>
                </w14:textFill>
              </w:rPr>
              <w:t>年度）</w:t>
            </w:r>
          </w:p>
        </w:tc>
        <w:tc>
          <w:tcPr>
            <w:tcW w:w="82" w:type="dxa"/>
            <w:tcMar>
              <w:top w:w="0" w:type="dxa"/>
              <w:left w:w="0" w:type="dxa"/>
              <w:right w:w="0" w:type="dxa"/>
            </w:tcMar>
          </w:tcPr>
          <w:p>
            <w:pPr>
              <w:pStyle w:val="6"/>
              <w:keepNext w:val="0"/>
              <w:keepLines w:val="0"/>
              <w:pageBreakBefore w:val="0"/>
              <w:widowControl w:val="0"/>
              <w:kinsoku/>
              <w:wordWrap/>
              <w:topLinePunct w:val="0"/>
              <w:autoSpaceDE/>
              <w:autoSpaceDN/>
              <w:bidi w:val="0"/>
              <w:spacing w:line="600" w:lineRule="exact"/>
              <w:rPr>
                <w:szCs w:val="20"/>
              </w:rPr>
            </w:pPr>
          </w:p>
        </w:tc>
      </w:tr>
      <w:tr>
        <w:tblPrEx>
          <w:tblCellMar>
            <w:top w:w="15" w:type="dxa"/>
            <w:left w:w="15" w:type="dxa"/>
            <w:bottom w:w="0" w:type="dxa"/>
            <w:right w:w="15" w:type="dxa"/>
          </w:tblCellMar>
        </w:tblPrEx>
        <w:trPr>
          <w:trHeight w:val="90" w:hRule="atLeast"/>
          <w:jc w:val="center"/>
        </w:trPr>
        <w:tc>
          <w:tcPr>
            <w:tcW w:w="1217" w:type="dxa"/>
            <w:gridSpan w:val="2"/>
            <w:tcBorders>
              <w:top w:val="single" w:color="000000" w:sz="4" w:space="0"/>
              <w:left w:val="single" w:color="000000" w:sz="4" w:space="0"/>
              <w:bottom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项目名称</w:t>
            </w:r>
          </w:p>
        </w:tc>
        <w:tc>
          <w:tcPr>
            <w:tcW w:w="7282"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r>
              <w:rPr>
                <w:szCs w:val="20"/>
              </w:rPr>
              <w:t>综保险</w:t>
            </w:r>
          </w:p>
        </w:tc>
        <w:tc>
          <w:tcPr>
            <w:tcW w:w="82" w:type="dxa"/>
            <w:tcMar>
              <w:top w:w="0" w:type="dxa"/>
              <w:left w:w="0" w:type="dxa"/>
              <w:right w:w="0" w:type="dxa"/>
            </w:tcMar>
          </w:tcPr>
          <w:p>
            <w:pPr>
              <w:pStyle w:val="6"/>
              <w:keepNext w:val="0"/>
              <w:keepLines w:val="0"/>
              <w:pageBreakBefore w:val="0"/>
              <w:widowControl w:val="0"/>
              <w:kinsoku/>
              <w:wordWrap/>
              <w:topLinePunct w:val="0"/>
              <w:autoSpaceDE/>
              <w:autoSpaceDN/>
              <w:bidi w:val="0"/>
              <w:spacing w:line="600" w:lineRule="exact"/>
              <w:rPr>
                <w:szCs w:val="20"/>
              </w:rPr>
            </w:pPr>
          </w:p>
        </w:tc>
      </w:tr>
      <w:tr>
        <w:tblPrEx>
          <w:tblCellMar>
            <w:top w:w="15" w:type="dxa"/>
            <w:left w:w="15" w:type="dxa"/>
            <w:bottom w:w="0" w:type="dxa"/>
            <w:right w:w="15" w:type="dxa"/>
          </w:tblCellMar>
        </w:tblPrEx>
        <w:trPr>
          <w:trHeight w:val="115" w:hRule="atLeast"/>
          <w:jc w:val="center"/>
        </w:trPr>
        <w:tc>
          <w:tcPr>
            <w:tcW w:w="1217" w:type="dxa"/>
            <w:gridSpan w:val="2"/>
            <w:tcBorders>
              <w:top w:val="single" w:color="000000" w:sz="4" w:space="0"/>
              <w:left w:val="single" w:color="000000" w:sz="4" w:space="0"/>
              <w:bottom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主管部门及代码</w:t>
            </w:r>
          </w:p>
        </w:tc>
        <w:tc>
          <w:tcPr>
            <w:tcW w:w="23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r>
              <w:rPr>
                <w:szCs w:val="20"/>
              </w:rPr>
              <w:t>[112001]兴国县金融工作局</w:t>
            </w:r>
          </w:p>
        </w:tc>
        <w:tc>
          <w:tcPr>
            <w:tcW w:w="28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实施单位</w:t>
            </w:r>
          </w:p>
        </w:tc>
        <w:tc>
          <w:tcPr>
            <w:tcW w:w="213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r>
              <w:rPr>
                <w:szCs w:val="20"/>
              </w:rPr>
              <w:t>兴国县金融工作局</w:t>
            </w:r>
          </w:p>
        </w:tc>
        <w:tc>
          <w:tcPr>
            <w:tcW w:w="82" w:type="dxa"/>
            <w:tcMar>
              <w:top w:w="0" w:type="dxa"/>
              <w:left w:w="0" w:type="dxa"/>
              <w:right w:w="0" w:type="dxa"/>
            </w:tcMar>
          </w:tcPr>
          <w:p>
            <w:pPr>
              <w:pStyle w:val="6"/>
              <w:keepNext w:val="0"/>
              <w:keepLines w:val="0"/>
              <w:pageBreakBefore w:val="0"/>
              <w:widowControl w:val="0"/>
              <w:kinsoku/>
              <w:wordWrap/>
              <w:topLinePunct w:val="0"/>
              <w:autoSpaceDE/>
              <w:autoSpaceDN/>
              <w:bidi w:val="0"/>
              <w:spacing w:line="600" w:lineRule="exact"/>
              <w:rPr>
                <w:szCs w:val="20"/>
              </w:rPr>
            </w:pPr>
          </w:p>
        </w:tc>
      </w:tr>
      <w:tr>
        <w:tblPrEx>
          <w:tblCellMar>
            <w:top w:w="15" w:type="dxa"/>
            <w:left w:w="15" w:type="dxa"/>
            <w:bottom w:w="0" w:type="dxa"/>
            <w:right w:w="15" w:type="dxa"/>
          </w:tblCellMar>
        </w:tblPrEx>
        <w:trPr>
          <w:trHeight w:val="90" w:hRule="atLeast"/>
          <w:jc w:val="center"/>
        </w:trPr>
        <w:tc>
          <w:tcPr>
            <w:tcW w:w="1217" w:type="dxa"/>
            <w:gridSpan w:val="2"/>
            <w:tcBorders>
              <w:top w:val="single" w:color="000000" w:sz="4" w:space="0"/>
              <w:left w:val="single" w:color="000000" w:sz="4" w:space="0"/>
              <w:bottom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项目属性</w:t>
            </w:r>
          </w:p>
        </w:tc>
        <w:tc>
          <w:tcPr>
            <w:tcW w:w="23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r>
              <w:rPr>
                <w:szCs w:val="20"/>
              </w:rPr>
              <w:t>一次性项目</w:t>
            </w:r>
          </w:p>
        </w:tc>
        <w:tc>
          <w:tcPr>
            <w:tcW w:w="28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项目期</w:t>
            </w:r>
          </w:p>
        </w:tc>
        <w:tc>
          <w:tcPr>
            <w:tcW w:w="213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eastAsia="宋体" w:cs="宋体"/>
                <w:color w:val="000000" w:themeColor="text1"/>
                <w:sz w:val="20"/>
                <w:lang w:val="en-US" w:eastAsia="zh-CN"/>
                <w14:textFill>
                  <w14:solidFill>
                    <w14:schemeClr w14:val="tx1"/>
                  </w14:solidFill>
                </w14:textFill>
              </w:rPr>
            </w:pPr>
            <w:r>
              <w:rPr>
                <w:rFonts w:ascii="宋体" w:hAnsi="宋体" w:cs="宋体"/>
                <w:color w:val="000000" w:themeColor="text1"/>
                <w:sz w:val="20"/>
                <w:szCs w:val="20"/>
                <w:lang w:val="en-US" w:eastAsia="zh-CN"/>
                <w14:textFill>
                  <w14:solidFill>
                    <w14:schemeClr w14:val="tx1"/>
                  </w14:solidFill>
                </w14:textFill>
              </w:rPr>
              <w:t>2021</w:t>
            </w:r>
          </w:p>
        </w:tc>
        <w:tc>
          <w:tcPr>
            <w:tcW w:w="82" w:type="dxa"/>
            <w:tcMar>
              <w:top w:w="0" w:type="dxa"/>
              <w:left w:w="0" w:type="dxa"/>
              <w:right w:w="0" w:type="dxa"/>
            </w:tcMar>
          </w:tcPr>
          <w:p>
            <w:pPr>
              <w:pStyle w:val="6"/>
              <w:keepNext w:val="0"/>
              <w:keepLines w:val="0"/>
              <w:pageBreakBefore w:val="0"/>
              <w:widowControl w:val="0"/>
              <w:kinsoku/>
              <w:wordWrap/>
              <w:topLinePunct w:val="0"/>
              <w:autoSpaceDE/>
              <w:autoSpaceDN/>
              <w:bidi w:val="0"/>
              <w:spacing w:line="600" w:lineRule="exact"/>
              <w:rPr>
                <w:szCs w:val="20"/>
              </w:rPr>
            </w:pPr>
          </w:p>
        </w:tc>
      </w:tr>
      <w:tr>
        <w:tblPrEx>
          <w:tblCellMar>
            <w:top w:w="15" w:type="dxa"/>
            <w:left w:w="15" w:type="dxa"/>
            <w:bottom w:w="0" w:type="dxa"/>
            <w:right w:w="15" w:type="dxa"/>
          </w:tblCellMar>
        </w:tblPrEx>
        <w:trPr>
          <w:trHeight w:val="90" w:hRule="atLeast"/>
          <w:jc w:val="center"/>
        </w:trPr>
        <w:tc>
          <w:tcPr>
            <w:tcW w:w="1217" w:type="dxa"/>
            <w:gridSpan w:val="2"/>
            <w:vMerge w:val="restart"/>
            <w:tcBorders>
              <w:top w:val="single" w:color="000000" w:sz="4" w:space="0"/>
              <w:left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项目资金</w:t>
            </w:r>
            <w:r>
              <w:rPr>
                <w:rFonts w:ascii="宋体" w:hAnsi="宋体" w:cs="宋体"/>
                <w:color w:val="000000" w:themeColor="text1"/>
                <w:kern w:val="0"/>
                <w:sz w:val="20"/>
                <w:szCs w:val="20"/>
                <w14:textFill>
                  <w14:solidFill>
                    <w14:schemeClr w14:val="tx1"/>
                  </w14:solidFill>
                </w14:textFill>
              </w:rPr>
              <w:br w:type="textWrapping"/>
            </w:r>
            <w:r>
              <w:rPr>
                <w:rFonts w:ascii="宋体" w:hAnsi="宋体" w:cs="宋体"/>
                <w:color w:val="000000" w:themeColor="text1"/>
                <w:kern w:val="0"/>
                <w:sz w:val="20"/>
                <w:szCs w:val="20"/>
                <w14:textFill>
                  <w14:solidFill>
                    <w14:schemeClr w14:val="tx1"/>
                  </w14:solidFill>
                </w14:textFill>
              </w:rPr>
              <w:t>（万元）</w:t>
            </w:r>
          </w:p>
        </w:tc>
        <w:tc>
          <w:tcPr>
            <w:tcW w:w="23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 xml:space="preserve"> 年度资金总额：</w:t>
            </w:r>
          </w:p>
        </w:tc>
        <w:tc>
          <w:tcPr>
            <w:tcW w:w="4966"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eastAsia="宋体" w:cs="宋体"/>
                <w:color w:val="000000" w:themeColor="text1"/>
                <w:sz w:val="20"/>
                <w:lang w:val="en-US" w:eastAsia="zh-CN"/>
                <w14:textFill>
                  <w14:solidFill>
                    <w14:schemeClr w14:val="tx1"/>
                  </w14:solidFill>
                </w14:textFill>
              </w:rPr>
            </w:pPr>
            <w:r>
              <w:rPr>
                <w:rFonts w:ascii="宋体" w:hAnsi="宋体" w:cs="宋体"/>
                <w:color w:val="000000" w:themeColor="text1"/>
                <w:sz w:val="20"/>
                <w:szCs w:val="20"/>
                <w:lang w:val="en-US" w:eastAsia="zh-CN"/>
                <w14:textFill>
                  <w14:solidFill>
                    <w14:schemeClr w14:val="tx1"/>
                  </w14:solidFill>
                </w14:textFill>
              </w:rPr>
              <w:t>550</w:t>
            </w:r>
          </w:p>
        </w:tc>
        <w:tc>
          <w:tcPr>
            <w:tcW w:w="82" w:type="dxa"/>
            <w:tcMar>
              <w:top w:w="0" w:type="dxa"/>
              <w:left w:w="0" w:type="dxa"/>
              <w:right w:w="0" w:type="dxa"/>
            </w:tcMar>
          </w:tcPr>
          <w:p>
            <w:pPr>
              <w:pStyle w:val="6"/>
              <w:keepNext w:val="0"/>
              <w:keepLines w:val="0"/>
              <w:pageBreakBefore w:val="0"/>
              <w:widowControl w:val="0"/>
              <w:kinsoku/>
              <w:wordWrap/>
              <w:topLinePunct w:val="0"/>
              <w:autoSpaceDE/>
              <w:autoSpaceDN/>
              <w:bidi w:val="0"/>
              <w:spacing w:line="600" w:lineRule="exact"/>
              <w:rPr>
                <w:szCs w:val="20"/>
              </w:rPr>
            </w:pPr>
          </w:p>
        </w:tc>
      </w:tr>
      <w:tr>
        <w:tblPrEx>
          <w:tblCellMar>
            <w:top w:w="15" w:type="dxa"/>
            <w:left w:w="15" w:type="dxa"/>
            <w:bottom w:w="0" w:type="dxa"/>
            <w:right w:w="15" w:type="dxa"/>
          </w:tblCellMar>
        </w:tblPrEx>
        <w:trPr>
          <w:trHeight w:val="90" w:hRule="atLeast"/>
          <w:jc w:val="center"/>
        </w:trPr>
        <w:tc>
          <w:tcPr>
            <w:tcW w:w="1217" w:type="dxa"/>
            <w:gridSpan w:val="2"/>
            <w:vMerge w:val="continue"/>
            <w:tcBorders>
              <w:top w:val="single" w:color="000000" w:sz="4" w:space="0"/>
              <w:left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23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 xml:space="preserve">  其中：财政拨款</w:t>
            </w:r>
          </w:p>
        </w:tc>
        <w:tc>
          <w:tcPr>
            <w:tcW w:w="4966"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eastAsia="宋体" w:cs="宋体"/>
                <w:color w:val="000000" w:themeColor="text1"/>
                <w:sz w:val="20"/>
                <w:lang w:val="en-US" w:eastAsia="zh-CN"/>
                <w14:textFill>
                  <w14:solidFill>
                    <w14:schemeClr w14:val="tx1"/>
                  </w14:solidFill>
                </w14:textFill>
              </w:rPr>
            </w:pPr>
            <w:r>
              <w:rPr>
                <w:rFonts w:ascii="宋体" w:hAnsi="宋体" w:cs="宋体"/>
                <w:color w:val="000000" w:themeColor="text1"/>
                <w:sz w:val="20"/>
                <w:szCs w:val="20"/>
                <w:lang w:val="en-US" w:eastAsia="zh-CN"/>
                <w14:textFill>
                  <w14:solidFill>
                    <w14:schemeClr w14:val="tx1"/>
                  </w14:solidFill>
                </w14:textFill>
              </w:rPr>
              <w:t>550</w:t>
            </w:r>
          </w:p>
        </w:tc>
        <w:tc>
          <w:tcPr>
            <w:tcW w:w="82" w:type="dxa"/>
            <w:tcMar>
              <w:top w:w="0" w:type="dxa"/>
              <w:left w:w="0" w:type="dxa"/>
              <w:right w:w="0" w:type="dxa"/>
            </w:tcMar>
          </w:tcPr>
          <w:p>
            <w:pPr>
              <w:pStyle w:val="6"/>
              <w:keepNext w:val="0"/>
              <w:keepLines w:val="0"/>
              <w:pageBreakBefore w:val="0"/>
              <w:widowControl w:val="0"/>
              <w:kinsoku/>
              <w:wordWrap/>
              <w:topLinePunct w:val="0"/>
              <w:autoSpaceDE/>
              <w:autoSpaceDN/>
              <w:bidi w:val="0"/>
              <w:spacing w:line="600" w:lineRule="exact"/>
              <w:rPr>
                <w:szCs w:val="20"/>
              </w:rPr>
            </w:pPr>
          </w:p>
        </w:tc>
      </w:tr>
      <w:tr>
        <w:tblPrEx>
          <w:tblCellMar>
            <w:top w:w="15" w:type="dxa"/>
            <w:left w:w="15" w:type="dxa"/>
            <w:bottom w:w="0" w:type="dxa"/>
            <w:right w:w="15" w:type="dxa"/>
          </w:tblCellMar>
        </w:tblPrEx>
        <w:trPr>
          <w:trHeight w:val="90" w:hRule="atLeast"/>
          <w:jc w:val="center"/>
        </w:trPr>
        <w:tc>
          <w:tcPr>
            <w:tcW w:w="1217" w:type="dxa"/>
            <w:gridSpan w:val="2"/>
            <w:vMerge w:val="continue"/>
            <w:tcBorders>
              <w:top w:val="single" w:color="000000" w:sz="4" w:space="0"/>
              <w:left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23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 xml:space="preserve">        其他资金</w:t>
            </w:r>
          </w:p>
        </w:tc>
        <w:tc>
          <w:tcPr>
            <w:tcW w:w="4966"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82" w:type="dxa"/>
            <w:tcMar>
              <w:top w:w="0" w:type="dxa"/>
              <w:left w:w="0" w:type="dxa"/>
              <w:right w:w="0" w:type="dxa"/>
            </w:tcMar>
          </w:tcPr>
          <w:p>
            <w:pPr>
              <w:pStyle w:val="6"/>
              <w:keepNext w:val="0"/>
              <w:keepLines w:val="0"/>
              <w:pageBreakBefore w:val="0"/>
              <w:widowControl w:val="0"/>
              <w:kinsoku/>
              <w:wordWrap/>
              <w:topLinePunct w:val="0"/>
              <w:autoSpaceDE/>
              <w:autoSpaceDN/>
              <w:bidi w:val="0"/>
              <w:spacing w:line="600" w:lineRule="exact"/>
              <w:rPr>
                <w:szCs w:val="20"/>
              </w:rPr>
            </w:pPr>
          </w:p>
        </w:tc>
      </w:tr>
      <w:tr>
        <w:tblPrEx>
          <w:tblCellMar>
            <w:top w:w="15" w:type="dxa"/>
            <w:left w:w="15" w:type="dxa"/>
            <w:bottom w:w="0" w:type="dxa"/>
            <w:right w:w="15" w:type="dxa"/>
          </w:tblCellMar>
        </w:tblPrEx>
        <w:trPr>
          <w:trHeight w:val="322" w:hRule="atLeast"/>
          <w:jc w:val="center"/>
        </w:trPr>
        <w:tc>
          <w:tcPr>
            <w:tcW w:w="121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总体目标</w:t>
            </w:r>
          </w:p>
        </w:tc>
        <w:tc>
          <w:tcPr>
            <w:tcW w:w="7282" w:type="dxa"/>
            <w:gridSpan w:val="10"/>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r>
              <w:rPr>
                <w:szCs w:val="22"/>
                <w:lang w:eastAsia="zh-CN"/>
              </w:rPr>
              <w:t>完成2021年我县综合农业保险</w:t>
            </w:r>
          </w:p>
        </w:tc>
        <w:tc>
          <w:tcPr>
            <w:tcW w:w="82" w:type="dxa"/>
            <w:tcMar>
              <w:top w:w="0" w:type="dxa"/>
              <w:left w:w="0" w:type="dxa"/>
              <w:right w:w="0" w:type="dxa"/>
            </w:tcMar>
          </w:tcPr>
          <w:p>
            <w:pPr>
              <w:pStyle w:val="6"/>
              <w:keepNext w:val="0"/>
              <w:keepLines w:val="0"/>
              <w:pageBreakBefore w:val="0"/>
              <w:widowControl w:val="0"/>
              <w:kinsoku/>
              <w:wordWrap/>
              <w:topLinePunct w:val="0"/>
              <w:autoSpaceDE/>
              <w:autoSpaceDN/>
              <w:bidi w:val="0"/>
              <w:spacing w:line="600" w:lineRule="exact"/>
              <w:rPr>
                <w:szCs w:val="20"/>
              </w:rPr>
            </w:pPr>
          </w:p>
        </w:tc>
      </w:tr>
      <w:tr>
        <w:tblPrEx>
          <w:tblCellMar>
            <w:top w:w="15" w:type="dxa"/>
            <w:left w:w="15" w:type="dxa"/>
            <w:bottom w:w="0" w:type="dxa"/>
            <w:right w:w="15" w:type="dxa"/>
          </w:tblCellMar>
        </w:tblPrEx>
        <w:trPr>
          <w:trHeight w:val="312" w:hRule="atLeast"/>
          <w:jc w:val="center"/>
        </w:trPr>
        <w:tc>
          <w:tcPr>
            <w:tcW w:w="121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7282" w:type="dxa"/>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82" w:type="dxa"/>
            <w:tcMar>
              <w:top w:w="0" w:type="dxa"/>
              <w:left w:w="0" w:type="dxa"/>
              <w:right w:w="0" w:type="dxa"/>
            </w:tcMar>
          </w:tcPr>
          <w:p>
            <w:pPr>
              <w:pStyle w:val="6"/>
              <w:keepNext w:val="0"/>
              <w:keepLines w:val="0"/>
              <w:pageBreakBefore w:val="0"/>
              <w:widowControl w:val="0"/>
              <w:kinsoku/>
              <w:wordWrap/>
              <w:topLinePunct w:val="0"/>
              <w:autoSpaceDE/>
              <w:autoSpaceDN/>
              <w:bidi w:val="0"/>
              <w:spacing w:line="600" w:lineRule="exact"/>
              <w:rPr>
                <w:szCs w:val="20"/>
              </w:rPr>
            </w:pPr>
          </w:p>
        </w:tc>
      </w:tr>
      <w:tr>
        <w:tblPrEx>
          <w:tblCellMar>
            <w:top w:w="15" w:type="dxa"/>
            <w:left w:w="15" w:type="dxa"/>
            <w:bottom w:w="0" w:type="dxa"/>
            <w:right w:w="15" w:type="dxa"/>
          </w:tblCellMar>
        </w:tblPrEx>
        <w:trPr>
          <w:trHeight w:val="115" w:hRule="atLeast"/>
          <w:jc w:val="center"/>
        </w:trPr>
        <w:tc>
          <w:tcPr>
            <w:tcW w:w="121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kern w:val="0"/>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绩效</w:t>
            </w:r>
          </w:p>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kern w:val="0"/>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指标</w:t>
            </w:r>
          </w:p>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kern w:val="0"/>
                <w:sz w:val="20"/>
                <w14:textFill>
                  <w14:solidFill>
                    <w14:schemeClr w14:val="tx1"/>
                  </w14:solidFill>
                </w14:textFill>
              </w:rPr>
            </w:pPr>
          </w:p>
        </w:tc>
        <w:tc>
          <w:tcPr>
            <w:tcW w:w="11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一级</w:t>
            </w:r>
            <w:r>
              <w:rPr>
                <w:rFonts w:ascii="宋体" w:hAnsi="宋体" w:cs="宋体"/>
                <w:color w:val="000000" w:themeColor="text1"/>
                <w:kern w:val="0"/>
                <w:sz w:val="20"/>
                <w:szCs w:val="20"/>
                <w14:textFill>
                  <w14:solidFill>
                    <w14:schemeClr w14:val="tx1"/>
                  </w14:solidFill>
                </w14:textFill>
              </w:rPr>
              <w:br w:type="textWrapping"/>
            </w:r>
            <w:r>
              <w:rPr>
                <w:rFonts w:ascii="宋体" w:hAnsi="宋体" w:cs="宋体"/>
                <w:color w:val="000000" w:themeColor="text1"/>
                <w:kern w:val="0"/>
                <w:sz w:val="20"/>
                <w:szCs w:val="20"/>
                <w14:textFill>
                  <w14:solidFill>
                    <w14:schemeClr w14:val="tx1"/>
                  </w14:solidFill>
                </w14:textFill>
              </w:rPr>
              <w:t>指标</w:t>
            </w:r>
          </w:p>
        </w:tc>
        <w:tc>
          <w:tcPr>
            <w:tcW w:w="12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二级指标</w:t>
            </w:r>
          </w:p>
        </w:tc>
        <w:tc>
          <w:tcPr>
            <w:tcW w:w="28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三级指标</w:t>
            </w: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指标值</w:t>
            </w:r>
          </w:p>
        </w:tc>
        <w:tc>
          <w:tcPr>
            <w:tcW w:w="11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备注</w:t>
            </w:r>
          </w:p>
        </w:tc>
        <w:tc>
          <w:tcPr>
            <w:tcW w:w="82" w:type="dxa"/>
            <w:tcMar>
              <w:top w:w="0" w:type="dxa"/>
              <w:left w:w="0" w:type="dxa"/>
              <w:right w:w="0" w:type="dxa"/>
            </w:tcMar>
          </w:tcPr>
          <w:p>
            <w:pPr>
              <w:pStyle w:val="6"/>
              <w:keepNext w:val="0"/>
              <w:keepLines w:val="0"/>
              <w:pageBreakBefore w:val="0"/>
              <w:widowControl w:val="0"/>
              <w:kinsoku/>
              <w:wordWrap/>
              <w:topLinePunct w:val="0"/>
              <w:autoSpaceDE/>
              <w:autoSpaceDN/>
              <w:bidi w:val="0"/>
              <w:spacing w:line="600" w:lineRule="exact"/>
              <w:rPr>
                <w:szCs w:val="20"/>
              </w:rPr>
            </w:pPr>
          </w:p>
        </w:tc>
      </w:tr>
      <w:tr>
        <w:tblPrEx>
          <w:tblCellMar>
            <w:top w:w="15" w:type="dxa"/>
            <w:left w:w="15" w:type="dxa"/>
            <w:bottom w:w="0" w:type="dxa"/>
            <w:right w:w="15" w:type="dxa"/>
          </w:tblCellMar>
        </w:tblPrEx>
        <w:trPr>
          <w:trHeight w:val="90" w:hRule="atLeast"/>
          <w:jc w:val="center"/>
        </w:trPr>
        <w:tc>
          <w:tcPr>
            <w:tcW w:w="121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10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产出指标</w:t>
            </w:r>
          </w:p>
        </w:tc>
        <w:tc>
          <w:tcPr>
            <w:tcW w:w="120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数量指标</w:t>
            </w:r>
          </w:p>
        </w:tc>
        <w:tc>
          <w:tcPr>
            <w:tcW w:w="28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left"/>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 xml:space="preserve"> 参保农户数量</w:t>
            </w: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rPr>
                <w:rFonts w:ascii="宋体" w:hAnsi="宋体" w:cs="宋体"/>
                <w:color w:val="000000" w:themeColor="text1"/>
                <w:sz w:val="20"/>
                <w14:textFill>
                  <w14:solidFill>
                    <w14:schemeClr w14:val="tx1"/>
                  </w14:solidFill>
                </w14:textFill>
              </w:rPr>
            </w:pPr>
            <w:r>
              <w:rPr>
                <w:rFonts w:ascii="宋体" w:hAnsi="宋体" w:cs="宋体"/>
                <w:color w:val="000000" w:themeColor="text1"/>
                <w:sz w:val="20"/>
                <w:szCs w:val="20"/>
                <w14:textFill>
                  <w14:solidFill>
                    <w14:schemeClr w14:val="tx1"/>
                  </w14:solidFill>
                </w14:textFill>
              </w:rPr>
              <w:t>全县种植、养殖农户</w:t>
            </w:r>
          </w:p>
        </w:tc>
        <w:tc>
          <w:tcPr>
            <w:tcW w:w="118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rPr>
                <w:rFonts w:ascii="宋体" w:hAnsi="宋体" w:cs="宋体"/>
                <w:color w:val="000000" w:themeColor="text1"/>
                <w:sz w:val="22"/>
                <w:szCs w:val="22"/>
                <w14:textFill>
                  <w14:solidFill>
                    <w14:schemeClr w14:val="tx1"/>
                  </w14:solidFill>
                </w14:textFill>
              </w:rPr>
            </w:pPr>
          </w:p>
        </w:tc>
        <w:tc>
          <w:tcPr>
            <w:tcW w:w="82" w:type="dxa"/>
            <w:tcMar>
              <w:top w:w="0" w:type="dxa"/>
              <w:left w:w="0" w:type="dxa"/>
              <w:right w:w="0" w:type="dxa"/>
            </w:tcMar>
          </w:tcPr>
          <w:p>
            <w:pPr>
              <w:pStyle w:val="6"/>
              <w:keepNext w:val="0"/>
              <w:keepLines w:val="0"/>
              <w:pageBreakBefore w:val="0"/>
              <w:widowControl w:val="0"/>
              <w:kinsoku/>
              <w:wordWrap/>
              <w:topLinePunct w:val="0"/>
              <w:autoSpaceDE/>
              <w:autoSpaceDN/>
              <w:bidi w:val="0"/>
              <w:spacing w:line="600" w:lineRule="exact"/>
              <w:rPr>
                <w:szCs w:val="20"/>
              </w:rPr>
            </w:pPr>
          </w:p>
        </w:tc>
      </w:tr>
      <w:tr>
        <w:tblPrEx>
          <w:tblCellMar>
            <w:top w:w="15" w:type="dxa"/>
            <w:left w:w="15" w:type="dxa"/>
            <w:bottom w:w="0" w:type="dxa"/>
            <w:right w:w="15" w:type="dxa"/>
          </w:tblCellMar>
        </w:tblPrEx>
        <w:trPr>
          <w:trHeight w:val="90" w:hRule="atLeast"/>
          <w:jc w:val="center"/>
        </w:trPr>
        <w:tc>
          <w:tcPr>
            <w:tcW w:w="121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10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20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28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left"/>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收益农户数量</w:t>
            </w: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rPr>
                <w:rFonts w:ascii="宋体" w:hAnsi="宋体" w:cs="宋体"/>
                <w:color w:val="000000" w:themeColor="text1"/>
                <w:sz w:val="20"/>
                <w14:textFill>
                  <w14:solidFill>
                    <w14:schemeClr w14:val="tx1"/>
                  </w14:solidFill>
                </w14:textFill>
              </w:rPr>
            </w:pPr>
            <w:r>
              <w:rPr>
                <w:rFonts w:ascii="宋体" w:hAnsi="宋体" w:cs="宋体"/>
                <w:color w:val="000000" w:themeColor="text1"/>
                <w:sz w:val="20"/>
                <w:szCs w:val="20"/>
                <w14:textFill>
                  <w14:solidFill>
                    <w14:schemeClr w14:val="tx1"/>
                  </w14:solidFill>
                </w14:textFill>
              </w:rPr>
              <w:t>全县种植、养殖农户</w:t>
            </w:r>
          </w:p>
        </w:tc>
        <w:tc>
          <w:tcPr>
            <w:tcW w:w="118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rPr>
                <w:rFonts w:ascii="宋体" w:hAnsi="宋体" w:cs="宋体"/>
                <w:color w:val="000000" w:themeColor="text1"/>
                <w:sz w:val="22"/>
                <w:szCs w:val="22"/>
                <w14:textFill>
                  <w14:solidFill>
                    <w14:schemeClr w14:val="tx1"/>
                  </w14:solidFill>
                </w14:textFill>
              </w:rPr>
            </w:pPr>
          </w:p>
        </w:tc>
        <w:tc>
          <w:tcPr>
            <w:tcW w:w="82" w:type="dxa"/>
            <w:tcMar>
              <w:top w:w="0" w:type="dxa"/>
              <w:left w:w="0" w:type="dxa"/>
              <w:right w:w="0" w:type="dxa"/>
            </w:tcMar>
          </w:tcPr>
          <w:p>
            <w:pPr>
              <w:pStyle w:val="6"/>
              <w:keepNext w:val="0"/>
              <w:keepLines w:val="0"/>
              <w:pageBreakBefore w:val="0"/>
              <w:widowControl w:val="0"/>
              <w:kinsoku/>
              <w:wordWrap/>
              <w:topLinePunct w:val="0"/>
              <w:autoSpaceDE/>
              <w:autoSpaceDN/>
              <w:bidi w:val="0"/>
              <w:spacing w:line="600" w:lineRule="exact"/>
              <w:rPr>
                <w:szCs w:val="20"/>
              </w:rPr>
            </w:pPr>
          </w:p>
        </w:tc>
      </w:tr>
      <w:tr>
        <w:tblPrEx>
          <w:tblCellMar>
            <w:top w:w="15" w:type="dxa"/>
            <w:left w:w="15" w:type="dxa"/>
            <w:bottom w:w="0" w:type="dxa"/>
            <w:right w:w="15" w:type="dxa"/>
          </w:tblCellMar>
        </w:tblPrEx>
        <w:trPr>
          <w:trHeight w:val="90" w:hRule="atLeast"/>
          <w:jc w:val="center"/>
        </w:trPr>
        <w:tc>
          <w:tcPr>
            <w:tcW w:w="121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10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20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28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left"/>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 xml:space="preserve"> 标的物金额</w:t>
            </w: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rPr>
                <w:rFonts w:ascii="宋体" w:hAnsi="宋体" w:cs="宋体"/>
                <w:color w:val="000000" w:themeColor="text1"/>
                <w:sz w:val="20"/>
                <w14:textFill>
                  <w14:solidFill>
                    <w14:schemeClr w14:val="tx1"/>
                  </w14:solidFill>
                </w14:textFill>
              </w:rPr>
            </w:pPr>
            <w:r>
              <w:rPr>
                <w:rFonts w:ascii="宋体" w:hAnsi="宋体" w:cs="宋体"/>
                <w:color w:val="000000" w:themeColor="text1"/>
                <w:sz w:val="20"/>
                <w:szCs w:val="20"/>
                <w14:textFill>
                  <w14:solidFill>
                    <w14:schemeClr w14:val="tx1"/>
                  </w14:solidFill>
                </w14:textFill>
              </w:rPr>
              <w:t>按照县补贴标准</w:t>
            </w:r>
          </w:p>
        </w:tc>
        <w:tc>
          <w:tcPr>
            <w:tcW w:w="118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rPr>
                <w:rFonts w:ascii="宋体" w:hAnsi="宋体" w:cs="宋体"/>
                <w:color w:val="000000" w:themeColor="text1"/>
                <w:sz w:val="22"/>
                <w:szCs w:val="22"/>
                <w14:textFill>
                  <w14:solidFill>
                    <w14:schemeClr w14:val="tx1"/>
                  </w14:solidFill>
                </w14:textFill>
              </w:rPr>
            </w:pPr>
          </w:p>
        </w:tc>
        <w:tc>
          <w:tcPr>
            <w:tcW w:w="82" w:type="dxa"/>
            <w:tcMar>
              <w:top w:w="0" w:type="dxa"/>
              <w:left w:w="0" w:type="dxa"/>
              <w:right w:w="0" w:type="dxa"/>
            </w:tcMar>
          </w:tcPr>
          <w:p>
            <w:pPr>
              <w:pStyle w:val="6"/>
              <w:keepNext w:val="0"/>
              <w:keepLines w:val="0"/>
              <w:pageBreakBefore w:val="0"/>
              <w:widowControl w:val="0"/>
              <w:kinsoku/>
              <w:wordWrap/>
              <w:topLinePunct w:val="0"/>
              <w:autoSpaceDE/>
              <w:autoSpaceDN/>
              <w:bidi w:val="0"/>
              <w:spacing w:line="600" w:lineRule="exact"/>
              <w:rPr>
                <w:szCs w:val="20"/>
              </w:rPr>
            </w:pPr>
          </w:p>
        </w:tc>
      </w:tr>
      <w:tr>
        <w:tblPrEx>
          <w:tblCellMar>
            <w:top w:w="15" w:type="dxa"/>
            <w:left w:w="15" w:type="dxa"/>
            <w:bottom w:w="0" w:type="dxa"/>
            <w:right w:w="15" w:type="dxa"/>
          </w:tblCellMar>
        </w:tblPrEx>
        <w:trPr>
          <w:trHeight w:val="90" w:hRule="atLeast"/>
          <w:jc w:val="center"/>
        </w:trPr>
        <w:tc>
          <w:tcPr>
            <w:tcW w:w="121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10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20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质量指标</w:t>
            </w:r>
          </w:p>
        </w:tc>
        <w:tc>
          <w:tcPr>
            <w:tcW w:w="28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left"/>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 xml:space="preserve"> 标的物参保赔付率</w:t>
            </w: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right"/>
              <w:rPr>
                <w:rFonts w:ascii="宋体" w:hAnsi="宋体" w:cs="宋体"/>
                <w:color w:val="000000" w:themeColor="text1"/>
                <w:sz w:val="20"/>
                <w14:textFill>
                  <w14:solidFill>
                    <w14:schemeClr w14:val="tx1"/>
                  </w14:solidFill>
                </w14:textFill>
              </w:rPr>
            </w:pPr>
            <w:r>
              <w:rPr>
                <w:rFonts w:ascii="宋体" w:hAnsi="宋体" w:cs="宋体"/>
                <w:color w:val="000000" w:themeColor="text1"/>
                <w:sz w:val="20"/>
                <w:szCs w:val="20"/>
                <w14:textFill>
                  <w14:solidFill>
                    <w14:schemeClr w14:val="tx1"/>
                  </w14:solidFill>
                </w14:textFill>
              </w:rPr>
              <w:t>大于99%</w:t>
            </w:r>
          </w:p>
        </w:tc>
        <w:tc>
          <w:tcPr>
            <w:tcW w:w="118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rPr>
                <w:rFonts w:ascii="宋体" w:hAnsi="宋体" w:cs="宋体"/>
                <w:color w:val="000000" w:themeColor="text1"/>
                <w:sz w:val="22"/>
                <w:szCs w:val="22"/>
                <w14:textFill>
                  <w14:solidFill>
                    <w14:schemeClr w14:val="tx1"/>
                  </w14:solidFill>
                </w14:textFill>
              </w:rPr>
            </w:pPr>
          </w:p>
        </w:tc>
        <w:tc>
          <w:tcPr>
            <w:tcW w:w="82" w:type="dxa"/>
            <w:tcMar>
              <w:top w:w="0" w:type="dxa"/>
              <w:left w:w="0" w:type="dxa"/>
              <w:right w:w="0" w:type="dxa"/>
            </w:tcMar>
          </w:tcPr>
          <w:p>
            <w:pPr>
              <w:pStyle w:val="6"/>
              <w:keepNext w:val="0"/>
              <w:keepLines w:val="0"/>
              <w:pageBreakBefore w:val="0"/>
              <w:widowControl w:val="0"/>
              <w:kinsoku/>
              <w:wordWrap/>
              <w:topLinePunct w:val="0"/>
              <w:autoSpaceDE/>
              <w:autoSpaceDN/>
              <w:bidi w:val="0"/>
              <w:spacing w:line="600" w:lineRule="exact"/>
              <w:rPr>
                <w:szCs w:val="20"/>
              </w:rPr>
            </w:pPr>
          </w:p>
        </w:tc>
      </w:tr>
      <w:tr>
        <w:tblPrEx>
          <w:tblCellMar>
            <w:top w:w="15" w:type="dxa"/>
            <w:left w:w="15" w:type="dxa"/>
            <w:bottom w:w="0" w:type="dxa"/>
            <w:right w:w="15" w:type="dxa"/>
          </w:tblCellMar>
        </w:tblPrEx>
        <w:trPr>
          <w:trHeight w:val="90" w:hRule="atLeast"/>
          <w:jc w:val="center"/>
        </w:trPr>
        <w:tc>
          <w:tcPr>
            <w:tcW w:w="121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10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20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28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left"/>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符合条件的农户标的物参保率</w:t>
            </w: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right"/>
              <w:rPr>
                <w:rFonts w:ascii="宋体" w:hAnsi="宋体" w:cs="宋体"/>
                <w:color w:val="000000" w:themeColor="text1"/>
                <w:sz w:val="20"/>
                <w14:textFill>
                  <w14:solidFill>
                    <w14:schemeClr w14:val="tx1"/>
                  </w14:solidFill>
                </w14:textFill>
              </w:rPr>
            </w:pPr>
            <w:r>
              <w:rPr>
                <w:rFonts w:ascii="宋体" w:hAnsi="宋体" w:cs="宋体"/>
                <w:color w:val="000000" w:themeColor="text1"/>
                <w:sz w:val="20"/>
                <w:szCs w:val="20"/>
                <w14:textFill>
                  <w14:solidFill>
                    <w14:schemeClr w14:val="tx1"/>
                  </w14:solidFill>
                </w14:textFill>
              </w:rPr>
              <w:t>大于9</w:t>
            </w:r>
            <w:r>
              <w:rPr>
                <w:rFonts w:ascii="宋体" w:hAnsi="宋体" w:cs="宋体"/>
                <w:color w:val="000000" w:themeColor="text1"/>
                <w:sz w:val="20"/>
                <w:szCs w:val="20"/>
                <w:lang w:val="en-US" w:eastAsia="zh-CN"/>
                <w14:textFill>
                  <w14:solidFill>
                    <w14:schemeClr w14:val="tx1"/>
                  </w14:solidFill>
                </w14:textFill>
              </w:rPr>
              <w:t>8</w:t>
            </w:r>
            <w:r>
              <w:rPr>
                <w:rFonts w:ascii="宋体" w:hAnsi="宋体" w:cs="宋体"/>
                <w:color w:val="000000" w:themeColor="text1"/>
                <w:sz w:val="20"/>
                <w:szCs w:val="20"/>
                <w14:textFill>
                  <w14:solidFill>
                    <w14:schemeClr w14:val="tx1"/>
                  </w14:solidFill>
                </w14:textFill>
              </w:rPr>
              <w:t>%</w:t>
            </w:r>
          </w:p>
        </w:tc>
        <w:tc>
          <w:tcPr>
            <w:tcW w:w="118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rPr>
                <w:rFonts w:ascii="宋体" w:hAnsi="宋体" w:cs="宋体"/>
                <w:color w:val="000000" w:themeColor="text1"/>
                <w:sz w:val="22"/>
                <w:szCs w:val="22"/>
                <w14:textFill>
                  <w14:solidFill>
                    <w14:schemeClr w14:val="tx1"/>
                  </w14:solidFill>
                </w14:textFill>
              </w:rPr>
            </w:pPr>
          </w:p>
        </w:tc>
        <w:tc>
          <w:tcPr>
            <w:tcW w:w="82" w:type="dxa"/>
            <w:tcMar>
              <w:top w:w="0" w:type="dxa"/>
              <w:left w:w="0" w:type="dxa"/>
              <w:right w:w="0" w:type="dxa"/>
            </w:tcMar>
          </w:tcPr>
          <w:p>
            <w:pPr>
              <w:pStyle w:val="6"/>
              <w:keepNext w:val="0"/>
              <w:keepLines w:val="0"/>
              <w:pageBreakBefore w:val="0"/>
              <w:widowControl w:val="0"/>
              <w:kinsoku/>
              <w:wordWrap/>
              <w:topLinePunct w:val="0"/>
              <w:autoSpaceDE/>
              <w:autoSpaceDN/>
              <w:bidi w:val="0"/>
              <w:spacing w:line="600" w:lineRule="exact"/>
              <w:rPr>
                <w:szCs w:val="20"/>
              </w:rPr>
            </w:pPr>
          </w:p>
        </w:tc>
      </w:tr>
      <w:tr>
        <w:tblPrEx>
          <w:tblCellMar>
            <w:top w:w="15" w:type="dxa"/>
            <w:left w:w="15" w:type="dxa"/>
            <w:bottom w:w="0" w:type="dxa"/>
            <w:right w:w="15" w:type="dxa"/>
          </w:tblCellMar>
        </w:tblPrEx>
        <w:trPr>
          <w:trHeight w:val="90" w:hRule="atLeast"/>
          <w:jc w:val="center"/>
        </w:trPr>
        <w:tc>
          <w:tcPr>
            <w:tcW w:w="121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10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2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时效指标</w:t>
            </w:r>
          </w:p>
        </w:tc>
        <w:tc>
          <w:tcPr>
            <w:tcW w:w="28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left"/>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 xml:space="preserve"> 标的物参保期限</w:t>
            </w: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rPr>
                <w:rFonts w:ascii="宋体" w:hAnsi="宋体" w:eastAsia="宋体" w:cs="宋体"/>
                <w:color w:val="000000" w:themeColor="text1"/>
                <w:sz w:val="20"/>
                <w:lang w:val="en-US" w:eastAsia="zh-CN"/>
                <w14:textFill>
                  <w14:solidFill>
                    <w14:schemeClr w14:val="tx1"/>
                  </w14:solidFill>
                </w14:textFill>
              </w:rPr>
            </w:pPr>
            <w:r>
              <w:rPr>
                <w:rFonts w:ascii="宋体" w:hAnsi="宋体" w:cs="宋体"/>
                <w:color w:val="000000" w:themeColor="text1"/>
                <w:sz w:val="20"/>
                <w:szCs w:val="20"/>
                <w:lang w:val="en-US" w:eastAsia="zh-CN"/>
                <w14:textFill>
                  <w14:solidFill>
                    <w14:schemeClr w14:val="tx1"/>
                  </w14:solidFill>
                </w14:textFill>
              </w:rPr>
              <w:t>1年</w:t>
            </w:r>
          </w:p>
        </w:tc>
        <w:tc>
          <w:tcPr>
            <w:tcW w:w="118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rPr>
                <w:rFonts w:ascii="宋体" w:hAnsi="宋体" w:cs="宋体"/>
                <w:color w:val="000000" w:themeColor="text1"/>
                <w:sz w:val="22"/>
                <w:szCs w:val="22"/>
                <w14:textFill>
                  <w14:solidFill>
                    <w14:schemeClr w14:val="tx1"/>
                  </w14:solidFill>
                </w14:textFill>
              </w:rPr>
            </w:pPr>
          </w:p>
        </w:tc>
        <w:tc>
          <w:tcPr>
            <w:tcW w:w="82" w:type="dxa"/>
            <w:tcMar>
              <w:top w:w="0" w:type="dxa"/>
              <w:left w:w="0" w:type="dxa"/>
              <w:right w:w="0" w:type="dxa"/>
            </w:tcMar>
          </w:tcPr>
          <w:p>
            <w:pPr>
              <w:pStyle w:val="6"/>
              <w:keepNext w:val="0"/>
              <w:keepLines w:val="0"/>
              <w:pageBreakBefore w:val="0"/>
              <w:widowControl w:val="0"/>
              <w:kinsoku/>
              <w:wordWrap/>
              <w:topLinePunct w:val="0"/>
              <w:autoSpaceDE/>
              <w:autoSpaceDN/>
              <w:bidi w:val="0"/>
              <w:spacing w:line="600" w:lineRule="exact"/>
              <w:rPr>
                <w:szCs w:val="20"/>
              </w:rPr>
            </w:pPr>
          </w:p>
        </w:tc>
      </w:tr>
      <w:tr>
        <w:tblPrEx>
          <w:tblCellMar>
            <w:top w:w="15" w:type="dxa"/>
            <w:left w:w="15" w:type="dxa"/>
            <w:bottom w:w="0" w:type="dxa"/>
            <w:right w:w="15" w:type="dxa"/>
          </w:tblCellMar>
        </w:tblPrEx>
        <w:trPr>
          <w:trHeight w:val="90" w:hRule="atLeast"/>
          <w:jc w:val="center"/>
        </w:trPr>
        <w:tc>
          <w:tcPr>
            <w:tcW w:w="121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10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20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成本指标</w:t>
            </w:r>
          </w:p>
        </w:tc>
        <w:tc>
          <w:tcPr>
            <w:tcW w:w="28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left"/>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 xml:space="preserve"> 农户支付保费额</w:t>
            </w: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rPr>
                <w:rFonts w:ascii="宋体" w:hAnsi="宋体" w:cs="宋体"/>
                <w:color w:val="000000" w:themeColor="text1"/>
                <w:sz w:val="20"/>
                <w14:textFill>
                  <w14:solidFill>
                    <w14:schemeClr w14:val="tx1"/>
                  </w14:solidFill>
                </w14:textFill>
              </w:rPr>
            </w:pPr>
            <w:r>
              <w:rPr>
                <w:rFonts w:ascii="宋体" w:hAnsi="宋体" w:cs="宋体"/>
                <w:color w:val="000000" w:themeColor="text1"/>
                <w:sz w:val="20"/>
                <w:szCs w:val="20"/>
                <w14:textFill>
                  <w14:solidFill>
                    <w14:schemeClr w14:val="tx1"/>
                  </w14:solidFill>
                </w14:textFill>
              </w:rPr>
              <w:t>按照比例</w:t>
            </w:r>
          </w:p>
        </w:tc>
        <w:tc>
          <w:tcPr>
            <w:tcW w:w="118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rPr>
                <w:rFonts w:ascii="宋体" w:hAnsi="宋体" w:cs="宋体"/>
                <w:color w:val="000000" w:themeColor="text1"/>
                <w:sz w:val="22"/>
                <w:szCs w:val="22"/>
                <w14:textFill>
                  <w14:solidFill>
                    <w14:schemeClr w14:val="tx1"/>
                  </w14:solidFill>
                </w14:textFill>
              </w:rPr>
            </w:pPr>
          </w:p>
        </w:tc>
        <w:tc>
          <w:tcPr>
            <w:tcW w:w="82" w:type="dxa"/>
            <w:tcMar>
              <w:top w:w="0" w:type="dxa"/>
              <w:left w:w="0" w:type="dxa"/>
              <w:right w:w="0" w:type="dxa"/>
            </w:tcMar>
          </w:tcPr>
          <w:p>
            <w:pPr>
              <w:pStyle w:val="6"/>
              <w:keepNext w:val="0"/>
              <w:keepLines w:val="0"/>
              <w:pageBreakBefore w:val="0"/>
              <w:widowControl w:val="0"/>
              <w:kinsoku/>
              <w:wordWrap/>
              <w:topLinePunct w:val="0"/>
              <w:autoSpaceDE/>
              <w:autoSpaceDN/>
              <w:bidi w:val="0"/>
              <w:spacing w:line="600" w:lineRule="exact"/>
              <w:rPr>
                <w:szCs w:val="20"/>
              </w:rPr>
            </w:pPr>
          </w:p>
        </w:tc>
      </w:tr>
      <w:tr>
        <w:tblPrEx>
          <w:tblCellMar>
            <w:top w:w="15" w:type="dxa"/>
            <w:left w:w="15" w:type="dxa"/>
            <w:bottom w:w="0" w:type="dxa"/>
            <w:right w:w="15" w:type="dxa"/>
          </w:tblCellMar>
        </w:tblPrEx>
        <w:trPr>
          <w:trHeight w:val="90" w:hRule="atLeast"/>
          <w:jc w:val="center"/>
        </w:trPr>
        <w:tc>
          <w:tcPr>
            <w:tcW w:w="121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10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20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28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left"/>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 xml:space="preserve"> 财政补贴保费额</w:t>
            </w: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rPr>
                <w:rFonts w:ascii="宋体" w:hAnsi="宋体" w:cs="宋体"/>
                <w:color w:val="000000" w:themeColor="text1"/>
                <w:sz w:val="20"/>
                <w14:textFill>
                  <w14:solidFill>
                    <w14:schemeClr w14:val="tx1"/>
                  </w14:solidFill>
                </w14:textFill>
              </w:rPr>
            </w:pPr>
            <w:r>
              <w:rPr>
                <w:rFonts w:ascii="宋体" w:hAnsi="宋体" w:cs="宋体"/>
                <w:color w:val="000000" w:themeColor="text1"/>
                <w:sz w:val="20"/>
                <w:szCs w:val="20"/>
                <w14:textFill>
                  <w14:solidFill>
                    <w14:schemeClr w14:val="tx1"/>
                  </w14:solidFill>
                </w14:textFill>
              </w:rPr>
              <w:t>按照比例</w:t>
            </w:r>
          </w:p>
        </w:tc>
        <w:tc>
          <w:tcPr>
            <w:tcW w:w="118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rPr>
                <w:rFonts w:ascii="宋体" w:hAnsi="宋体" w:cs="宋体"/>
                <w:color w:val="000000" w:themeColor="text1"/>
                <w:sz w:val="22"/>
                <w:szCs w:val="22"/>
                <w14:textFill>
                  <w14:solidFill>
                    <w14:schemeClr w14:val="tx1"/>
                  </w14:solidFill>
                </w14:textFill>
              </w:rPr>
            </w:pPr>
          </w:p>
        </w:tc>
        <w:tc>
          <w:tcPr>
            <w:tcW w:w="82" w:type="dxa"/>
            <w:tcMar>
              <w:top w:w="0" w:type="dxa"/>
              <w:left w:w="0" w:type="dxa"/>
              <w:right w:w="0" w:type="dxa"/>
            </w:tcMar>
          </w:tcPr>
          <w:p>
            <w:pPr>
              <w:pStyle w:val="6"/>
              <w:keepNext w:val="0"/>
              <w:keepLines w:val="0"/>
              <w:pageBreakBefore w:val="0"/>
              <w:widowControl w:val="0"/>
              <w:kinsoku/>
              <w:wordWrap/>
              <w:topLinePunct w:val="0"/>
              <w:autoSpaceDE/>
              <w:autoSpaceDN/>
              <w:bidi w:val="0"/>
              <w:spacing w:line="600" w:lineRule="exact"/>
              <w:rPr>
                <w:szCs w:val="20"/>
              </w:rPr>
            </w:pPr>
          </w:p>
        </w:tc>
      </w:tr>
      <w:tr>
        <w:tblPrEx>
          <w:tblCellMar>
            <w:top w:w="15" w:type="dxa"/>
            <w:left w:w="15" w:type="dxa"/>
            <w:bottom w:w="0" w:type="dxa"/>
            <w:right w:w="15" w:type="dxa"/>
          </w:tblCellMar>
        </w:tblPrEx>
        <w:trPr>
          <w:trHeight w:val="90" w:hRule="atLeast"/>
          <w:jc w:val="center"/>
        </w:trPr>
        <w:tc>
          <w:tcPr>
            <w:tcW w:w="121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10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效益指标</w:t>
            </w:r>
          </w:p>
        </w:tc>
        <w:tc>
          <w:tcPr>
            <w:tcW w:w="12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经济效益</w:t>
            </w:r>
            <w:r>
              <w:rPr>
                <w:rFonts w:ascii="宋体" w:hAnsi="宋体" w:cs="宋体"/>
                <w:color w:val="000000" w:themeColor="text1"/>
                <w:kern w:val="0"/>
                <w:sz w:val="20"/>
                <w:szCs w:val="20"/>
                <w14:textFill>
                  <w14:solidFill>
                    <w14:schemeClr w14:val="tx1"/>
                  </w14:solidFill>
                </w14:textFill>
              </w:rPr>
              <w:br w:type="textWrapping"/>
            </w:r>
            <w:r>
              <w:rPr>
                <w:rFonts w:ascii="宋体" w:hAnsi="宋体" w:cs="宋体"/>
                <w:color w:val="000000" w:themeColor="text1"/>
                <w:kern w:val="0"/>
                <w:sz w:val="20"/>
                <w:szCs w:val="20"/>
                <w14:textFill>
                  <w14:solidFill>
                    <w14:schemeClr w14:val="tx1"/>
                  </w14:solidFill>
                </w14:textFill>
              </w:rPr>
              <w:t>指标</w:t>
            </w:r>
          </w:p>
        </w:tc>
        <w:tc>
          <w:tcPr>
            <w:tcW w:w="28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left"/>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 xml:space="preserve"> 减少农户损失</w:t>
            </w: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rPr>
                <w:rFonts w:ascii="宋体" w:hAnsi="宋体" w:cs="宋体"/>
                <w:color w:val="000000" w:themeColor="text1"/>
                <w:sz w:val="20"/>
                <w14:textFill>
                  <w14:solidFill>
                    <w14:schemeClr w14:val="tx1"/>
                  </w14:solidFill>
                </w14:textFill>
              </w:rPr>
            </w:pPr>
            <w:r>
              <w:rPr>
                <w:rFonts w:ascii="宋体" w:hAnsi="宋体" w:cs="宋体"/>
                <w:color w:val="000000" w:themeColor="text1"/>
                <w:sz w:val="20"/>
                <w:szCs w:val="20"/>
                <w14:textFill>
                  <w14:solidFill>
                    <w14:schemeClr w14:val="tx1"/>
                  </w14:solidFill>
                </w14:textFill>
              </w:rPr>
              <w:t>农民增收</w:t>
            </w:r>
          </w:p>
        </w:tc>
        <w:tc>
          <w:tcPr>
            <w:tcW w:w="118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rPr>
                <w:rFonts w:ascii="宋体" w:hAnsi="宋体" w:cs="宋体"/>
                <w:color w:val="000000" w:themeColor="text1"/>
                <w:sz w:val="22"/>
                <w:szCs w:val="22"/>
                <w14:textFill>
                  <w14:solidFill>
                    <w14:schemeClr w14:val="tx1"/>
                  </w14:solidFill>
                </w14:textFill>
              </w:rPr>
            </w:pPr>
          </w:p>
        </w:tc>
        <w:tc>
          <w:tcPr>
            <w:tcW w:w="82" w:type="dxa"/>
            <w:tcMar>
              <w:top w:w="0" w:type="dxa"/>
              <w:left w:w="0" w:type="dxa"/>
              <w:right w:w="0" w:type="dxa"/>
            </w:tcMar>
          </w:tcPr>
          <w:p>
            <w:pPr>
              <w:pStyle w:val="6"/>
              <w:keepNext w:val="0"/>
              <w:keepLines w:val="0"/>
              <w:pageBreakBefore w:val="0"/>
              <w:widowControl w:val="0"/>
              <w:kinsoku/>
              <w:wordWrap/>
              <w:topLinePunct w:val="0"/>
              <w:autoSpaceDE/>
              <w:autoSpaceDN/>
              <w:bidi w:val="0"/>
              <w:spacing w:line="600" w:lineRule="exact"/>
              <w:rPr>
                <w:szCs w:val="20"/>
              </w:rPr>
            </w:pPr>
          </w:p>
        </w:tc>
      </w:tr>
      <w:tr>
        <w:tblPrEx>
          <w:tblCellMar>
            <w:top w:w="15" w:type="dxa"/>
            <w:left w:w="15" w:type="dxa"/>
            <w:bottom w:w="0" w:type="dxa"/>
            <w:right w:w="15" w:type="dxa"/>
          </w:tblCellMar>
        </w:tblPrEx>
        <w:trPr>
          <w:trHeight w:val="90" w:hRule="atLeast"/>
          <w:jc w:val="center"/>
        </w:trPr>
        <w:tc>
          <w:tcPr>
            <w:tcW w:w="121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10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2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社会效益</w:t>
            </w:r>
            <w:r>
              <w:rPr>
                <w:rFonts w:ascii="宋体" w:hAnsi="宋体" w:cs="宋体"/>
                <w:color w:val="000000" w:themeColor="text1"/>
                <w:kern w:val="0"/>
                <w:sz w:val="20"/>
                <w:szCs w:val="20"/>
                <w14:textFill>
                  <w14:solidFill>
                    <w14:schemeClr w14:val="tx1"/>
                  </w14:solidFill>
                </w14:textFill>
              </w:rPr>
              <w:br w:type="textWrapping"/>
            </w:r>
            <w:r>
              <w:rPr>
                <w:rFonts w:ascii="宋体" w:hAnsi="宋体" w:cs="宋体"/>
                <w:color w:val="000000" w:themeColor="text1"/>
                <w:kern w:val="0"/>
                <w:sz w:val="20"/>
                <w:szCs w:val="20"/>
                <w14:textFill>
                  <w14:solidFill>
                    <w14:schemeClr w14:val="tx1"/>
                  </w14:solidFill>
                </w14:textFill>
              </w:rPr>
              <w:t>指标</w:t>
            </w:r>
          </w:p>
        </w:tc>
        <w:tc>
          <w:tcPr>
            <w:tcW w:w="28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left"/>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 xml:space="preserve"> 社会的经济发展</w:t>
            </w: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rPr>
                <w:rFonts w:ascii="宋体" w:hAnsi="宋体" w:cs="宋体"/>
                <w:color w:val="000000" w:themeColor="text1"/>
                <w:sz w:val="20"/>
                <w14:textFill>
                  <w14:solidFill>
                    <w14:schemeClr w14:val="tx1"/>
                  </w14:solidFill>
                </w14:textFill>
              </w:rPr>
            </w:pPr>
            <w:r>
              <w:rPr>
                <w:rFonts w:ascii="宋体" w:hAnsi="宋体" w:cs="宋体"/>
                <w:color w:val="000000" w:themeColor="text1"/>
                <w:sz w:val="20"/>
                <w:szCs w:val="20"/>
                <w14:textFill>
                  <w14:solidFill>
                    <w14:schemeClr w14:val="tx1"/>
                  </w14:solidFill>
                </w14:textFill>
              </w:rPr>
              <w:t>提高</w:t>
            </w:r>
          </w:p>
        </w:tc>
        <w:tc>
          <w:tcPr>
            <w:tcW w:w="118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rPr>
                <w:rFonts w:ascii="宋体" w:hAnsi="宋体" w:cs="宋体"/>
                <w:color w:val="000000" w:themeColor="text1"/>
                <w:sz w:val="22"/>
                <w:szCs w:val="22"/>
                <w14:textFill>
                  <w14:solidFill>
                    <w14:schemeClr w14:val="tx1"/>
                  </w14:solidFill>
                </w14:textFill>
              </w:rPr>
            </w:pPr>
          </w:p>
        </w:tc>
        <w:tc>
          <w:tcPr>
            <w:tcW w:w="82" w:type="dxa"/>
            <w:tcMar>
              <w:top w:w="0" w:type="dxa"/>
              <w:left w:w="0" w:type="dxa"/>
              <w:right w:w="0" w:type="dxa"/>
            </w:tcMar>
          </w:tcPr>
          <w:p>
            <w:pPr>
              <w:pStyle w:val="6"/>
              <w:keepNext w:val="0"/>
              <w:keepLines w:val="0"/>
              <w:pageBreakBefore w:val="0"/>
              <w:widowControl w:val="0"/>
              <w:kinsoku/>
              <w:wordWrap/>
              <w:topLinePunct w:val="0"/>
              <w:autoSpaceDE/>
              <w:autoSpaceDN/>
              <w:bidi w:val="0"/>
              <w:spacing w:line="600" w:lineRule="exact"/>
              <w:rPr>
                <w:szCs w:val="20"/>
              </w:rPr>
            </w:pPr>
          </w:p>
        </w:tc>
      </w:tr>
      <w:tr>
        <w:tblPrEx>
          <w:tblCellMar>
            <w:top w:w="15" w:type="dxa"/>
            <w:left w:w="15" w:type="dxa"/>
            <w:bottom w:w="0" w:type="dxa"/>
            <w:right w:w="15" w:type="dxa"/>
          </w:tblCellMar>
        </w:tblPrEx>
        <w:trPr>
          <w:trHeight w:val="90" w:hRule="atLeast"/>
          <w:jc w:val="center"/>
        </w:trPr>
        <w:tc>
          <w:tcPr>
            <w:tcW w:w="121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10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2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生态效益</w:t>
            </w:r>
            <w:r>
              <w:rPr>
                <w:rFonts w:ascii="宋体" w:hAnsi="宋体" w:cs="宋体"/>
                <w:color w:val="000000" w:themeColor="text1"/>
                <w:kern w:val="0"/>
                <w:sz w:val="20"/>
                <w:szCs w:val="20"/>
                <w14:textFill>
                  <w14:solidFill>
                    <w14:schemeClr w14:val="tx1"/>
                  </w14:solidFill>
                </w14:textFill>
              </w:rPr>
              <w:br w:type="textWrapping"/>
            </w:r>
            <w:r>
              <w:rPr>
                <w:rFonts w:ascii="宋体" w:hAnsi="宋体" w:cs="宋体"/>
                <w:color w:val="000000" w:themeColor="text1"/>
                <w:kern w:val="0"/>
                <w:sz w:val="20"/>
                <w:szCs w:val="20"/>
                <w14:textFill>
                  <w14:solidFill>
                    <w14:schemeClr w14:val="tx1"/>
                  </w14:solidFill>
                </w14:textFill>
              </w:rPr>
              <w:t>指标</w:t>
            </w:r>
          </w:p>
        </w:tc>
        <w:tc>
          <w:tcPr>
            <w:tcW w:w="28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left"/>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 xml:space="preserve"> 生态的发展</w:t>
            </w: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rPr>
                <w:rFonts w:ascii="宋体" w:hAnsi="宋体" w:cs="宋体"/>
                <w:color w:val="000000" w:themeColor="text1"/>
                <w:sz w:val="20"/>
                <w14:textFill>
                  <w14:solidFill>
                    <w14:schemeClr w14:val="tx1"/>
                  </w14:solidFill>
                </w14:textFill>
              </w:rPr>
            </w:pPr>
            <w:r>
              <w:rPr>
                <w:rFonts w:ascii="宋体" w:hAnsi="宋体" w:cs="宋体"/>
                <w:color w:val="000000" w:themeColor="text1"/>
                <w:sz w:val="20"/>
                <w:szCs w:val="20"/>
                <w14:textFill>
                  <w14:solidFill>
                    <w14:schemeClr w14:val="tx1"/>
                  </w14:solidFill>
                </w14:textFill>
              </w:rPr>
              <w:t>良好</w:t>
            </w:r>
          </w:p>
        </w:tc>
        <w:tc>
          <w:tcPr>
            <w:tcW w:w="118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rPr>
                <w:rFonts w:ascii="宋体" w:hAnsi="宋体" w:cs="宋体"/>
                <w:color w:val="000000" w:themeColor="text1"/>
                <w:sz w:val="22"/>
                <w:szCs w:val="22"/>
                <w14:textFill>
                  <w14:solidFill>
                    <w14:schemeClr w14:val="tx1"/>
                  </w14:solidFill>
                </w14:textFill>
              </w:rPr>
            </w:pPr>
          </w:p>
        </w:tc>
        <w:tc>
          <w:tcPr>
            <w:tcW w:w="82" w:type="dxa"/>
            <w:tcMar>
              <w:top w:w="0" w:type="dxa"/>
              <w:left w:w="0" w:type="dxa"/>
              <w:right w:w="0" w:type="dxa"/>
            </w:tcMar>
          </w:tcPr>
          <w:p>
            <w:pPr>
              <w:pStyle w:val="6"/>
              <w:keepNext w:val="0"/>
              <w:keepLines w:val="0"/>
              <w:pageBreakBefore w:val="0"/>
              <w:widowControl w:val="0"/>
              <w:kinsoku/>
              <w:wordWrap/>
              <w:topLinePunct w:val="0"/>
              <w:autoSpaceDE/>
              <w:autoSpaceDN/>
              <w:bidi w:val="0"/>
              <w:spacing w:line="600" w:lineRule="exact"/>
              <w:rPr>
                <w:szCs w:val="20"/>
              </w:rPr>
            </w:pPr>
          </w:p>
        </w:tc>
      </w:tr>
      <w:tr>
        <w:tblPrEx>
          <w:tblCellMar>
            <w:top w:w="15" w:type="dxa"/>
            <w:left w:w="15" w:type="dxa"/>
            <w:bottom w:w="0" w:type="dxa"/>
            <w:right w:w="15" w:type="dxa"/>
          </w:tblCellMar>
        </w:tblPrEx>
        <w:trPr>
          <w:trHeight w:val="90" w:hRule="atLeast"/>
          <w:jc w:val="center"/>
        </w:trPr>
        <w:tc>
          <w:tcPr>
            <w:tcW w:w="121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10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2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可持续影响</w:t>
            </w:r>
            <w:r>
              <w:rPr>
                <w:rFonts w:ascii="宋体" w:hAnsi="宋体" w:cs="宋体"/>
                <w:color w:val="000000" w:themeColor="text1"/>
                <w:kern w:val="0"/>
                <w:sz w:val="20"/>
                <w:szCs w:val="20"/>
                <w14:textFill>
                  <w14:solidFill>
                    <w14:schemeClr w14:val="tx1"/>
                  </w14:solidFill>
                </w14:textFill>
              </w:rPr>
              <w:br w:type="textWrapping"/>
            </w:r>
            <w:r>
              <w:rPr>
                <w:rFonts w:ascii="宋体" w:hAnsi="宋体" w:cs="宋体"/>
                <w:color w:val="000000" w:themeColor="text1"/>
                <w:kern w:val="0"/>
                <w:sz w:val="20"/>
                <w:szCs w:val="20"/>
                <w14:textFill>
                  <w14:solidFill>
                    <w14:schemeClr w14:val="tx1"/>
                  </w14:solidFill>
                </w14:textFill>
              </w:rPr>
              <w:t>指标</w:t>
            </w:r>
          </w:p>
        </w:tc>
        <w:tc>
          <w:tcPr>
            <w:tcW w:w="28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left"/>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 xml:space="preserve"> 可持续性</w:t>
            </w: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rPr>
                <w:rFonts w:ascii="宋体" w:hAnsi="宋体" w:eastAsia="宋体" w:cs="宋体"/>
                <w:color w:val="000000" w:themeColor="text1"/>
                <w:sz w:val="20"/>
                <w:lang w:eastAsia="zh-CN"/>
                <w14:textFill>
                  <w14:solidFill>
                    <w14:schemeClr w14:val="tx1"/>
                  </w14:solidFill>
                </w14:textFill>
              </w:rPr>
            </w:pPr>
            <w:r>
              <w:rPr>
                <w:rFonts w:ascii="宋体" w:hAnsi="宋体" w:cs="宋体"/>
                <w:color w:val="000000" w:themeColor="text1"/>
                <w:sz w:val="20"/>
                <w:szCs w:val="20"/>
                <w:lang w:eastAsia="zh-CN"/>
                <w14:textFill>
                  <w14:solidFill>
                    <w14:schemeClr w14:val="tx1"/>
                  </w14:solidFill>
                </w14:textFill>
              </w:rPr>
              <w:t>可持续</w:t>
            </w:r>
          </w:p>
        </w:tc>
        <w:tc>
          <w:tcPr>
            <w:tcW w:w="118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rPr>
                <w:rFonts w:ascii="宋体" w:hAnsi="宋体" w:cs="宋体"/>
                <w:color w:val="000000" w:themeColor="text1"/>
                <w:sz w:val="22"/>
                <w:szCs w:val="22"/>
                <w14:textFill>
                  <w14:solidFill>
                    <w14:schemeClr w14:val="tx1"/>
                  </w14:solidFill>
                </w14:textFill>
              </w:rPr>
            </w:pPr>
          </w:p>
        </w:tc>
        <w:tc>
          <w:tcPr>
            <w:tcW w:w="82" w:type="dxa"/>
            <w:tcMar>
              <w:top w:w="0" w:type="dxa"/>
              <w:left w:w="0" w:type="dxa"/>
              <w:right w:w="0" w:type="dxa"/>
            </w:tcMar>
          </w:tcPr>
          <w:p>
            <w:pPr>
              <w:pStyle w:val="6"/>
              <w:keepNext w:val="0"/>
              <w:keepLines w:val="0"/>
              <w:pageBreakBefore w:val="0"/>
              <w:widowControl w:val="0"/>
              <w:kinsoku/>
              <w:wordWrap/>
              <w:topLinePunct w:val="0"/>
              <w:autoSpaceDE/>
              <w:autoSpaceDN/>
              <w:bidi w:val="0"/>
              <w:spacing w:line="600" w:lineRule="exact"/>
              <w:rPr>
                <w:szCs w:val="20"/>
              </w:rPr>
            </w:pPr>
          </w:p>
        </w:tc>
      </w:tr>
      <w:tr>
        <w:tblPrEx>
          <w:tblCellMar>
            <w:top w:w="15" w:type="dxa"/>
            <w:left w:w="15" w:type="dxa"/>
            <w:bottom w:w="0" w:type="dxa"/>
            <w:right w:w="15" w:type="dxa"/>
          </w:tblCellMar>
        </w:tblPrEx>
        <w:trPr>
          <w:trHeight w:val="90" w:hRule="atLeast"/>
          <w:jc w:val="center"/>
        </w:trPr>
        <w:tc>
          <w:tcPr>
            <w:tcW w:w="121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1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满意度指标</w:t>
            </w:r>
          </w:p>
        </w:tc>
        <w:tc>
          <w:tcPr>
            <w:tcW w:w="12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服务对象</w:t>
            </w:r>
            <w:r>
              <w:rPr>
                <w:rFonts w:ascii="宋体" w:hAnsi="宋体" w:cs="宋体"/>
                <w:color w:val="000000" w:themeColor="text1"/>
                <w:kern w:val="0"/>
                <w:sz w:val="20"/>
                <w:szCs w:val="20"/>
                <w14:textFill>
                  <w14:solidFill>
                    <w14:schemeClr w14:val="tx1"/>
                  </w14:solidFill>
                </w14:textFill>
              </w:rPr>
              <w:br w:type="textWrapping"/>
            </w:r>
            <w:r>
              <w:rPr>
                <w:rFonts w:ascii="宋体" w:hAnsi="宋体" w:cs="宋体"/>
                <w:color w:val="000000" w:themeColor="text1"/>
                <w:kern w:val="0"/>
                <w:sz w:val="20"/>
                <w:szCs w:val="20"/>
                <w14:textFill>
                  <w14:solidFill>
                    <w14:schemeClr w14:val="tx1"/>
                  </w14:solidFill>
                </w14:textFill>
              </w:rPr>
              <w:t>满意度指标</w:t>
            </w:r>
          </w:p>
        </w:tc>
        <w:tc>
          <w:tcPr>
            <w:tcW w:w="28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left"/>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 xml:space="preserve"> 农户的满意度</w:t>
            </w: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r>
              <w:rPr>
                <w:rFonts w:ascii="宋体" w:hAnsi="宋体" w:cs="宋体"/>
                <w:color w:val="000000" w:themeColor="text1"/>
                <w:sz w:val="20"/>
                <w:szCs w:val="20"/>
                <w14:textFill>
                  <w14:solidFill>
                    <w14:schemeClr w14:val="tx1"/>
                  </w14:solidFill>
                </w14:textFill>
              </w:rPr>
              <w:t>大于95%</w:t>
            </w:r>
          </w:p>
        </w:tc>
        <w:tc>
          <w:tcPr>
            <w:tcW w:w="118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rPr>
                <w:rFonts w:ascii="宋体" w:hAnsi="宋体" w:cs="宋体"/>
                <w:color w:val="000000" w:themeColor="text1"/>
                <w:sz w:val="22"/>
                <w:szCs w:val="22"/>
                <w14:textFill>
                  <w14:solidFill>
                    <w14:schemeClr w14:val="tx1"/>
                  </w14:solidFill>
                </w14:textFill>
              </w:rPr>
            </w:pPr>
          </w:p>
        </w:tc>
        <w:tc>
          <w:tcPr>
            <w:tcW w:w="82" w:type="dxa"/>
            <w:tcMar>
              <w:top w:w="0" w:type="dxa"/>
              <w:left w:w="0" w:type="dxa"/>
              <w:right w:w="0" w:type="dxa"/>
            </w:tcMar>
          </w:tcPr>
          <w:p>
            <w:pPr>
              <w:pStyle w:val="6"/>
              <w:keepNext w:val="0"/>
              <w:keepLines w:val="0"/>
              <w:pageBreakBefore w:val="0"/>
              <w:widowControl w:val="0"/>
              <w:kinsoku/>
              <w:wordWrap/>
              <w:topLinePunct w:val="0"/>
              <w:autoSpaceDE/>
              <w:autoSpaceDN/>
              <w:bidi w:val="0"/>
              <w:spacing w:line="600" w:lineRule="exact"/>
              <w:rPr>
                <w:szCs w:val="20"/>
              </w:rPr>
            </w:pPr>
          </w:p>
        </w:tc>
      </w:tr>
      <w:tr>
        <w:tblPrEx>
          <w:tblCellMar>
            <w:top w:w="15" w:type="dxa"/>
            <w:left w:w="15" w:type="dxa"/>
            <w:bottom w:w="0" w:type="dxa"/>
            <w:right w:w="15" w:type="dxa"/>
          </w:tblCellMar>
        </w:tblPrEx>
        <w:trPr>
          <w:trHeight w:val="777" w:hRule="atLeast"/>
          <w:jc w:val="center"/>
        </w:trPr>
        <w:tc>
          <w:tcPr>
            <w:tcW w:w="82" w:type="dxa"/>
            <w:tcMar>
              <w:top w:w="0" w:type="dxa"/>
              <w:left w:w="0" w:type="dxa"/>
              <w:right w:w="0" w:type="dxa"/>
            </w:tcMar>
          </w:tcPr>
          <w:p>
            <w:pPr>
              <w:pStyle w:val="6"/>
              <w:keepNext w:val="0"/>
              <w:keepLines w:val="0"/>
              <w:pageBreakBefore w:val="0"/>
              <w:widowControl w:val="0"/>
              <w:kinsoku/>
              <w:wordWrap/>
              <w:overflowPunct w:val="0"/>
              <w:topLinePunct w:val="0"/>
              <w:autoSpaceDE/>
              <w:autoSpaceDN/>
              <w:bidi w:val="0"/>
              <w:spacing w:line="600" w:lineRule="exact"/>
              <w:ind w:left="0" w:right="0" w:firstLine="0"/>
              <w:rPr>
                <w:rFonts w:ascii="宋体" w:hAnsi="宋体" w:eastAsia="黑体" w:cs="黑体"/>
                <w:b w:val="0"/>
                <w:bCs/>
                <w:color w:val="000000" w:themeColor="text1"/>
                <w:sz w:val="32"/>
                <w:szCs w:val="32"/>
                <w14:textFill>
                  <w14:solidFill>
                    <w14:schemeClr w14:val="tx1"/>
                  </w14:solidFill>
                </w14:textFill>
              </w:rPr>
            </w:pPr>
          </w:p>
        </w:tc>
        <w:tc>
          <w:tcPr>
            <w:tcW w:w="8499" w:type="dxa"/>
            <w:gridSpan w:val="12"/>
            <w:shd w:val="clear" w:color="auto" w:fill="auto"/>
            <w:vAlign w:val="center"/>
          </w:tcPr>
          <w:p>
            <w:pPr>
              <w:pStyle w:val="6"/>
              <w:keepNext w:val="0"/>
              <w:keepLines w:val="0"/>
              <w:pageBreakBefore w:val="0"/>
              <w:widowControl w:val="0"/>
              <w:kinsoku/>
              <w:wordWrap/>
              <w:overflowPunct w:val="0"/>
              <w:topLinePunct w:val="0"/>
              <w:autoSpaceDE/>
              <w:autoSpaceDN/>
              <w:bidi w:val="0"/>
              <w:spacing w:line="600" w:lineRule="exact"/>
              <w:ind w:left="0" w:right="0" w:firstLine="0"/>
              <w:jc w:val="center"/>
              <w:textAlignment w:val="center"/>
              <w:rPr>
                <w:rFonts w:ascii="宋体" w:hAnsi="宋体" w:cs="宋体"/>
                <w:b/>
                <w:color w:val="000000" w:themeColor="text1"/>
                <w:sz w:val="32"/>
                <w:szCs w:val="32"/>
                <w14:textFill>
                  <w14:solidFill>
                    <w14:schemeClr w14:val="tx1"/>
                  </w14:solidFill>
                </w14:textFill>
              </w:rPr>
            </w:pPr>
            <w:r>
              <w:rPr>
                <w:rFonts w:ascii="宋体" w:hAnsi="宋体" w:eastAsia="方正小标宋简体" w:cs="方正小标宋简体"/>
                <w:b w:val="0"/>
                <w:bCs/>
                <w:color w:val="000000" w:themeColor="text1"/>
                <w:kern w:val="0"/>
                <w:sz w:val="44"/>
                <w:szCs w:val="44"/>
                <w14:textFill>
                  <w14:solidFill>
                    <w14:schemeClr w14:val="tx1"/>
                  </w14:solidFill>
                </w14:textFill>
              </w:rPr>
              <w:t>项目支出绩效目标申报表</w:t>
            </w:r>
          </w:p>
        </w:tc>
      </w:tr>
      <w:tr>
        <w:tblPrEx>
          <w:tblCellMar>
            <w:top w:w="15" w:type="dxa"/>
            <w:left w:w="15" w:type="dxa"/>
            <w:bottom w:w="0" w:type="dxa"/>
            <w:right w:w="15" w:type="dxa"/>
          </w:tblCellMar>
        </w:tblPrEx>
        <w:trPr>
          <w:trHeight w:val="355" w:hRule="atLeast"/>
          <w:jc w:val="center"/>
        </w:trPr>
        <w:tc>
          <w:tcPr>
            <w:tcW w:w="82" w:type="dxa"/>
            <w:tcMar>
              <w:top w:w="0" w:type="dxa"/>
              <w:left w:w="0" w:type="dxa"/>
              <w:right w:w="0" w:type="dxa"/>
            </w:tcMa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4"/>
                <w:szCs w:val="24"/>
                <w14:textFill>
                  <w14:solidFill>
                    <w14:schemeClr w14:val="tx1"/>
                  </w14:solidFill>
                </w14:textFill>
              </w:rPr>
            </w:pPr>
          </w:p>
        </w:tc>
        <w:tc>
          <w:tcPr>
            <w:tcW w:w="8499" w:type="dxa"/>
            <w:gridSpan w:val="12"/>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 xml:space="preserve">（  </w:t>
            </w:r>
            <w:r>
              <w:rPr>
                <w:rFonts w:ascii="宋体" w:hAnsi="宋体" w:cs="宋体"/>
                <w:color w:val="000000" w:themeColor="text1"/>
                <w:kern w:val="0"/>
                <w:sz w:val="24"/>
                <w:szCs w:val="24"/>
                <w:lang w:val="en-US" w:eastAsia="zh-CN"/>
                <w14:textFill>
                  <w14:solidFill>
                    <w14:schemeClr w14:val="tx1"/>
                  </w14:solidFill>
                </w14:textFill>
              </w:rPr>
              <w:t xml:space="preserve">2021 </w:t>
            </w:r>
            <w:r>
              <w:rPr>
                <w:rFonts w:ascii="宋体" w:hAnsi="宋体" w:cs="宋体"/>
                <w:color w:val="000000" w:themeColor="text1"/>
                <w:kern w:val="0"/>
                <w:sz w:val="24"/>
                <w:szCs w:val="24"/>
                <w14:textFill>
                  <w14:solidFill>
                    <w14:schemeClr w14:val="tx1"/>
                  </w14:solidFill>
                </w14:textFill>
              </w:rPr>
              <w:t>年度）</w:t>
            </w:r>
          </w:p>
        </w:tc>
      </w:tr>
      <w:tr>
        <w:tblPrEx>
          <w:tblCellMar>
            <w:top w:w="15" w:type="dxa"/>
            <w:left w:w="15" w:type="dxa"/>
            <w:bottom w:w="0" w:type="dxa"/>
            <w:right w:w="15" w:type="dxa"/>
          </w:tblCellMar>
        </w:tblPrEx>
        <w:trPr>
          <w:trHeight w:val="90" w:hRule="atLeast"/>
          <w:jc w:val="center"/>
        </w:trPr>
        <w:tc>
          <w:tcPr>
            <w:tcW w:w="82" w:type="dxa"/>
            <w:tcMar>
              <w:top w:w="0" w:type="dxa"/>
              <w:left w:w="0" w:type="dxa"/>
              <w:right w:w="0" w:type="dxa"/>
            </w:tcMa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p>
        </w:tc>
        <w:tc>
          <w:tcPr>
            <w:tcW w:w="1218" w:type="dxa"/>
            <w:gridSpan w:val="2"/>
            <w:tcBorders>
              <w:top w:val="single" w:color="000000" w:sz="4" w:space="0"/>
              <w:left w:val="single" w:color="000000" w:sz="4" w:space="0"/>
              <w:bottom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项目名称</w:t>
            </w:r>
          </w:p>
        </w:tc>
        <w:tc>
          <w:tcPr>
            <w:tcW w:w="7281"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eastAsia="宋体" w:cs="宋体"/>
                <w:color w:val="000000" w:themeColor="text1"/>
                <w:sz w:val="20"/>
                <w:lang w:eastAsia="zh-CN"/>
                <w14:textFill>
                  <w14:solidFill>
                    <w14:schemeClr w14:val="tx1"/>
                  </w14:solidFill>
                </w14:textFill>
              </w:rPr>
            </w:pPr>
            <w:r>
              <w:rPr>
                <w:szCs w:val="20"/>
                <w:lang w:eastAsia="zh-CN"/>
              </w:rPr>
              <w:t>县域经济发展考核奖励</w:t>
            </w:r>
          </w:p>
        </w:tc>
      </w:tr>
      <w:tr>
        <w:tblPrEx>
          <w:tblCellMar>
            <w:top w:w="15" w:type="dxa"/>
            <w:left w:w="15" w:type="dxa"/>
            <w:bottom w:w="0" w:type="dxa"/>
            <w:right w:w="15" w:type="dxa"/>
          </w:tblCellMar>
        </w:tblPrEx>
        <w:trPr>
          <w:trHeight w:val="115" w:hRule="atLeast"/>
          <w:jc w:val="center"/>
        </w:trPr>
        <w:tc>
          <w:tcPr>
            <w:tcW w:w="82" w:type="dxa"/>
            <w:tcMar>
              <w:top w:w="0" w:type="dxa"/>
              <w:left w:w="0" w:type="dxa"/>
              <w:right w:w="0" w:type="dxa"/>
            </w:tcMa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p>
        </w:tc>
        <w:tc>
          <w:tcPr>
            <w:tcW w:w="1218" w:type="dxa"/>
            <w:gridSpan w:val="2"/>
            <w:tcBorders>
              <w:top w:val="single" w:color="000000" w:sz="4" w:space="0"/>
              <w:left w:val="single" w:color="000000" w:sz="4" w:space="0"/>
              <w:bottom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主管部门及代码</w:t>
            </w:r>
          </w:p>
        </w:tc>
        <w:tc>
          <w:tcPr>
            <w:tcW w:w="231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r>
              <w:rPr>
                <w:szCs w:val="20"/>
              </w:rPr>
              <w:t>[112001]兴国县金融工作局</w:t>
            </w:r>
          </w:p>
        </w:tc>
        <w:tc>
          <w:tcPr>
            <w:tcW w:w="28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实施单位</w:t>
            </w:r>
          </w:p>
        </w:tc>
        <w:tc>
          <w:tcPr>
            <w:tcW w:w="213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r>
              <w:rPr>
                <w:szCs w:val="20"/>
              </w:rPr>
              <w:t>兴国县金融工作局</w:t>
            </w:r>
          </w:p>
        </w:tc>
      </w:tr>
      <w:tr>
        <w:tblPrEx>
          <w:tblCellMar>
            <w:top w:w="15" w:type="dxa"/>
            <w:left w:w="15" w:type="dxa"/>
            <w:bottom w:w="0" w:type="dxa"/>
            <w:right w:w="15" w:type="dxa"/>
          </w:tblCellMar>
        </w:tblPrEx>
        <w:trPr>
          <w:trHeight w:val="90" w:hRule="atLeast"/>
          <w:jc w:val="center"/>
        </w:trPr>
        <w:tc>
          <w:tcPr>
            <w:tcW w:w="82" w:type="dxa"/>
            <w:tcMar>
              <w:top w:w="0" w:type="dxa"/>
              <w:left w:w="0" w:type="dxa"/>
              <w:right w:w="0" w:type="dxa"/>
            </w:tcMa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p>
        </w:tc>
        <w:tc>
          <w:tcPr>
            <w:tcW w:w="1218" w:type="dxa"/>
            <w:gridSpan w:val="2"/>
            <w:tcBorders>
              <w:top w:val="single" w:color="000000" w:sz="4" w:space="0"/>
              <w:left w:val="single" w:color="000000" w:sz="4" w:space="0"/>
              <w:bottom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项目属性</w:t>
            </w:r>
          </w:p>
        </w:tc>
        <w:tc>
          <w:tcPr>
            <w:tcW w:w="231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r>
              <w:rPr>
                <w:szCs w:val="20"/>
              </w:rPr>
              <w:t>一次性项目</w:t>
            </w:r>
          </w:p>
        </w:tc>
        <w:tc>
          <w:tcPr>
            <w:tcW w:w="28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项目期</w:t>
            </w:r>
          </w:p>
        </w:tc>
        <w:tc>
          <w:tcPr>
            <w:tcW w:w="213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eastAsia="宋体" w:cs="宋体"/>
                <w:color w:val="000000" w:themeColor="text1"/>
                <w:sz w:val="20"/>
                <w:lang w:val="en-US" w:eastAsia="zh-CN"/>
                <w14:textFill>
                  <w14:solidFill>
                    <w14:schemeClr w14:val="tx1"/>
                  </w14:solidFill>
                </w14:textFill>
              </w:rPr>
            </w:pPr>
            <w:r>
              <w:rPr>
                <w:rFonts w:ascii="宋体" w:hAnsi="宋体" w:cs="宋体"/>
                <w:color w:val="000000" w:themeColor="text1"/>
                <w:sz w:val="20"/>
                <w:szCs w:val="20"/>
                <w:lang w:val="en-US" w:eastAsia="zh-CN"/>
                <w14:textFill>
                  <w14:solidFill>
                    <w14:schemeClr w14:val="tx1"/>
                  </w14:solidFill>
                </w14:textFill>
              </w:rPr>
              <w:t>2021</w:t>
            </w:r>
          </w:p>
        </w:tc>
      </w:tr>
      <w:tr>
        <w:tblPrEx>
          <w:tblCellMar>
            <w:top w:w="15" w:type="dxa"/>
            <w:left w:w="15" w:type="dxa"/>
            <w:bottom w:w="0" w:type="dxa"/>
            <w:right w:w="15" w:type="dxa"/>
          </w:tblCellMar>
        </w:tblPrEx>
        <w:trPr>
          <w:trHeight w:val="90" w:hRule="atLeast"/>
          <w:jc w:val="center"/>
        </w:trPr>
        <w:tc>
          <w:tcPr>
            <w:tcW w:w="82" w:type="dxa"/>
            <w:tcMar>
              <w:top w:w="0" w:type="dxa"/>
              <w:left w:w="0" w:type="dxa"/>
              <w:right w:w="0" w:type="dxa"/>
            </w:tcMa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p>
        </w:tc>
        <w:tc>
          <w:tcPr>
            <w:tcW w:w="1218" w:type="dxa"/>
            <w:gridSpan w:val="2"/>
            <w:vMerge w:val="restart"/>
            <w:tcBorders>
              <w:top w:val="single" w:color="000000" w:sz="4" w:space="0"/>
              <w:left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项目资金</w:t>
            </w:r>
            <w:r>
              <w:rPr>
                <w:rFonts w:ascii="宋体" w:hAnsi="宋体" w:cs="宋体"/>
                <w:color w:val="000000" w:themeColor="text1"/>
                <w:kern w:val="0"/>
                <w:sz w:val="20"/>
                <w:szCs w:val="20"/>
                <w14:textFill>
                  <w14:solidFill>
                    <w14:schemeClr w14:val="tx1"/>
                  </w14:solidFill>
                </w14:textFill>
              </w:rPr>
              <w:br w:type="textWrapping"/>
            </w:r>
            <w:r>
              <w:rPr>
                <w:rFonts w:ascii="宋体" w:hAnsi="宋体" w:cs="宋体"/>
                <w:color w:val="000000" w:themeColor="text1"/>
                <w:kern w:val="0"/>
                <w:sz w:val="20"/>
                <w:szCs w:val="20"/>
                <w14:textFill>
                  <w14:solidFill>
                    <w14:schemeClr w14:val="tx1"/>
                  </w14:solidFill>
                </w14:textFill>
              </w:rPr>
              <w:t>（万元）</w:t>
            </w:r>
          </w:p>
        </w:tc>
        <w:tc>
          <w:tcPr>
            <w:tcW w:w="231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 xml:space="preserve"> 年度资金总额：</w:t>
            </w:r>
          </w:p>
        </w:tc>
        <w:tc>
          <w:tcPr>
            <w:tcW w:w="4967"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eastAsia="宋体" w:cs="宋体"/>
                <w:color w:val="000000" w:themeColor="text1"/>
                <w:sz w:val="20"/>
                <w:lang w:val="en-US" w:eastAsia="zh-CN"/>
                <w14:textFill>
                  <w14:solidFill>
                    <w14:schemeClr w14:val="tx1"/>
                  </w14:solidFill>
                </w14:textFill>
              </w:rPr>
            </w:pPr>
            <w:r>
              <w:rPr>
                <w:rFonts w:ascii="宋体" w:hAnsi="宋体" w:cs="宋体"/>
                <w:color w:val="000000" w:themeColor="text1"/>
                <w:sz w:val="20"/>
                <w:szCs w:val="20"/>
                <w:lang w:val="en-US" w:eastAsia="zh-CN"/>
                <w14:textFill>
                  <w14:solidFill>
                    <w14:schemeClr w14:val="tx1"/>
                  </w14:solidFill>
                </w14:textFill>
              </w:rPr>
              <w:t>200</w:t>
            </w:r>
          </w:p>
        </w:tc>
      </w:tr>
      <w:tr>
        <w:tblPrEx>
          <w:tblCellMar>
            <w:top w:w="15" w:type="dxa"/>
            <w:left w:w="15" w:type="dxa"/>
            <w:bottom w:w="0" w:type="dxa"/>
            <w:right w:w="15" w:type="dxa"/>
          </w:tblCellMar>
        </w:tblPrEx>
        <w:trPr>
          <w:trHeight w:val="90" w:hRule="atLeast"/>
          <w:jc w:val="center"/>
        </w:trPr>
        <w:tc>
          <w:tcPr>
            <w:tcW w:w="82" w:type="dxa"/>
            <w:tcMar>
              <w:top w:w="0" w:type="dxa"/>
              <w:left w:w="0" w:type="dxa"/>
              <w:right w:w="0" w:type="dxa"/>
            </w:tcMa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218" w:type="dxa"/>
            <w:gridSpan w:val="2"/>
            <w:vMerge w:val="continue"/>
            <w:tcBorders>
              <w:top w:val="single" w:color="000000" w:sz="4" w:space="0"/>
              <w:left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231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 xml:space="preserve">  其中：财政拨款</w:t>
            </w:r>
          </w:p>
        </w:tc>
        <w:tc>
          <w:tcPr>
            <w:tcW w:w="4967"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eastAsia="宋体" w:cs="宋体"/>
                <w:color w:val="000000" w:themeColor="text1"/>
                <w:sz w:val="20"/>
                <w:lang w:val="en-US" w:eastAsia="zh-CN"/>
                <w14:textFill>
                  <w14:solidFill>
                    <w14:schemeClr w14:val="tx1"/>
                  </w14:solidFill>
                </w14:textFill>
              </w:rPr>
            </w:pPr>
            <w:r>
              <w:rPr>
                <w:rFonts w:ascii="宋体" w:hAnsi="宋体" w:cs="宋体"/>
                <w:color w:val="000000" w:themeColor="text1"/>
                <w:sz w:val="20"/>
                <w:szCs w:val="20"/>
                <w:lang w:val="en-US" w:eastAsia="zh-CN"/>
                <w14:textFill>
                  <w14:solidFill>
                    <w14:schemeClr w14:val="tx1"/>
                  </w14:solidFill>
                </w14:textFill>
              </w:rPr>
              <w:t>200</w:t>
            </w:r>
          </w:p>
        </w:tc>
      </w:tr>
      <w:tr>
        <w:tblPrEx>
          <w:tblCellMar>
            <w:top w:w="15" w:type="dxa"/>
            <w:left w:w="15" w:type="dxa"/>
            <w:bottom w:w="0" w:type="dxa"/>
            <w:right w:w="15" w:type="dxa"/>
          </w:tblCellMar>
        </w:tblPrEx>
        <w:trPr>
          <w:trHeight w:val="90" w:hRule="atLeast"/>
          <w:jc w:val="center"/>
        </w:trPr>
        <w:tc>
          <w:tcPr>
            <w:tcW w:w="82" w:type="dxa"/>
            <w:tcMar>
              <w:top w:w="0" w:type="dxa"/>
              <w:left w:w="0" w:type="dxa"/>
              <w:right w:w="0" w:type="dxa"/>
            </w:tcMa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218" w:type="dxa"/>
            <w:gridSpan w:val="2"/>
            <w:vMerge w:val="continue"/>
            <w:tcBorders>
              <w:top w:val="single" w:color="000000" w:sz="4" w:space="0"/>
              <w:left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231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 xml:space="preserve">        其他资金</w:t>
            </w:r>
          </w:p>
        </w:tc>
        <w:tc>
          <w:tcPr>
            <w:tcW w:w="4967"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r>
      <w:tr>
        <w:tblPrEx>
          <w:tblCellMar>
            <w:top w:w="15" w:type="dxa"/>
            <w:left w:w="15" w:type="dxa"/>
            <w:bottom w:w="0" w:type="dxa"/>
            <w:right w:w="15" w:type="dxa"/>
          </w:tblCellMar>
        </w:tblPrEx>
        <w:trPr>
          <w:trHeight w:val="322" w:hRule="atLeast"/>
          <w:jc w:val="center"/>
        </w:trPr>
        <w:tc>
          <w:tcPr>
            <w:tcW w:w="82" w:type="dxa"/>
            <w:tcMar>
              <w:top w:w="0" w:type="dxa"/>
              <w:left w:w="0" w:type="dxa"/>
              <w:right w:w="0" w:type="dxa"/>
            </w:tcMa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p>
        </w:tc>
        <w:tc>
          <w:tcPr>
            <w:tcW w:w="12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总体目标</w:t>
            </w:r>
          </w:p>
        </w:tc>
        <w:tc>
          <w:tcPr>
            <w:tcW w:w="7281" w:type="dxa"/>
            <w:gridSpan w:val="10"/>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eastAsia="宋体" w:cs="宋体"/>
                <w:color w:val="000000" w:themeColor="text1"/>
                <w:sz w:val="20"/>
                <w:lang w:eastAsia="zh-CN"/>
                <w14:textFill>
                  <w14:solidFill>
                    <w14:schemeClr w14:val="tx1"/>
                  </w14:solidFill>
                </w14:textFill>
              </w:rPr>
            </w:pPr>
            <w:r>
              <w:rPr>
                <w:szCs w:val="22"/>
                <w:lang w:eastAsia="zh-CN"/>
              </w:rPr>
              <w:t>完成2021年存贷款任务</w:t>
            </w:r>
          </w:p>
        </w:tc>
      </w:tr>
      <w:tr>
        <w:tblPrEx>
          <w:tblCellMar>
            <w:top w:w="15" w:type="dxa"/>
            <w:left w:w="15" w:type="dxa"/>
            <w:bottom w:w="0" w:type="dxa"/>
            <w:right w:w="15" w:type="dxa"/>
          </w:tblCellMar>
        </w:tblPrEx>
        <w:trPr>
          <w:trHeight w:val="312" w:hRule="atLeast"/>
          <w:jc w:val="center"/>
        </w:trPr>
        <w:tc>
          <w:tcPr>
            <w:tcW w:w="82" w:type="dxa"/>
            <w:tcMar>
              <w:top w:w="0" w:type="dxa"/>
              <w:left w:w="0" w:type="dxa"/>
              <w:right w:w="0" w:type="dxa"/>
            </w:tcMa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2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7281" w:type="dxa"/>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r>
      <w:tr>
        <w:tblPrEx>
          <w:tblCellMar>
            <w:top w:w="15" w:type="dxa"/>
            <w:left w:w="15" w:type="dxa"/>
            <w:bottom w:w="0" w:type="dxa"/>
            <w:right w:w="15" w:type="dxa"/>
          </w:tblCellMar>
        </w:tblPrEx>
        <w:trPr>
          <w:trHeight w:val="115" w:hRule="atLeast"/>
          <w:jc w:val="center"/>
        </w:trPr>
        <w:tc>
          <w:tcPr>
            <w:tcW w:w="82" w:type="dxa"/>
            <w:tcMar>
              <w:top w:w="0" w:type="dxa"/>
              <w:left w:w="0" w:type="dxa"/>
              <w:right w:w="0" w:type="dxa"/>
            </w:tcMa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kern w:val="0"/>
                <w:sz w:val="20"/>
                <w14:textFill>
                  <w14:solidFill>
                    <w14:schemeClr w14:val="tx1"/>
                  </w14:solidFill>
                </w14:textFill>
              </w:rPr>
            </w:pPr>
          </w:p>
        </w:tc>
        <w:tc>
          <w:tcPr>
            <w:tcW w:w="12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kern w:val="0"/>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绩效</w:t>
            </w:r>
          </w:p>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kern w:val="0"/>
                <w:sz w:val="20"/>
                <w14:textFill>
                  <w14:solidFill>
                    <w14:schemeClr w14:val="tx1"/>
                  </w14:solidFill>
                </w14:textFill>
              </w:rPr>
            </w:pPr>
            <w:r>
              <w:rPr>
                <w:rFonts w:ascii="宋体" w:hAnsi="宋体" w:cs="宋体"/>
                <w:color w:val="000000" w:themeColor="text1"/>
                <w:kern w:val="0"/>
                <w:sz w:val="20"/>
                <w14:textFill>
                  <w14:solidFill>
                    <w14:schemeClr w14:val="tx1"/>
                  </w14:solidFill>
                </w14:textFill>
              </w:rPr>
              <w:t>指标</w:t>
            </w:r>
          </w:p>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kern w:val="0"/>
                <w:sz w:val="20"/>
                <w14:textFill>
                  <w14:solidFill>
                    <w14:schemeClr w14:val="tx1"/>
                  </w14:solidFill>
                </w14:textFill>
              </w:rPr>
            </w:pPr>
          </w:p>
        </w:tc>
        <w:tc>
          <w:tcPr>
            <w:tcW w:w="11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一级</w:t>
            </w:r>
            <w:r>
              <w:rPr>
                <w:rFonts w:ascii="宋体" w:hAnsi="宋体" w:cs="宋体"/>
                <w:color w:val="000000" w:themeColor="text1"/>
                <w:kern w:val="0"/>
                <w:sz w:val="20"/>
                <w:szCs w:val="20"/>
                <w14:textFill>
                  <w14:solidFill>
                    <w14:schemeClr w14:val="tx1"/>
                  </w14:solidFill>
                </w14:textFill>
              </w:rPr>
              <w:br w:type="textWrapping"/>
            </w:r>
            <w:r>
              <w:rPr>
                <w:rFonts w:ascii="宋体" w:hAnsi="宋体" w:cs="宋体"/>
                <w:color w:val="000000" w:themeColor="text1"/>
                <w:kern w:val="0"/>
                <w:sz w:val="20"/>
                <w:szCs w:val="20"/>
                <w14:textFill>
                  <w14:solidFill>
                    <w14:schemeClr w14:val="tx1"/>
                  </w14:solidFill>
                </w14:textFill>
              </w:rPr>
              <w:t>指标</w:t>
            </w:r>
          </w:p>
        </w:tc>
        <w:tc>
          <w:tcPr>
            <w:tcW w:w="12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二级指标</w:t>
            </w:r>
          </w:p>
        </w:tc>
        <w:tc>
          <w:tcPr>
            <w:tcW w:w="28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三级指标</w:t>
            </w:r>
          </w:p>
        </w:tc>
        <w:tc>
          <w:tcPr>
            <w:tcW w:w="9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指标值</w:t>
            </w:r>
          </w:p>
        </w:tc>
        <w:tc>
          <w:tcPr>
            <w:tcW w:w="11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备注</w:t>
            </w:r>
          </w:p>
        </w:tc>
      </w:tr>
      <w:tr>
        <w:tblPrEx>
          <w:tblCellMar>
            <w:top w:w="15" w:type="dxa"/>
            <w:left w:w="15" w:type="dxa"/>
            <w:bottom w:w="0" w:type="dxa"/>
            <w:right w:w="15" w:type="dxa"/>
          </w:tblCellMar>
        </w:tblPrEx>
        <w:trPr>
          <w:trHeight w:val="90" w:hRule="atLeast"/>
          <w:jc w:val="center"/>
        </w:trPr>
        <w:tc>
          <w:tcPr>
            <w:tcW w:w="82" w:type="dxa"/>
            <w:tcMar>
              <w:top w:w="0" w:type="dxa"/>
              <w:left w:w="0" w:type="dxa"/>
              <w:right w:w="0" w:type="dxa"/>
            </w:tcMa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2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10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产出指标</w:t>
            </w:r>
          </w:p>
        </w:tc>
        <w:tc>
          <w:tcPr>
            <w:tcW w:w="120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数量指标</w:t>
            </w:r>
          </w:p>
        </w:tc>
        <w:tc>
          <w:tcPr>
            <w:tcW w:w="28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left"/>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 xml:space="preserve"> 存贷比</w:t>
            </w:r>
          </w:p>
        </w:tc>
        <w:tc>
          <w:tcPr>
            <w:tcW w:w="9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rPr>
                <w:rFonts w:ascii="宋体" w:hAnsi="宋体" w:cs="宋体"/>
                <w:color w:val="000000" w:themeColor="text1"/>
                <w:sz w:val="20"/>
                <w14:textFill>
                  <w14:solidFill>
                    <w14:schemeClr w14:val="tx1"/>
                  </w14:solidFill>
                </w14:textFill>
              </w:rPr>
            </w:pPr>
            <w:r>
              <w:rPr>
                <w:rFonts w:ascii="宋体" w:hAnsi="宋体" w:cs="宋体"/>
                <w:color w:val="000000" w:themeColor="text1"/>
                <w:sz w:val="20"/>
                <w:szCs w:val="20"/>
                <w14:textFill>
                  <w14:solidFill>
                    <w14:schemeClr w14:val="tx1"/>
                  </w14:solidFill>
                </w14:textFill>
              </w:rPr>
              <w:t>存贷比高于上年同期</w:t>
            </w:r>
          </w:p>
        </w:tc>
        <w:tc>
          <w:tcPr>
            <w:tcW w:w="118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rPr>
                <w:rFonts w:ascii="宋体" w:hAnsi="宋体" w:cs="宋体"/>
                <w:color w:val="000000" w:themeColor="text1"/>
                <w:sz w:val="22"/>
                <w:szCs w:val="22"/>
                <w14:textFill>
                  <w14:solidFill>
                    <w14:schemeClr w14:val="tx1"/>
                  </w14:solidFill>
                </w14:textFill>
              </w:rPr>
            </w:pPr>
          </w:p>
        </w:tc>
      </w:tr>
      <w:tr>
        <w:tblPrEx>
          <w:tblCellMar>
            <w:top w:w="15" w:type="dxa"/>
            <w:left w:w="15" w:type="dxa"/>
            <w:bottom w:w="0" w:type="dxa"/>
            <w:right w:w="15" w:type="dxa"/>
          </w:tblCellMar>
        </w:tblPrEx>
        <w:trPr>
          <w:trHeight w:val="90" w:hRule="atLeast"/>
          <w:jc w:val="center"/>
        </w:trPr>
        <w:tc>
          <w:tcPr>
            <w:tcW w:w="82" w:type="dxa"/>
            <w:tcMar>
              <w:top w:w="0" w:type="dxa"/>
              <w:left w:w="0" w:type="dxa"/>
              <w:right w:w="0" w:type="dxa"/>
            </w:tcMa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2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10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20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28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left"/>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lang w:eastAsia="zh-CN"/>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六个信贷通</w:t>
            </w:r>
            <w:r>
              <w:rPr>
                <w:rFonts w:ascii="宋体" w:hAnsi="宋体" w:cs="宋体"/>
                <w:color w:val="000000" w:themeColor="text1"/>
                <w:kern w:val="0"/>
                <w:sz w:val="20"/>
                <w:szCs w:val="20"/>
                <w:lang w:eastAsia="zh-CN"/>
                <w14:textFill>
                  <w14:solidFill>
                    <w14:schemeClr w14:val="tx1"/>
                  </w14:solidFill>
                </w14:textFill>
              </w:rPr>
              <w:t>”</w:t>
            </w:r>
          </w:p>
        </w:tc>
        <w:tc>
          <w:tcPr>
            <w:tcW w:w="9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rPr>
                <w:rFonts w:ascii="宋体" w:hAnsi="宋体" w:cs="宋体"/>
                <w:color w:val="000000" w:themeColor="text1"/>
                <w:sz w:val="20"/>
                <w14:textFill>
                  <w14:solidFill>
                    <w14:schemeClr w14:val="tx1"/>
                  </w14:solidFill>
                </w14:textFill>
              </w:rPr>
            </w:pPr>
            <w:r>
              <w:rPr>
                <w:rFonts w:ascii="宋体" w:hAnsi="宋体" w:cs="宋体"/>
                <w:color w:val="000000" w:themeColor="text1"/>
                <w:sz w:val="20"/>
                <w:szCs w:val="20"/>
                <w14:textFill>
                  <w14:solidFill>
                    <w14:schemeClr w14:val="tx1"/>
                  </w14:solidFill>
                </w14:textFill>
              </w:rPr>
              <w:t>完成本年目标</w:t>
            </w:r>
          </w:p>
        </w:tc>
        <w:tc>
          <w:tcPr>
            <w:tcW w:w="118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rPr>
                <w:rFonts w:ascii="宋体" w:hAnsi="宋体" w:cs="宋体"/>
                <w:color w:val="000000" w:themeColor="text1"/>
                <w:sz w:val="22"/>
                <w:szCs w:val="22"/>
                <w14:textFill>
                  <w14:solidFill>
                    <w14:schemeClr w14:val="tx1"/>
                  </w14:solidFill>
                </w14:textFill>
              </w:rPr>
            </w:pPr>
          </w:p>
        </w:tc>
      </w:tr>
      <w:tr>
        <w:tblPrEx>
          <w:tblCellMar>
            <w:top w:w="15" w:type="dxa"/>
            <w:left w:w="15" w:type="dxa"/>
            <w:bottom w:w="0" w:type="dxa"/>
            <w:right w:w="15" w:type="dxa"/>
          </w:tblCellMar>
        </w:tblPrEx>
        <w:trPr>
          <w:trHeight w:val="90" w:hRule="atLeast"/>
          <w:jc w:val="center"/>
        </w:trPr>
        <w:tc>
          <w:tcPr>
            <w:tcW w:w="82" w:type="dxa"/>
            <w:tcMar>
              <w:top w:w="0" w:type="dxa"/>
              <w:left w:w="0" w:type="dxa"/>
              <w:right w:w="0" w:type="dxa"/>
            </w:tcMa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2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10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20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质量指标</w:t>
            </w:r>
          </w:p>
        </w:tc>
        <w:tc>
          <w:tcPr>
            <w:tcW w:w="28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left"/>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存贷比</w:t>
            </w:r>
          </w:p>
        </w:tc>
        <w:tc>
          <w:tcPr>
            <w:tcW w:w="9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right"/>
              <w:rPr>
                <w:rFonts w:ascii="宋体" w:hAnsi="宋体" w:cs="宋体"/>
                <w:color w:val="000000" w:themeColor="text1"/>
                <w:sz w:val="20"/>
                <w14:textFill>
                  <w14:solidFill>
                    <w14:schemeClr w14:val="tx1"/>
                  </w14:solidFill>
                </w14:textFill>
              </w:rPr>
            </w:pPr>
            <w:r>
              <w:rPr>
                <w:rFonts w:ascii="宋体" w:hAnsi="宋体" w:cs="宋体"/>
                <w:color w:val="000000" w:themeColor="text1"/>
                <w:sz w:val="20"/>
                <w:szCs w:val="20"/>
                <w14:textFill>
                  <w14:solidFill>
                    <w14:schemeClr w14:val="tx1"/>
                  </w14:solidFill>
                </w14:textFill>
              </w:rPr>
              <w:t>存贷比高于上年同期</w:t>
            </w:r>
          </w:p>
        </w:tc>
        <w:tc>
          <w:tcPr>
            <w:tcW w:w="118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rPr>
                <w:rFonts w:ascii="宋体" w:hAnsi="宋体" w:cs="宋体"/>
                <w:color w:val="000000" w:themeColor="text1"/>
                <w:sz w:val="22"/>
                <w:szCs w:val="22"/>
                <w14:textFill>
                  <w14:solidFill>
                    <w14:schemeClr w14:val="tx1"/>
                  </w14:solidFill>
                </w14:textFill>
              </w:rPr>
            </w:pPr>
          </w:p>
        </w:tc>
      </w:tr>
      <w:tr>
        <w:tblPrEx>
          <w:tblCellMar>
            <w:top w:w="15" w:type="dxa"/>
            <w:left w:w="15" w:type="dxa"/>
            <w:bottom w:w="0" w:type="dxa"/>
            <w:right w:w="15" w:type="dxa"/>
          </w:tblCellMar>
        </w:tblPrEx>
        <w:trPr>
          <w:trHeight w:val="90" w:hRule="atLeast"/>
          <w:jc w:val="center"/>
        </w:trPr>
        <w:tc>
          <w:tcPr>
            <w:tcW w:w="82" w:type="dxa"/>
            <w:tcMar>
              <w:top w:w="0" w:type="dxa"/>
              <w:left w:w="0" w:type="dxa"/>
              <w:right w:w="0" w:type="dxa"/>
            </w:tcMa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2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10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20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28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left"/>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lang w:eastAsia="zh-CN"/>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六个信贷通</w:t>
            </w:r>
            <w:r>
              <w:rPr>
                <w:rFonts w:ascii="宋体" w:hAnsi="宋体" w:cs="宋体"/>
                <w:color w:val="000000" w:themeColor="text1"/>
                <w:kern w:val="0"/>
                <w:sz w:val="20"/>
                <w:szCs w:val="20"/>
                <w:lang w:eastAsia="zh-CN"/>
                <w14:textFill>
                  <w14:solidFill>
                    <w14:schemeClr w14:val="tx1"/>
                  </w14:solidFill>
                </w14:textFill>
              </w:rPr>
              <w:t>”</w:t>
            </w:r>
          </w:p>
        </w:tc>
        <w:tc>
          <w:tcPr>
            <w:tcW w:w="9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right"/>
              <w:rPr>
                <w:rFonts w:ascii="宋体" w:hAnsi="宋体" w:cs="宋体"/>
                <w:color w:val="000000" w:themeColor="text1"/>
                <w:sz w:val="20"/>
                <w14:textFill>
                  <w14:solidFill>
                    <w14:schemeClr w14:val="tx1"/>
                  </w14:solidFill>
                </w14:textFill>
              </w:rPr>
            </w:pPr>
            <w:r>
              <w:rPr>
                <w:rFonts w:ascii="宋体" w:hAnsi="宋体" w:cs="宋体"/>
                <w:color w:val="000000" w:themeColor="text1"/>
                <w:sz w:val="20"/>
                <w:szCs w:val="20"/>
                <w14:textFill>
                  <w14:solidFill>
                    <w14:schemeClr w14:val="tx1"/>
                  </w14:solidFill>
                </w14:textFill>
              </w:rPr>
              <w:t>完成本年目标</w:t>
            </w:r>
          </w:p>
        </w:tc>
        <w:tc>
          <w:tcPr>
            <w:tcW w:w="118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rPr>
                <w:rFonts w:ascii="宋体" w:hAnsi="宋体" w:cs="宋体"/>
                <w:color w:val="000000" w:themeColor="text1"/>
                <w:sz w:val="22"/>
                <w:szCs w:val="22"/>
                <w14:textFill>
                  <w14:solidFill>
                    <w14:schemeClr w14:val="tx1"/>
                  </w14:solidFill>
                </w14:textFill>
              </w:rPr>
            </w:pPr>
          </w:p>
        </w:tc>
      </w:tr>
      <w:tr>
        <w:tblPrEx>
          <w:tblCellMar>
            <w:top w:w="15" w:type="dxa"/>
            <w:left w:w="15" w:type="dxa"/>
            <w:bottom w:w="0" w:type="dxa"/>
            <w:right w:w="15" w:type="dxa"/>
          </w:tblCellMar>
        </w:tblPrEx>
        <w:trPr>
          <w:trHeight w:val="90" w:hRule="atLeast"/>
          <w:jc w:val="center"/>
        </w:trPr>
        <w:tc>
          <w:tcPr>
            <w:tcW w:w="82" w:type="dxa"/>
            <w:tcMar>
              <w:top w:w="0" w:type="dxa"/>
              <w:left w:w="0" w:type="dxa"/>
              <w:right w:w="0" w:type="dxa"/>
            </w:tcMa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2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10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2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时效指标</w:t>
            </w:r>
          </w:p>
        </w:tc>
        <w:tc>
          <w:tcPr>
            <w:tcW w:w="28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left"/>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 xml:space="preserve"> 年度</w:t>
            </w:r>
          </w:p>
        </w:tc>
        <w:tc>
          <w:tcPr>
            <w:tcW w:w="9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rPr>
                <w:rFonts w:ascii="宋体" w:hAnsi="宋体" w:eastAsia="宋体" w:cs="宋体"/>
                <w:color w:val="000000" w:themeColor="text1"/>
                <w:sz w:val="20"/>
                <w:lang w:val="en-US" w:eastAsia="zh-CN"/>
                <w14:textFill>
                  <w14:solidFill>
                    <w14:schemeClr w14:val="tx1"/>
                  </w14:solidFill>
                </w14:textFill>
              </w:rPr>
            </w:pPr>
            <w:r>
              <w:rPr>
                <w:rFonts w:ascii="宋体" w:hAnsi="宋体" w:cs="宋体"/>
                <w:color w:val="000000" w:themeColor="text1"/>
                <w:sz w:val="20"/>
                <w:szCs w:val="20"/>
                <w:lang w:val="en-US" w:eastAsia="zh-CN"/>
                <w14:textFill>
                  <w14:solidFill>
                    <w14:schemeClr w14:val="tx1"/>
                  </w14:solidFill>
                </w14:textFill>
              </w:rPr>
              <w:t>1年</w:t>
            </w:r>
          </w:p>
        </w:tc>
        <w:tc>
          <w:tcPr>
            <w:tcW w:w="118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rPr>
                <w:rFonts w:ascii="宋体" w:hAnsi="宋体" w:cs="宋体"/>
                <w:color w:val="000000" w:themeColor="text1"/>
                <w:sz w:val="22"/>
                <w:szCs w:val="22"/>
                <w14:textFill>
                  <w14:solidFill>
                    <w14:schemeClr w14:val="tx1"/>
                  </w14:solidFill>
                </w14:textFill>
              </w:rPr>
            </w:pPr>
          </w:p>
        </w:tc>
      </w:tr>
      <w:tr>
        <w:tblPrEx>
          <w:tblCellMar>
            <w:top w:w="15" w:type="dxa"/>
            <w:left w:w="15" w:type="dxa"/>
            <w:bottom w:w="0" w:type="dxa"/>
            <w:right w:w="15" w:type="dxa"/>
          </w:tblCellMar>
        </w:tblPrEx>
        <w:trPr>
          <w:trHeight w:val="90" w:hRule="atLeast"/>
          <w:jc w:val="center"/>
        </w:trPr>
        <w:tc>
          <w:tcPr>
            <w:tcW w:w="82" w:type="dxa"/>
            <w:tcMar>
              <w:top w:w="0" w:type="dxa"/>
              <w:left w:w="0" w:type="dxa"/>
              <w:right w:w="0" w:type="dxa"/>
            </w:tcMa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2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10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2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成本指标</w:t>
            </w:r>
          </w:p>
        </w:tc>
        <w:tc>
          <w:tcPr>
            <w:tcW w:w="28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left"/>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 xml:space="preserve"> 贷款成本</w:t>
            </w:r>
          </w:p>
        </w:tc>
        <w:tc>
          <w:tcPr>
            <w:tcW w:w="9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rPr>
                <w:rFonts w:ascii="宋体" w:hAnsi="宋体" w:cs="宋体"/>
                <w:color w:val="000000" w:themeColor="text1"/>
                <w:sz w:val="20"/>
                <w14:textFill>
                  <w14:solidFill>
                    <w14:schemeClr w14:val="tx1"/>
                  </w14:solidFill>
                </w14:textFill>
              </w:rPr>
            </w:pPr>
            <w:r>
              <w:rPr>
                <w:rFonts w:ascii="宋体" w:hAnsi="宋体" w:cs="宋体"/>
                <w:color w:val="000000" w:themeColor="text1"/>
                <w:sz w:val="20"/>
                <w:szCs w:val="20"/>
                <w14:textFill>
                  <w14:solidFill>
                    <w14:schemeClr w14:val="tx1"/>
                  </w14:solidFill>
                </w14:textFill>
              </w:rPr>
              <w:t>按照银行贷款利率</w:t>
            </w:r>
          </w:p>
        </w:tc>
        <w:tc>
          <w:tcPr>
            <w:tcW w:w="118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rPr>
                <w:rFonts w:ascii="宋体" w:hAnsi="宋体" w:cs="宋体"/>
                <w:color w:val="000000" w:themeColor="text1"/>
                <w:sz w:val="22"/>
                <w:szCs w:val="22"/>
                <w14:textFill>
                  <w14:solidFill>
                    <w14:schemeClr w14:val="tx1"/>
                  </w14:solidFill>
                </w14:textFill>
              </w:rPr>
            </w:pPr>
          </w:p>
        </w:tc>
      </w:tr>
      <w:tr>
        <w:tblPrEx>
          <w:tblCellMar>
            <w:top w:w="15" w:type="dxa"/>
            <w:left w:w="15" w:type="dxa"/>
            <w:bottom w:w="0" w:type="dxa"/>
            <w:right w:w="15" w:type="dxa"/>
          </w:tblCellMar>
        </w:tblPrEx>
        <w:trPr>
          <w:trHeight w:val="90" w:hRule="atLeast"/>
          <w:jc w:val="center"/>
        </w:trPr>
        <w:tc>
          <w:tcPr>
            <w:tcW w:w="82" w:type="dxa"/>
            <w:tcMar>
              <w:top w:w="0" w:type="dxa"/>
              <w:left w:w="0" w:type="dxa"/>
              <w:right w:w="0" w:type="dxa"/>
            </w:tcMa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2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10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效益指标</w:t>
            </w:r>
          </w:p>
        </w:tc>
        <w:tc>
          <w:tcPr>
            <w:tcW w:w="12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经济效益</w:t>
            </w:r>
            <w:r>
              <w:rPr>
                <w:rFonts w:ascii="宋体" w:hAnsi="宋体" w:cs="宋体"/>
                <w:color w:val="000000" w:themeColor="text1"/>
                <w:kern w:val="0"/>
                <w:sz w:val="20"/>
                <w:szCs w:val="20"/>
                <w14:textFill>
                  <w14:solidFill>
                    <w14:schemeClr w14:val="tx1"/>
                  </w14:solidFill>
                </w14:textFill>
              </w:rPr>
              <w:br w:type="textWrapping"/>
            </w:r>
            <w:r>
              <w:rPr>
                <w:rFonts w:ascii="宋体" w:hAnsi="宋体" w:cs="宋体"/>
                <w:color w:val="000000" w:themeColor="text1"/>
                <w:kern w:val="0"/>
                <w:sz w:val="20"/>
                <w:szCs w:val="20"/>
                <w14:textFill>
                  <w14:solidFill>
                    <w14:schemeClr w14:val="tx1"/>
                  </w14:solidFill>
                </w14:textFill>
              </w:rPr>
              <w:t>指标</w:t>
            </w:r>
          </w:p>
        </w:tc>
        <w:tc>
          <w:tcPr>
            <w:tcW w:w="28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left"/>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 xml:space="preserve"> 经济水平提高</w:t>
            </w:r>
          </w:p>
        </w:tc>
        <w:tc>
          <w:tcPr>
            <w:tcW w:w="9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rPr>
                <w:rFonts w:ascii="宋体" w:hAnsi="宋体" w:cs="宋体"/>
                <w:color w:val="000000" w:themeColor="text1"/>
                <w:sz w:val="20"/>
                <w14:textFill>
                  <w14:solidFill>
                    <w14:schemeClr w14:val="tx1"/>
                  </w14:solidFill>
                </w14:textFill>
              </w:rPr>
            </w:pPr>
            <w:r>
              <w:rPr>
                <w:rFonts w:ascii="宋体" w:hAnsi="宋体" w:cs="宋体"/>
                <w:color w:val="000000" w:themeColor="text1"/>
                <w:sz w:val="20"/>
                <w:szCs w:val="20"/>
                <w14:textFill>
                  <w14:solidFill>
                    <w14:schemeClr w14:val="tx1"/>
                  </w14:solidFill>
                </w14:textFill>
              </w:rPr>
              <w:t>提高</w:t>
            </w:r>
          </w:p>
        </w:tc>
        <w:tc>
          <w:tcPr>
            <w:tcW w:w="118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rPr>
                <w:rFonts w:ascii="宋体" w:hAnsi="宋体" w:cs="宋体"/>
                <w:color w:val="000000" w:themeColor="text1"/>
                <w:sz w:val="22"/>
                <w:szCs w:val="22"/>
                <w14:textFill>
                  <w14:solidFill>
                    <w14:schemeClr w14:val="tx1"/>
                  </w14:solidFill>
                </w14:textFill>
              </w:rPr>
            </w:pPr>
          </w:p>
        </w:tc>
      </w:tr>
      <w:tr>
        <w:tblPrEx>
          <w:tblCellMar>
            <w:top w:w="15" w:type="dxa"/>
            <w:left w:w="15" w:type="dxa"/>
            <w:bottom w:w="0" w:type="dxa"/>
            <w:right w:w="15" w:type="dxa"/>
          </w:tblCellMar>
        </w:tblPrEx>
        <w:trPr>
          <w:trHeight w:val="90" w:hRule="atLeast"/>
          <w:jc w:val="center"/>
        </w:trPr>
        <w:tc>
          <w:tcPr>
            <w:tcW w:w="82" w:type="dxa"/>
            <w:tcMar>
              <w:top w:w="0" w:type="dxa"/>
              <w:left w:w="0" w:type="dxa"/>
              <w:right w:w="0" w:type="dxa"/>
            </w:tcMa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2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10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2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社会效益</w:t>
            </w:r>
            <w:r>
              <w:rPr>
                <w:rFonts w:ascii="宋体" w:hAnsi="宋体" w:cs="宋体"/>
                <w:color w:val="000000" w:themeColor="text1"/>
                <w:kern w:val="0"/>
                <w:sz w:val="20"/>
                <w:szCs w:val="20"/>
                <w14:textFill>
                  <w14:solidFill>
                    <w14:schemeClr w14:val="tx1"/>
                  </w14:solidFill>
                </w14:textFill>
              </w:rPr>
              <w:br w:type="textWrapping"/>
            </w:r>
            <w:r>
              <w:rPr>
                <w:rFonts w:ascii="宋体" w:hAnsi="宋体" w:cs="宋体"/>
                <w:color w:val="000000" w:themeColor="text1"/>
                <w:kern w:val="0"/>
                <w:sz w:val="20"/>
                <w:szCs w:val="20"/>
                <w14:textFill>
                  <w14:solidFill>
                    <w14:schemeClr w14:val="tx1"/>
                  </w14:solidFill>
                </w14:textFill>
              </w:rPr>
              <w:t>指标</w:t>
            </w:r>
          </w:p>
        </w:tc>
        <w:tc>
          <w:tcPr>
            <w:tcW w:w="28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left"/>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 xml:space="preserve"> 社会水平提高</w:t>
            </w:r>
          </w:p>
        </w:tc>
        <w:tc>
          <w:tcPr>
            <w:tcW w:w="9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rPr>
                <w:rFonts w:ascii="宋体" w:hAnsi="宋体" w:cs="宋体"/>
                <w:color w:val="000000" w:themeColor="text1"/>
                <w:sz w:val="20"/>
                <w14:textFill>
                  <w14:solidFill>
                    <w14:schemeClr w14:val="tx1"/>
                  </w14:solidFill>
                </w14:textFill>
              </w:rPr>
            </w:pPr>
            <w:r>
              <w:rPr>
                <w:rFonts w:ascii="宋体" w:hAnsi="宋体" w:cs="宋体"/>
                <w:color w:val="000000" w:themeColor="text1"/>
                <w:sz w:val="20"/>
                <w:szCs w:val="20"/>
                <w14:textFill>
                  <w14:solidFill>
                    <w14:schemeClr w14:val="tx1"/>
                  </w14:solidFill>
                </w14:textFill>
              </w:rPr>
              <w:t>提高</w:t>
            </w:r>
          </w:p>
        </w:tc>
        <w:tc>
          <w:tcPr>
            <w:tcW w:w="118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rPr>
                <w:rFonts w:ascii="宋体" w:hAnsi="宋体" w:cs="宋体"/>
                <w:color w:val="000000" w:themeColor="text1"/>
                <w:sz w:val="22"/>
                <w:szCs w:val="22"/>
                <w14:textFill>
                  <w14:solidFill>
                    <w14:schemeClr w14:val="tx1"/>
                  </w14:solidFill>
                </w14:textFill>
              </w:rPr>
            </w:pPr>
          </w:p>
        </w:tc>
      </w:tr>
      <w:tr>
        <w:tblPrEx>
          <w:tblCellMar>
            <w:top w:w="15" w:type="dxa"/>
            <w:left w:w="15" w:type="dxa"/>
            <w:bottom w:w="0" w:type="dxa"/>
            <w:right w:w="15" w:type="dxa"/>
          </w:tblCellMar>
        </w:tblPrEx>
        <w:trPr>
          <w:trHeight w:val="90" w:hRule="atLeast"/>
          <w:jc w:val="center"/>
        </w:trPr>
        <w:tc>
          <w:tcPr>
            <w:tcW w:w="82" w:type="dxa"/>
            <w:tcMar>
              <w:top w:w="0" w:type="dxa"/>
              <w:left w:w="0" w:type="dxa"/>
              <w:right w:w="0" w:type="dxa"/>
            </w:tcMa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2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10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2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生态效益</w:t>
            </w:r>
            <w:r>
              <w:rPr>
                <w:rFonts w:ascii="宋体" w:hAnsi="宋体" w:cs="宋体"/>
                <w:color w:val="000000" w:themeColor="text1"/>
                <w:kern w:val="0"/>
                <w:sz w:val="20"/>
                <w:szCs w:val="20"/>
                <w14:textFill>
                  <w14:solidFill>
                    <w14:schemeClr w14:val="tx1"/>
                  </w14:solidFill>
                </w14:textFill>
              </w:rPr>
              <w:br w:type="textWrapping"/>
            </w:r>
            <w:r>
              <w:rPr>
                <w:rFonts w:ascii="宋体" w:hAnsi="宋体" w:cs="宋体"/>
                <w:color w:val="000000" w:themeColor="text1"/>
                <w:kern w:val="0"/>
                <w:sz w:val="20"/>
                <w:szCs w:val="20"/>
                <w14:textFill>
                  <w14:solidFill>
                    <w14:schemeClr w14:val="tx1"/>
                  </w14:solidFill>
                </w14:textFill>
              </w:rPr>
              <w:t>指标</w:t>
            </w:r>
          </w:p>
        </w:tc>
        <w:tc>
          <w:tcPr>
            <w:tcW w:w="28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left"/>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 xml:space="preserve"> 生态的发展</w:t>
            </w:r>
          </w:p>
        </w:tc>
        <w:tc>
          <w:tcPr>
            <w:tcW w:w="9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rPr>
                <w:rFonts w:ascii="宋体" w:hAnsi="宋体" w:cs="宋体"/>
                <w:color w:val="000000" w:themeColor="text1"/>
                <w:sz w:val="20"/>
                <w14:textFill>
                  <w14:solidFill>
                    <w14:schemeClr w14:val="tx1"/>
                  </w14:solidFill>
                </w14:textFill>
              </w:rPr>
            </w:pPr>
            <w:r>
              <w:rPr>
                <w:rFonts w:ascii="宋体" w:hAnsi="宋体" w:cs="宋体"/>
                <w:color w:val="000000" w:themeColor="text1"/>
                <w:sz w:val="20"/>
                <w:szCs w:val="20"/>
                <w14:textFill>
                  <w14:solidFill>
                    <w14:schemeClr w14:val="tx1"/>
                  </w14:solidFill>
                </w14:textFill>
              </w:rPr>
              <w:t>良好</w:t>
            </w:r>
          </w:p>
        </w:tc>
        <w:tc>
          <w:tcPr>
            <w:tcW w:w="118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rPr>
                <w:rFonts w:ascii="宋体" w:hAnsi="宋体" w:cs="宋体"/>
                <w:color w:val="000000" w:themeColor="text1"/>
                <w:sz w:val="22"/>
                <w:szCs w:val="22"/>
                <w14:textFill>
                  <w14:solidFill>
                    <w14:schemeClr w14:val="tx1"/>
                  </w14:solidFill>
                </w14:textFill>
              </w:rPr>
            </w:pPr>
          </w:p>
        </w:tc>
      </w:tr>
      <w:tr>
        <w:tblPrEx>
          <w:tblCellMar>
            <w:top w:w="15" w:type="dxa"/>
            <w:left w:w="15" w:type="dxa"/>
            <w:bottom w:w="0" w:type="dxa"/>
            <w:right w:w="15" w:type="dxa"/>
          </w:tblCellMar>
        </w:tblPrEx>
        <w:trPr>
          <w:trHeight w:val="90" w:hRule="atLeast"/>
          <w:jc w:val="center"/>
        </w:trPr>
        <w:tc>
          <w:tcPr>
            <w:tcW w:w="82" w:type="dxa"/>
            <w:tcMar>
              <w:top w:w="0" w:type="dxa"/>
              <w:left w:w="0" w:type="dxa"/>
              <w:right w:w="0" w:type="dxa"/>
            </w:tcMa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2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10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2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可持续影响</w:t>
            </w:r>
            <w:r>
              <w:rPr>
                <w:rFonts w:ascii="宋体" w:hAnsi="宋体" w:cs="宋体"/>
                <w:color w:val="000000" w:themeColor="text1"/>
                <w:kern w:val="0"/>
                <w:sz w:val="20"/>
                <w:szCs w:val="20"/>
                <w14:textFill>
                  <w14:solidFill>
                    <w14:schemeClr w14:val="tx1"/>
                  </w14:solidFill>
                </w14:textFill>
              </w:rPr>
              <w:br w:type="textWrapping"/>
            </w:r>
            <w:r>
              <w:rPr>
                <w:rFonts w:ascii="宋体" w:hAnsi="宋体" w:cs="宋体"/>
                <w:color w:val="000000" w:themeColor="text1"/>
                <w:kern w:val="0"/>
                <w:sz w:val="20"/>
                <w:szCs w:val="20"/>
                <w14:textFill>
                  <w14:solidFill>
                    <w14:schemeClr w14:val="tx1"/>
                  </w14:solidFill>
                </w14:textFill>
              </w:rPr>
              <w:t>指标</w:t>
            </w:r>
          </w:p>
        </w:tc>
        <w:tc>
          <w:tcPr>
            <w:tcW w:w="28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left"/>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 xml:space="preserve"> 可持续性</w:t>
            </w:r>
          </w:p>
        </w:tc>
        <w:tc>
          <w:tcPr>
            <w:tcW w:w="9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rPr>
                <w:rFonts w:ascii="宋体" w:hAnsi="宋体" w:eastAsia="宋体" w:cs="宋体"/>
                <w:color w:val="000000" w:themeColor="text1"/>
                <w:sz w:val="20"/>
                <w:lang w:eastAsia="zh-CN"/>
                <w14:textFill>
                  <w14:solidFill>
                    <w14:schemeClr w14:val="tx1"/>
                  </w14:solidFill>
                </w14:textFill>
              </w:rPr>
            </w:pPr>
            <w:r>
              <w:rPr>
                <w:rFonts w:ascii="宋体" w:hAnsi="宋体" w:cs="宋体"/>
                <w:color w:val="000000" w:themeColor="text1"/>
                <w:sz w:val="20"/>
                <w:szCs w:val="20"/>
                <w:lang w:eastAsia="zh-CN"/>
                <w14:textFill>
                  <w14:solidFill>
                    <w14:schemeClr w14:val="tx1"/>
                  </w14:solidFill>
                </w14:textFill>
              </w:rPr>
              <w:t>可持续</w:t>
            </w:r>
          </w:p>
        </w:tc>
        <w:tc>
          <w:tcPr>
            <w:tcW w:w="118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rPr>
                <w:rFonts w:ascii="宋体" w:hAnsi="宋体" w:cs="宋体"/>
                <w:color w:val="000000" w:themeColor="text1"/>
                <w:sz w:val="22"/>
                <w:szCs w:val="22"/>
                <w14:textFill>
                  <w14:solidFill>
                    <w14:schemeClr w14:val="tx1"/>
                  </w14:solidFill>
                </w14:textFill>
              </w:rPr>
            </w:pPr>
          </w:p>
        </w:tc>
      </w:tr>
      <w:tr>
        <w:tblPrEx>
          <w:tblCellMar>
            <w:top w:w="15" w:type="dxa"/>
            <w:left w:w="15" w:type="dxa"/>
            <w:bottom w:w="0" w:type="dxa"/>
            <w:right w:w="15" w:type="dxa"/>
          </w:tblCellMar>
        </w:tblPrEx>
        <w:trPr>
          <w:trHeight w:val="90" w:hRule="atLeast"/>
          <w:jc w:val="center"/>
        </w:trPr>
        <w:tc>
          <w:tcPr>
            <w:tcW w:w="82" w:type="dxa"/>
            <w:tcMar>
              <w:top w:w="0" w:type="dxa"/>
              <w:left w:w="0" w:type="dxa"/>
              <w:right w:w="0" w:type="dxa"/>
            </w:tcMa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2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p>
        </w:tc>
        <w:tc>
          <w:tcPr>
            <w:tcW w:w="11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满意度指标</w:t>
            </w:r>
          </w:p>
        </w:tc>
        <w:tc>
          <w:tcPr>
            <w:tcW w:w="12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服务对象</w:t>
            </w:r>
            <w:r>
              <w:rPr>
                <w:rFonts w:ascii="宋体" w:hAnsi="宋体" w:cs="宋体"/>
                <w:color w:val="000000" w:themeColor="text1"/>
                <w:kern w:val="0"/>
                <w:sz w:val="20"/>
                <w:szCs w:val="20"/>
                <w14:textFill>
                  <w14:solidFill>
                    <w14:schemeClr w14:val="tx1"/>
                  </w14:solidFill>
                </w14:textFill>
              </w:rPr>
              <w:br w:type="textWrapping"/>
            </w:r>
            <w:r>
              <w:rPr>
                <w:rFonts w:ascii="宋体" w:hAnsi="宋体" w:cs="宋体"/>
                <w:color w:val="000000" w:themeColor="text1"/>
                <w:kern w:val="0"/>
                <w:sz w:val="20"/>
                <w:szCs w:val="20"/>
                <w14:textFill>
                  <w14:solidFill>
                    <w14:schemeClr w14:val="tx1"/>
                  </w14:solidFill>
                </w14:textFill>
              </w:rPr>
              <w:t>满意度指标</w:t>
            </w:r>
          </w:p>
        </w:tc>
        <w:tc>
          <w:tcPr>
            <w:tcW w:w="28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left"/>
              <w:textAlignment w:val="center"/>
              <w:rPr>
                <w:rFonts w:ascii="宋体" w:hAnsi="宋体" w:cs="宋体"/>
                <w:color w:val="000000" w:themeColor="text1"/>
                <w:sz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 xml:space="preserve"> 银行的满意度</w:t>
            </w:r>
          </w:p>
        </w:tc>
        <w:tc>
          <w:tcPr>
            <w:tcW w:w="9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jc w:val="center"/>
              <w:rPr>
                <w:rFonts w:ascii="宋体" w:hAnsi="宋体" w:cs="宋体"/>
                <w:color w:val="000000" w:themeColor="text1"/>
                <w:sz w:val="20"/>
                <w14:textFill>
                  <w14:solidFill>
                    <w14:schemeClr w14:val="tx1"/>
                  </w14:solidFill>
                </w14:textFill>
              </w:rPr>
            </w:pPr>
            <w:r>
              <w:rPr>
                <w:rFonts w:ascii="宋体" w:hAnsi="宋体" w:cs="宋体"/>
                <w:color w:val="000000" w:themeColor="text1"/>
                <w:sz w:val="20"/>
                <w:szCs w:val="20"/>
                <w14:textFill>
                  <w14:solidFill>
                    <w14:schemeClr w14:val="tx1"/>
                  </w14:solidFill>
                </w14:textFill>
              </w:rPr>
              <w:t>大于9</w:t>
            </w:r>
            <w:r>
              <w:rPr>
                <w:rFonts w:ascii="宋体" w:hAnsi="宋体" w:cs="宋体"/>
                <w:color w:val="000000" w:themeColor="text1"/>
                <w:sz w:val="20"/>
                <w:szCs w:val="20"/>
                <w:lang w:val="en-US" w:eastAsia="zh-CN"/>
                <w14:textFill>
                  <w14:solidFill>
                    <w14:schemeClr w14:val="tx1"/>
                  </w14:solidFill>
                </w14:textFill>
              </w:rPr>
              <w:t>8</w:t>
            </w:r>
            <w:r>
              <w:rPr>
                <w:rFonts w:ascii="宋体" w:hAnsi="宋体" w:cs="宋体"/>
                <w:color w:val="000000" w:themeColor="text1"/>
                <w:sz w:val="20"/>
                <w:szCs w:val="20"/>
                <w14:textFill>
                  <w14:solidFill>
                    <w14:schemeClr w14:val="tx1"/>
                  </w14:solidFill>
                </w14:textFill>
              </w:rPr>
              <w:t>%</w:t>
            </w:r>
          </w:p>
        </w:tc>
        <w:tc>
          <w:tcPr>
            <w:tcW w:w="118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pStyle w:val="6"/>
              <w:keepNext w:val="0"/>
              <w:keepLines w:val="0"/>
              <w:pageBreakBefore w:val="0"/>
              <w:widowControl w:val="0"/>
              <w:kinsoku/>
              <w:wordWrap/>
              <w:overflowPunct w:val="0"/>
              <w:topLinePunct w:val="0"/>
              <w:autoSpaceDE/>
              <w:autoSpaceDN/>
              <w:bidi w:val="0"/>
              <w:snapToGrid/>
              <w:spacing w:line="600" w:lineRule="exact"/>
              <w:ind w:left="0" w:right="0" w:firstLine="0"/>
              <w:rPr>
                <w:rFonts w:ascii="宋体" w:hAnsi="宋体" w:cs="宋体"/>
                <w:color w:val="000000" w:themeColor="text1"/>
                <w:sz w:val="22"/>
                <w:szCs w:val="22"/>
                <w14:textFill>
                  <w14:solidFill>
                    <w14:schemeClr w14:val="tx1"/>
                  </w14:solidFill>
                </w14:textFill>
              </w:rPr>
            </w:pPr>
          </w:p>
        </w:tc>
      </w:tr>
    </w:tbl>
    <w:p>
      <w:pPr>
        <w:keepNext w:val="0"/>
        <w:keepLines w:val="0"/>
        <w:pageBreakBefore w:val="0"/>
        <w:kinsoku/>
        <w:wordWrap/>
        <w:topLinePunct w:val="0"/>
        <w:autoSpaceDE/>
        <w:autoSpaceDN/>
        <w:bidi w:val="0"/>
        <w:spacing w:line="600" w:lineRule="exact"/>
        <w:ind w:firstLine="604" w:firstLineChars="189"/>
        <w:rPr>
          <w:rFonts w:hint="eastAsia" w:ascii="仿宋_GB2312" w:hAnsi="仿宋_GB2312" w:eastAsia="仿宋_GB2312" w:cs="仿宋_GB2312"/>
          <w:color w:val="auto"/>
          <w:kern w:val="0"/>
          <w:sz w:val="32"/>
          <w:szCs w:val="32"/>
          <w:lang w:val="en-US" w:eastAsia="zh-CN" w:bidi="hi-IN"/>
        </w:rPr>
      </w:pPr>
    </w:p>
    <w:p>
      <w:pPr>
        <w:ind w:firstLine="569" w:firstLineChars="189"/>
        <w:rPr>
          <w:rFonts w:hint="eastAsia" w:ascii="仿宋" w:hAnsi="仿宋" w:eastAsia="仿宋" w:cs="仿宋"/>
          <w:b/>
          <w:bCs/>
          <w:sz w:val="30"/>
          <w:szCs w:val="30"/>
        </w:rPr>
      </w:pPr>
      <w:r>
        <w:rPr>
          <w:rFonts w:hint="eastAsia" w:ascii="仿宋" w:hAnsi="仿宋" w:eastAsia="仿宋" w:cs="仿宋"/>
          <w:b/>
          <w:bCs/>
          <w:sz w:val="30"/>
          <w:szCs w:val="30"/>
        </w:rPr>
        <w:t>二、2021年“三公”经费预算情况说明</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说明部门</w:t>
      </w:r>
      <w:r>
        <w:rPr>
          <w:rFonts w:hint="eastAsia" w:ascii="仿宋" w:hAnsi="仿宋" w:eastAsia="仿宋" w:cs="仿宋"/>
          <w:sz w:val="30"/>
          <w:szCs w:val="30"/>
          <w:lang w:eastAsia="zh-CN"/>
        </w:rPr>
        <w:t>或单位</w:t>
      </w:r>
      <w:r>
        <w:rPr>
          <w:rFonts w:hint="eastAsia" w:ascii="仿宋" w:hAnsi="仿宋" w:eastAsia="仿宋" w:cs="仿宋"/>
          <w:sz w:val="30"/>
          <w:szCs w:val="30"/>
        </w:rPr>
        <w:t>“三公”经费一般公共预算总额和结构，及各项增（减）变化原因。</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2021年兴国县</w:t>
      </w:r>
      <w:r>
        <w:rPr>
          <w:rFonts w:hint="eastAsia" w:ascii="仿宋" w:hAnsi="仿宋" w:eastAsia="仿宋" w:cs="仿宋"/>
          <w:sz w:val="30"/>
          <w:szCs w:val="30"/>
          <w:lang w:eastAsia="zh-CN"/>
        </w:rPr>
        <w:t>兴国县金融工作局部门</w:t>
      </w:r>
      <w:r>
        <w:rPr>
          <w:rFonts w:hint="eastAsia" w:ascii="仿宋" w:hAnsi="仿宋" w:eastAsia="仿宋" w:cs="仿宋"/>
          <w:sz w:val="30"/>
          <w:szCs w:val="30"/>
        </w:rPr>
        <w:t>“三公”经费一般公共预算安排</w:t>
      </w:r>
      <w:r>
        <w:rPr>
          <w:rFonts w:hint="eastAsia" w:ascii="仿宋" w:hAnsi="仿宋" w:eastAsia="仿宋" w:cs="仿宋"/>
          <w:sz w:val="30"/>
          <w:szCs w:val="30"/>
          <w:lang w:val="en-US" w:eastAsia="zh-CN"/>
        </w:rPr>
        <w:t>2.2</w:t>
      </w:r>
      <w:r>
        <w:rPr>
          <w:rFonts w:hint="eastAsia" w:ascii="仿宋" w:hAnsi="仿宋" w:eastAsia="仿宋" w:cs="仿宋"/>
          <w:sz w:val="30"/>
          <w:szCs w:val="30"/>
        </w:rPr>
        <w:t>万元。其中：</w:t>
      </w:r>
    </w:p>
    <w:p>
      <w:pPr>
        <w:ind w:firstLine="600" w:firstLineChars="200"/>
        <w:rPr>
          <w:rFonts w:hint="eastAsia" w:ascii="仿宋" w:hAnsi="仿宋" w:eastAsia="仿宋" w:cs="仿宋"/>
          <w:sz w:val="30"/>
          <w:szCs w:val="30"/>
          <w:lang w:eastAsia="zh-CN"/>
        </w:rPr>
      </w:pPr>
      <w:r>
        <w:rPr>
          <w:rFonts w:hint="eastAsia" w:ascii="仿宋" w:hAnsi="仿宋" w:eastAsia="仿宋" w:cs="仿宋"/>
          <w:sz w:val="30"/>
          <w:szCs w:val="30"/>
        </w:rPr>
        <w:t>因公出国（境）费</w:t>
      </w:r>
      <w:r>
        <w:rPr>
          <w:rFonts w:hint="eastAsia" w:ascii="仿宋" w:hAnsi="仿宋" w:eastAsia="仿宋" w:cs="仿宋"/>
          <w:sz w:val="30"/>
          <w:szCs w:val="30"/>
          <w:lang w:val="en-US" w:eastAsia="zh-CN"/>
        </w:rPr>
        <w:t>0</w:t>
      </w:r>
      <w:r>
        <w:rPr>
          <w:rFonts w:hint="eastAsia" w:ascii="仿宋" w:hAnsi="仿宋" w:eastAsia="仿宋" w:cs="仿宋"/>
          <w:sz w:val="30"/>
          <w:szCs w:val="30"/>
        </w:rPr>
        <w:t>万元</w:t>
      </w:r>
      <w:r>
        <w:rPr>
          <w:rFonts w:hint="eastAsia" w:ascii="仿宋" w:hAnsi="仿宋" w:eastAsia="仿宋" w:cs="仿宋"/>
          <w:sz w:val="30"/>
          <w:szCs w:val="30"/>
          <w:lang w:eastAsia="zh-CN"/>
        </w:rPr>
        <w:t>。。</w:t>
      </w:r>
    </w:p>
    <w:p>
      <w:pPr>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rPr>
        <w:t>公务接待费</w:t>
      </w:r>
      <w:r>
        <w:rPr>
          <w:rFonts w:hint="eastAsia" w:ascii="仿宋" w:hAnsi="仿宋" w:eastAsia="仿宋" w:cs="仿宋"/>
          <w:sz w:val="30"/>
          <w:szCs w:val="30"/>
          <w:lang w:val="en-US" w:eastAsia="zh-CN"/>
        </w:rPr>
        <w:t>2.2</w:t>
      </w:r>
      <w:r>
        <w:rPr>
          <w:rFonts w:hint="eastAsia" w:ascii="仿宋" w:hAnsi="仿宋" w:eastAsia="仿宋" w:cs="仿宋"/>
          <w:sz w:val="30"/>
          <w:szCs w:val="30"/>
        </w:rPr>
        <w:t>万元，</w:t>
      </w:r>
      <w:r>
        <w:rPr>
          <w:rFonts w:hint="eastAsia" w:ascii="仿宋" w:hAnsi="仿宋" w:eastAsia="仿宋" w:cs="仿宋"/>
          <w:sz w:val="30"/>
          <w:szCs w:val="30"/>
          <w:lang w:eastAsia="zh-CN"/>
        </w:rPr>
        <w:t>与</w:t>
      </w:r>
      <w:r>
        <w:rPr>
          <w:rFonts w:hint="eastAsia" w:ascii="仿宋" w:hAnsi="仿宋" w:eastAsia="仿宋" w:cs="仿宋"/>
          <w:sz w:val="30"/>
          <w:szCs w:val="30"/>
        </w:rPr>
        <w:t>上年</w:t>
      </w:r>
      <w:r>
        <w:rPr>
          <w:rFonts w:hint="eastAsia" w:ascii="仿宋" w:hAnsi="仿宋" w:eastAsia="仿宋" w:cs="仿宋"/>
          <w:sz w:val="30"/>
          <w:szCs w:val="30"/>
          <w:lang w:eastAsia="zh-CN"/>
        </w:rPr>
        <w:t>持平。</w:t>
      </w:r>
    </w:p>
    <w:p>
      <w:pPr>
        <w:ind w:left="0" w:leftChars="0" w:firstLine="600" w:firstLineChars="200"/>
        <w:jc w:val="both"/>
        <w:rPr>
          <w:rFonts w:hint="eastAsia" w:ascii="仿宋" w:hAnsi="仿宋" w:eastAsia="仿宋" w:cs="仿宋"/>
          <w:sz w:val="30"/>
          <w:szCs w:val="30"/>
          <w:lang w:eastAsia="zh-CN"/>
        </w:rPr>
      </w:pPr>
      <w:r>
        <w:rPr>
          <w:rFonts w:hint="eastAsia" w:ascii="仿宋" w:hAnsi="仿宋" w:eastAsia="仿宋" w:cs="仿宋"/>
          <w:sz w:val="30"/>
          <w:szCs w:val="30"/>
        </w:rPr>
        <w:t>公务用车运行维护费</w:t>
      </w:r>
      <w:r>
        <w:rPr>
          <w:rFonts w:hint="eastAsia" w:ascii="仿宋" w:hAnsi="仿宋" w:eastAsia="仿宋" w:cs="仿宋"/>
          <w:sz w:val="30"/>
          <w:szCs w:val="30"/>
          <w:lang w:val="en-US" w:eastAsia="zh-CN"/>
        </w:rPr>
        <w:t>0</w:t>
      </w:r>
      <w:r>
        <w:rPr>
          <w:rFonts w:hint="eastAsia" w:ascii="仿宋" w:hAnsi="仿宋" w:eastAsia="仿宋" w:cs="仿宋"/>
          <w:sz w:val="30"/>
          <w:szCs w:val="30"/>
        </w:rPr>
        <w:t>万元</w:t>
      </w:r>
      <w:r>
        <w:rPr>
          <w:rFonts w:hint="eastAsia" w:ascii="仿宋" w:hAnsi="仿宋" w:eastAsia="仿宋" w:cs="仿宋"/>
          <w:sz w:val="30"/>
          <w:szCs w:val="30"/>
          <w:lang w:eastAsia="zh-CN"/>
        </w:rPr>
        <w:t>。</w:t>
      </w:r>
    </w:p>
    <w:p>
      <w:pPr>
        <w:ind w:left="0" w:leftChars="0" w:firstLine="600" w:firstLineChars="200"/>
        <w:jc w:val="both"/>
        <w:rPr>
          <w:rFonts w:hint="eastAsia" w:ascii="仿宋" w:hAnsi="仿宋" w:eastAsia="仿宋" w:cs="仿宋"/>
          <w:sz w:val="30"/>
          <w:szCs w:val="30"/>
          <w:lang w:eastAsia="zh-CN"/>
        </w:rPr>
      </w:pPr>
      <w:bookmarkStart w:id="0" w:name="_GoBack"/>
      <w:bookmarkEnd w:id="0"/>
      <w:r>
        <w:rPr>
          <w:rFonts w:hint="eastAsia" w:ascii="仿宋" w:hAnsi="仿宋" w:eastAsia="仿宋" w:cs="仿宋"/>
          <w:sz w:val="30"/>
          <w:szCs w:val="30"/>
        </w:rPr>
        <w:t>公务用车购置费</w:t>
      </w:r>
      <w:r>
        <w:rPr>
          <w:rFonts w:hint="eastAsia" w:ascii="仿宋" w:hAnsi="仿宋" w:eastAsia="仿宋" w:cs="仿宋"/>
          <w:sz w:val="30"/>
          <w:szCs w:val="30"/>
          <w:lang w:val="en-US" w:eastAsia="zh-CN"/>
        </w:rPr>
        <w:t>0</w:t>
      </w:r>
      <w:r>
        <w:rPr>
          <w:rFonts w:hint="eastAsia" w:ascii="仿宋" w:hAnsi="仿宋" w:eastAsia="仿宋" w:cs="仿宋"/>
          <w:sz w:val="30"/>
          <w:szCs w:val="30"/>
        </w:rPr>
        <w:t>万元</w:t>
      </w:r>
      <w:r>
        <w:rPr>
          <w:rFonts w:hint="eastAsia" w:ascii="仿宋" w:hAnsi="仿宋" w:eastAsia="仿宋" w:cs="仿宋"/>
          <w:sz w:val="30"/>
          <w:szCs w:val="30"/>
          <w:lang w:eastAsia="zh-CN"/>
        </w:rPr>
        <w:t>。</w:t>
      </w:r>
    </w:p>
    <w:p>
      <w:pPr>
        <w:ind w:left="0" w:leftChars="0" w:firstLine="0" w:firstLineChars="0"/>
        <w:jc w:val="center"/>
        <w:rPr>
          <w:rFonts w:hint="eastAsia" w:ascii="仿宋" w:hAnsi="仿宋" w:eastAsia="仿宋" w:cs="仿宋"/>
          <w:sz w:val="30"/>
          <w:szCs w:val="30"/>
          <w:lang w:eastAsia="zh-CN"/>
        </w:rPr>
      </w:pPr>
    </w:p>
    <w:p>
      <w:pPr>
        <w:ind w:left="0" w:leftChars="0" w:firstLine="0" w:firstLineChars="0"/>
        <w:jc w:val="center"/>
        <w:rPr>
          <w:rFonts w:hint="eastAsia" w:ascii="仿宋" w:hAnsi="仿宋" w:eastAsia="仿宋" w:cs="仿宋"/>
          <w:sz w:val="30"/>
          <w:szCs w:val="30"/>
        </w:rPr>
      </w:pPr>
      <w:r>
        <w:rPr>
          <w:rFonts w:hint="eastAsia" w:ascii="仿宋" w:hAnsi="仿宋" w:eastAsia="仿宋" w:cs="仿宋"/>
          <w:b/>
          <w:bCs/>
          <w:sz w:val="30"/>
          <w:szCs w:val="30"/>
        </w:rPr>
        <w:t>第三部分 兴国县</w:t>
      </w:r>
      <w:r>
        <w:rPr>
          <w:rFonts w:hint="eastAsia" w:ascii="仿宋" w:hAnsi="仿宋" w:eastAsia="仿宋" w:cs="仿宋"/>
          <w:b/>
          <w:bCs/>
          <w:sz w:val="30"/>
          <w:szCs w:val="30"/>
          <w:lang w:eastAsia="zh-CN"/>
        </w:rPr>
        <w:t>金融工作局</w:t>
      </w:r>
      <w:r>
        <w:rPr>
          <w:rFonts w:hint="eastAsia" w:ascii="仿宋" w:hAnsi="仿宋" w:eastAsia="仿宋" w:cs="仿宋"/>
          <w:b/>
          <w:bCs/>
          <w:sz w:val="30"/>
          <w:szCs w:val="30"/>
        </w:rPr>
        <w:t>单位2021年部门预算表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（详见附表）</w:t>
      </w:r>
    </w:p>
    <w:p>
      <w:pPr>
        <w:ind w:firstLine="567" w:firstLineChars="189"/>
        <w:rPr>
          <w:rFonts w:hint="eastAsia" w:ascii="仿宋" w:hAnsi="仿宋" w:eastAsia="仿宋" w:cs="仿宋"/>
          <w:sz w:val="30"/>
          <w:szCs w:val="30"/>
        </w:rPr>
      </w:pPr>
    </w:p>
    <w:p>
      <w:pPr>
        <w:ind w:firstLine="567" w:firstLineChars="189"/>
        <w:rPr>
          <w:rFonts w:hint="eastAsia" w:ascii="仿宋" w:hAnsi="仿宋" w:eastAsia="仿宋" w:cs="仿宋"/>
          <w:sz w:val="30"/>
          <w:szCs w:val="30"/>
        </w:rPr>
      </w:pPr>
    </w:p>
    <w:p>
      <w:pPr>
        <w:ind w:firstLine="569" w:firstLineChars="189"/>
        <w:jc w:val="center"/>
        <w:rPr>
          <w:rFonts w:hint="eastAsia" w:ascii="仿宋" w:hAnsi="仿宋" w:eastAsia="仿宋" w:cs="仿宋"/>
          <w:b/>
          <w:bCs/>
          <w:sz w:val="30"/>
          <w:szCs w:val="30"/>
        </w:rPr>
      </w:pPr>
      <w:r>
        <w:rPr>
          <w:rFonts w:hint="eastAsia" w:ascii="仿宋" w:hAnsi="仿宋" w:eastAsia="仿宋" w:cs="仿宋"/>
          <w:b/>
          <w:bCs/>
          <w:sz w:val="30"/>
          <w:szCs w:val="30"/>
        </w:rPr>
        <w:t>第四部分名词解释</w:t>
      </w:r>
    </w:p>
    <w:p>
      <w:pPr>
        <w:ind w:firstLine="567" w:firstLineChars="189"/>
        <w:jc w:val="center"/>
        <w:rPr>
          <w:rFonts w:hint="eastAsia" w:ascii="仿宋" w:hAnsi="仿宋" w:eastAsia="仿宋" w:cs="仿宋"/>
          <w:sz w:val="30"/>
          <w:szCs w:val="30"/>
        </w:rPr>
      </w:pPr>
    </w:p>
    <w:p>
      <w:pPr>
        <w:ind w:firstLine="569" w:firstLineChars="189"/>
        <w:rPr>
          <w:rFonts w:hint="eastAsia" w:ascii="仿宋" w:hAnsi="仿宋" w:eastAsia="仿宋" w:cs="仿宋"/>
          <w:b/>
          <w:bCs/>
          <w:sz w:val="30"/>
          <w:szCs w:val="30"/>
        </w:rPr>
      </w:pPr>
      <w:r>
        <w:rPr>
          <w:rFonts w:hint="eastAsia" w:ascii="仿宋" w:hAnsi="仿宋" w:eastAsia="仿宋" w:cs="仿宋"/>
          <w:b/>
          <w:bCs/>
          <w:sz w:val="30"/>
          <w:szCs w:val="30"/>
        </w:rPr>
        <w:t>一、收入科目</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各部门结合实际进行解释。</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（一）财政拨款：指县本级财政当年拨付的资金。</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（二）事业收入：指事业单位开展专业业务活动及辅助活动</w:t>
      </w:r>
    </w:p>
    <w:p>
      <w:pPr>
        <w:rPr>
          <w:rFonts w:hint="eastAsia" w:ascii="仿宋" w:hAnsi="仿宋" w:eastAsia="仿宋" w:cs="仿宋"/>
          <w:sz w:val="30"/>
          <w:szCs w:val="30"/>
        </w:rPr>
      </w:pPr>
      <w:r>
        <w:rPr>
          <w:rFonts w:hint="eastAsia" w:ascii="仿宋" w:hAnsi="仿宋" w:eastAsia="仿宋" w:cs="仿宋"/>
          <w:sz w:val="30"/>
          <w:szCs w:val="30"/>
        </w:rPr>
        <w:t>取得的收入。</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（三）事业单位经营收入：指事业单位在专业业务活动及辅</w:t>
      </w:r>
    </w:p>
    <w:p>
      <w:pPr>
        <w:rPr>
          <w:rFonts w:hint="eastAsia" w:ascii="仿宋" w:hAnsi="仿宋" w:eastAsia="仿宋" w:cs="仿宋"/>
          <w:sz w:val="30"/>
          <w:szCs w:val="30"/>
        </w:rPr>
      </w:pPr>
      <w:r>
        <w:rPr>
          <w:rFonts w:hint="eastAsia" w:ascii="仿宋" w:hAnsi="仿宋" w:eastAsia="仿宋" w:cs="仿宋"/>
          <w:sz w:val="30"/>
          <w:szCs w:val="30"/>
        </w:rPr>
        <w:t>助活动之外开展非独立核算经营活动取得的收入。</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（四）其他收入：指除财政拨款、事业收入、事业单位经营</w:t>
      </w:r>
    </w:p>
    <w:p>
      <w:pPr>
        <w:rPr>
          <w:rFonts w:hint="eastAsia" w:ascii="仿宋" w:hAnsi="仿宋" w:eastAsia="仿宋" w:cs="仿宋"/>
          <w:sz w:val="30"/>
          <w:szCs w:val="30"/>
        </w:rPr>
      </w:pPr>
      <w:r>
        <w:rPr>
          <w:rFonts w:hint="eastAsia" w:ascii="仿宋" w:hAnsi="仿宋" w:eastAsia="仿宋" w:cs="仿宋"/>
          <w:sz w:val="30"/>
          <w:szCs w:val="30"/>
        </w:rPr>
        <w:t>收入等以外的各项收入。</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（五）附属单位上缴收入：反映事业单位附属的独立核算单</w:t>
      </w:r>
    </w:p>
    <w:p>
      <w:pPr>
        <w:rPr>
          <w:rFonts w:hint="eastAsia" w:ascii="仿宋" w:hAnsi="仿宋" w:eastAsia="仿宋" w:cs="仿宋"/>
          <w:sz w:val="30"/>
          <w:szCs w:val="30"/>
        </w:rPr>
      </w:pPr>
      <w:r>
        <w:rPr>
          <w:rFonts w:hint="eastAsia" w:ascii="仿宋" w:hAnsi="仿宋" w:eastAsia="仿宋" w:cs="仿宋"/>
          <w:sz w:val="30"/>
          <w:szCs w:val="30"/>
        </w:rPr>
        <w:t>位按规定标准或比例缴纳的各项收入。包括附属的事业单位上缴</w:t>
      </w:r>
    </w:p>
    <w:p>
      <w:pPr>
        <w:rPr>
          <w:rFonts w:hint="eastAsia" w:ascii="仿宋" w:hAnsi="仿宋" w:eastAsia="仿宋" w:cs="仿宋"/>
          <w:sz w:val="30"/>
          <w:szCs w:val="30"/>
        </w:rPr>
      </w:pPr>
      <w:r>
        <w:rPr>
          <w:rFonts w:hint="eastAsia" w:ascii="仿宋" w:hAnsi="仿宋" w:eastAsia="仿宋" w:cs="仿宋"/>
          <w:sz w:val="30"/>
          <w:szCs w:val="30"/>
        </w:rPr>
        <w:t>的收入和附属的企业上缴的利润等。</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（六）上级补助收入：反映事业单位从主管部门和上级单位</w:t>
      </w:r>
    </w:p>
    <w:p>
      <w:pPr>
        <w:rPr>
          <w:rFonts w:hint="eastAsia" w:ascii="仿宋" w:hAnsi="仿宋" w:eastAsia="仿宋" w:cs="仿宋"/>
          <w:sz w:val="30"/>
          <w:szCs w:val="30"/>
        </w:rPr>
      </w:pPr>
      <w:r>
        <w:rPr>
          <w:rFonts w:hint="eastAsia" w:ascii="仿宋" w:hAnsi="仿宋" w:eastAsia="仿宋" w:cs="仿宋"/>
          <w:sz w:val="30"/>
          <w:szCs w:val="30"/>
        </w:rPr>
        <w:t>取得的非财政补助收入。</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（七）使用非财政拨款结余：填列历年滚存的非限定用途的</w:t>
      </w:r>
    </w:p>
    <w:p>
      <w:pPr>
        <w:jc w:val="left"/>
        <w:rPr>
          <w:rFonts w:hint="eastAsia" w:ascii="仿宋" w:hAnsi="仿宋" w:eastAsia="仿宋" w:cs="仿宋"/>
          <w:sz w:val="30"/>
          <w:szCs w:val="30"/>
        </w:rPr>
      </w:pPr>
      <w:r>
        <w:rPr>
          <w:rFonts w:hint="eastAsia" w:ascii="仿宋" w:hAnsi="仿宋" w:eastAsia="仿宋" w:cs="仿宋"/>
          <w:sz w:val="30"/>
          <w:szCs w:val="30"/>
        </w:rPr>
        <w:t>非统计财政拨款结余弥补2021年收支差额的数额。</w:t>
      </w:r>
    </w:p>
    <w:p>
      <w:pPr>
        <w:ind w:firstLine="567" w:firstLineChars="189"/>
        <w:jc w:val="left"/>
        <w:rPr>
          <w:rFonts w:hint="eastAsia" w:ascii="仿宋" w:hAnsi="仿宋" w:eastAsia="仿宋" w:cs="仿宋"/>
          <w:sz w:val="30"/>
          <w:szCs w:val="30"/>
        </w:rPr>
      </w:pPr>
      <w:r>
        <w:rPr>
          <w:rFonts w:hint="eastAsia" w:ascii="仿宋" w:hAnsi="仿宋" w:eastAsia="仿宋" w:cs="仿宋"/>
          <w:sz w:val="30"/>
          <w:szCs w:val="30"/>
        </w:rPr>
        <w:t>（八）上年结转和结余：填列2020年全部结转和结余的资金数，包括当年结转结余资金和历年滚存结转结余资金。</w:t>
      </w:r>
    </w:p>
    <w:p>
      <w:pPr>
        <w:ind w:firstLine="569" w:firstLineChars="189"/>
        <w:rPr>
          <w:rFonts w:hint="eastAsia" w:ascii="仿宋" w:hAnsi="仿宋" w:eastAsia="仿宋" w:cs="仿宋"/>
          <w:b/>
          <w:bCs/>
          <w:sz w:val="30"/>
          <w:szCs w:val="30"/>
        </w:rPr>
      </w:pPr>
      <w:r>
        <w:rPr>
          <w:rFonts w:hint="eastAsia" w:ascii="仿宋" w:hAnsi="仿宋" w:eastAsia="仿宋" w:cs="仿宋"/>
          <w:b/>
          <w:bCs/>
          <w:sz w:val="30"/>
          <w:szCs w:val="30"/>
        </w:rPr>
        <w:t>二、支出科目</w:t>
      </w:r>
    </w:p>
    <w:p>
      <w:pPr>
        <w:ind w:left="0" w:leftChars="0" w:firstLine="639" w:firstLineChars="213"/>
        <w:jc w:val="left"/>
        <w:rPr>
          <w:rFonts w:hint="eastAsia" w:ascii="仿宋" w:hAnsi="仿宋" w:eastAsia="仿宋" w:cs="仿宋"/>
          <w:sz w:val="30"/>
          <w:szCs w:val="30"/>
        </w:rPr>
      </w:pPr>
      <w:r>
        <w:rPr>
          <w:rFonts w:hint="eastAsia" w:ascii="仿宋" w:hAnsi="仿宋" w:eastAsia="仿宋" w:cs="仿宋"/>
          <w:sz w:val="30"/>
          <w:szCs w:val="30"/>
        </w:rPr>
        <w:t>（一）行政运行：反映行政单位（事业单位）的基本支出。</w:t>
      </w:r>
    </w:p>
    <w:p>
      <w:pPr>
        <w:ind w:left="0" w:leftChars="0" w:firstLine="639" w:firstLineChars="213"/>
        <w:jc w:val="left"/>
        <w:rPr>
          <w:rFonts w:hint="eastAsia" w:ascii="仿宋" w:hAnsi="仿宋" w:eastAsia="仿宋" w:cs="仿宋"/>
          <w:sz w:val="30"/>
          <w:szCs w:val="30"/>
        </w:rPr>
      </w:pPr>
      <w:r>
        <w:rPr>
          <w:rFonts w:hint="eastAsia" w:ascii="仿宋" w:hAnsi="仿宋" w:eastAsia="仿宋" w:cs="仿宋"/>
          <w:sz w:val="30"/>
          <w:szCs w:val="30"/>
        </w:rPr>
        <w:t>（二）一般行政管理事务：反映行政单位（包括事业单位）未单独设置项级科目的其他项目支出。</w:t>
      </w:r>
    </w:p>
    <w:p>
      <w:pPr>
        <w:ind w:left="0" w:leftChars="0" w:firstLine="639" w:firstLineChars="213"/>
        <w:jc w:val="left"/>
        <w:rPr>
          <w:rFonts w:hint="eastAsia" w:ascii="仿宋" w:hAnsi="仿宋" w:eastAsia="仿宋" w:cs="仿宋"/>
          <w:sz w:val="30"/>
          <w:szCs w:val="30"/>
        </w:rPr>
      </w:pPr>
      <w:r>
        <w:rPr>
          <w:rFonts w:hint="eastAsia" w:ascii="仿宋" w:hAnsi="仿宋" w:eastAsia="仿宋" w:cs="仿宋"/>
          <w:sz w:val="30"/>
          <w:szCs w:val="30"/>
        </w:rPr>
        <w:t>（三）机关事业单位基本养老保险缴费支出：反映机关事业单位实施养老保险制度由单位缴纳的基本养老保险费的支出。</w:t>
      </w:r>
    </w:p>
    <w:p>
      <w:pPr>
        <w:ind w:left="0" w:leftChars="0" w:firstLine="639" w:firstLineChars="213"/>
        <w:jc w:val="left"/>
        <w:rPr>
          <w:rFonts w:hint="eastAsia" w:ascii="仿宋" w:hAnsi="仿宋" w:eastAsia="仿宋" w:cs="仿宋"/>
          <w:sz w:val="30"/>
          <w:szCs w:val="30"/>
        </w:rPr>
      </w:pPr>
      <w:r>
        <w:rPr>
          <w:rFonts w:hint="eastAsia" w:ascii="仿宋" w:hAnsi="仿宋" w:eastAsia="仿宋" w:cs="仿宋"/>
          <w:sz w:val="30"/>
          <w:szCs w:val="30"/>
        </w:rPr>
        <w:t>（四）行政单位医疗：反映行政事业单位基本医疗保险缴费经费。</w:t>
      </w:r>
    </w:p>
    <w:p>
      <w:pPr>
        <w:ind w:left="0" w:leftChars="0" w:firstLine="639" w:firstLineChars="213"/>
        <w:jc w:val="left"/>
        <w:rPr>
          <w:rFonts w:hint="eastAsia" w:ascii="仿宋" w:hAnsi="仿宋" w:eastAsia="仿宋" w:cs="仿宋"/>
          <w:sz w:val="30"/>
          <w:szCs w:val="30"/>
        </w:rPr>
      </w:pPr>
      <w:r>
        <w:rPr>
          <w:rFonts w:hint="eastAsia" w:ascii="仿宋" w:hAnsi="仿宋" w:eastAsia="仿宋" w:cs="仿宋"/>
          <w:sz w:val="30"/>
          <w:szCs w:val="30"/>
        </w:rPr>
        <w:t>（五）事业单位医疗：反映财政部门集中安排的事业单位基本医疗保险缴费经费。</w:t>
      </w:r>
    </w:p>
    <w:p>
      <w:pPr>
        <w:ind w:left="0" w:leftChars="0" w:firstLine="639" w:firstLineChars="213"/>
        <w:jc w:val="left"/>
        <w:rPr>
          <w:rFonts w:hint="eastAsia" w:ascii="仿宋" w:hAnsi="仿宋" w:eastAsia="仿宋" w:cs="仿宋"/>
          <w:sz w:val="30"/>
          <w:szCs w:val="30"/>
        </w:rPr>
      </w:pPr>
      <w:r>
        <w:rPr>
          <w:rFonts w:hint="eastAsia" w:ascii="仿宋" w:hAnsi="仿宋" w:eastAsia="仿宋" w:cs="仿宋"/>
          <w:sz w:val="30"/>
          <w:szCs w:val="30"/>
        </w:rPr>
        <w:t>（六）死亡抚恤：反映单位遗属人员生活补助。   </w:t>
      </w:r>
    </w:p>
    <w:p>
      <w:pPr>
        <w:ind w:firstLine="567" w:firstLineChars="189"/>
        <w:rPr>
          <w:rFonts w:hint="eastAsia" w:ascii="仿宋" w:hAnsi="仿宋" w:eastAsia="仿宋" w:cs="仿宋"/>
          <w:sz w:val="30"/>
          <w:szCs w:val="30"/>
        </w:rPr>
      </w:pPr>
    </w:p>
    <w:sectPr>
      <w:pgSz w:w="11906" w:h="16838"/>
      <w:pgMar w:top="1020" w:right="1800" w:bottom="133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Adobe 仿宋 Std R">
    <w:altName w:val="仿宋"/>
    <w:panose1 w:val="00000000000000000000"/>
    <w:charset w:val="86"/>
    <w:family w:val="auto"/>
    <w:pitch w:val="default"/>
    <w:sig w:usb0="00000000" w:usb1="00000000" w:usb2="00000016" w:usb3="00000000" w:csb0="00060007"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002803E1"/>
    <w:rsid w:val="002803E1"/>
    <w:rsid w:val="009F638F"/>
    <w:rsid w:val="0D444C00"/>
    <w:rsid w:val="283C46BC"/>
    <w:rsid w:val="2ACD11DC"/>
    <w:rsid w:val="34B36EE8"/>
    <w:rsid w:val="36354D27"/>
    <w:rsid w:val="3E6D7121"/>
    <w:rsid w:val="43A009FD"/>
    <w:rsid w:val="491456B0"/>
    <w:rsid w:val="49851F33"/>
    <w:rsid w:val="4A784493"/>
    <w:rsid w:val="5236524B"/>
    <w:rsid w:val="56BC6456"/>
    <w:rsid w:val="5C797F12"/>
    <w:rsid w:val="5E0C2091"/>
    <w:rsid w:val="64BF3B9B"/>
    <w:rsid w:val="659156CC"/>
    <w:rsid w:val="6ADF0B16"/>
    <w:rsid w:val="70C92970"/>
    <w:rsid w:val="71240EB3"/>
    <w:rsid w:val="767B1828"/>
    <w:rsid w:val="789D1925"/>
    <w:rsid w:val="7B6057DC"/>
    <w:rsid w:val="7F9E60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unhideWhenUsed/>
    <w:qFormat/>
    <w:uiPriority w:val="99"/>
    <w:pPr>
      <w:spacing w:after="120"/>
      <w:ind w:left="420" w:leftChars="200"/>
    </w:pPr>
  </w:style>
  <w:style w:type="paragraph" w:styleId="3">
    <w:name w:val="Body Text First Indent 2"/>
    <w:basedOn w:val="2"/>
    <w:qFormat/>
    <w:uiPriority w:val="0"/>
    <w:pPr>
      <w:spacing w:after="0" w:line="360" w:lineRule="auto"/>
      <w:ind w:left="0" w:leftChars="0" w:firstLine="1040" w:firstLineChars="200"/>
    </w:pPr>
    <w:rPr>
      <w:sz w:val="24"/>
    </w:rPr>
  </w:style>
  <w:style w:type="paragraph" w:customStyle="1" w:styleId="6">
    <w:name w:val="正文1"/>
    <w:qFormat/>
    <w:uiPriority w:val="0"/>
    <w:pPr>
      <w:widowControl w:val="0"/>
      <w:suppressAutoHyphens w:val="0"/>
      <w:bidi w:val="0"/>
      <w:jc w:val="both"/>
    </w:pPr>
    <w:rPr>
      <w:rFonts w:ascii="Times New Roman" w:hAnsi="Times New Roman" w:eastAsia="宋体" w:cs="Times New Roman"/>
      <w:color w:val="auto"/>
      <w:kern w:val="2"/>
      <w:sz w:val="21"/>
      <w:szCs w:val="20"/>
      <w:lang w:val="en-US" w:eastAsia="zh-CN" w:bidi="ar-SA"/>
    </w:rPr>
  </w:style>
  <w:style w:type="paragraph" w:customStyle="1" w:styleId="7">
    <w:name w:val="p0"/>
    <w:basedOn w:val="1"/>
    <w:uiPriority w:val="0"/>
    <w:pPr>
      <w:widowControl/>
    </w:pPr>
    <w:rPr>
      <w:rFonts w:ascii="Times New Roman" w:hAnsi="Times New Roman" w:eastAsia="宋体" w:cs="Times New Roman"/>
      <w:kern w:val="0"/>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Pages>
  <Words>4193</Words>
  <Characters>4561</Characters>
  <Lines>12</Lines>
  <Paragraphs>3</Paragraphs>
  <TotalTime>3</TotalTime>
  <ScaleCrop>false</ScaleCrop>
  <LinksUpToDate>false</LinksUpToDate>
  <CharactersWithSpaces>4617</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2021-04-25T09:01:00Z</dcterms:created>
  <dc:creator>Administrator</dc:creator>
  <cp:lastModifiedBy>巫媛</cp:lastModifiedBy>
  <cp:lastPrinted>2021-04-26T00:35:00Z</cp:lastPrinted>
  <dcterms:modified xsi:type="dcterms:W3CDTF">2022-09-13T02:56:17Z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7EECED9B2F1F4BB1BF7568C279109F49</vt:lpwstr>
  </property>
</Properties>
</file>