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2023年全县国有资本经营预算收入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spacing w:line="44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" w:hAnsi="仿宋" w:eastAsia="仿宋" w:cs="仿宋"/>
          <w:spacing w:val="11"/>
          <w:sz w:val="31"/>
          <w:szCs w:val="31"/>
          <w:lang w:eastAsia="zh-CN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年全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国有资本经营预算收入</w:t>
      </w:r>
      <w:r>
        <w:rPr>
          <w:rFonts w:hint="eastAsia" w:ascii="楷体" w:hAnsi="楷体" w:eastAsia="楷体" w:cs="楷体"/>
          <w:spacing w:val="11"/>
          <w:sz w:val="32"/>
          <w:szCs w:val="32"/>
          <w:lang w:val="en-US" w:eastAsia="zh-CN"/>
        </w:rPr>
        <w:t>653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万元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完成年初预算的155.8%，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比202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年执行数下降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10.3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%。</w:t>
      </w: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6AF3B5E-B8D6-47D2-AD6A-78FFE1C97DC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6319040-6A95-4CD6-8358-B30A9666BCF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51E113D-2A80-48F1-A356-1C48E28658F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1D43619-C1E3-44F5-B122-1BD5DEA100A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C6630B1-405E-46CF-B75F-C0C94CF57C5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06DC3595-A068-41DA-A1D0-9C4F32E1140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xNjU1ODg3OTU3NTc3YWM1NTE1YzRiMTczZDJhOTcifQ=="/>
  </w:docVars>
  <w:rsids>
    <w:rsidRoot w:val="04DD26B6"/>
    <w:rsid w:val="04DD26B6"/>
    <w:rsid w:val="12D2386F"/>
    <w:rsid w:val="12E54A8E"/>
    <w:rsid w:val="180608F8"/>
    <w:rsid w:val="1EF8115B"/>
    <w:rsid w:val="243200EE"/>
    <w:rsid w:val="42DC36C1"/>
    <w:rsid w:val="46D40D43"/>
    <w:rsid w:val="497C3511"/>
    <w:rsid w:val="49A83CE4"/>
    <w:rsid w:val="51241F2C"/>
    <w:rsid w:val="531B7E68"/>
    <w:rsid w:val="5C3576C0"/>
    <w:rsid w:val="65A73E55"/>
    <w:rsid w:val="6F9817A2"/>
    <w:rsid w:val="70920AC0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2024-01-29T02:30:43Z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0142301F268A4E94AADB37AAA4B687C3_13</vt:lpwstr>
  </property>
</Properties>
</file>