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2024年全县国有资本经营预算收入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spacing w:line="44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" w:hAnsi="仿宋" w:eastAsia="仿宋" w:cs="仿宋"/>
          <w:spacing w:val="11"/>
          <w:sz w:val="31"/>
          <w:szCs w:val="31"/>
          <w:lang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国有资本经营预算收入安排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550万元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年执行数下降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15.77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CE9FC007-3600-4A58-AFDC-D29E6F7D35D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E9CEAFE-ECD2-48A0-847E-959AD316F0D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0E82E66-57E4-409C-B12D-8B7728CEB42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9D265BA-4C4A-40A8-BF3E-2393B285F7E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D1BC0FFE-6C5F-4425-8E7B-E00C6426815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180608F8"/>
    <w:rsid w:val="1EF8115B"/>
    <w:rsid w:val="243200EE"/>
    <w:rsid w:val="42DC36C1"/>
    <w:rsid w:val="46D40D43"/>
    <w:rsid w:val="49A83CE4"/>
    <w:rsid w:val="51241F2C"/>
    <w:rsid w:val="531B7E68"/>
    <w:rsid w:val="65A73E55"/>
    <w:rsid w:val="6F9817A2"/>
    <w:rsid w:val="70920AC0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2024-01-29T01:53:54Z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0142301F268A4E94AADB37AAA4B687C3_13</vt:lpwstr>
  </property>
</Properties>
</file>