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2024年一般公共预算支出安排60.08亿元，下降0.3%。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1.一般公共服务支出预算数下降9.5%，主要是贯彻落实过紧日子思想和根据《关于加强“三公”经费管理严控一般性支出的通知》要求，各部门大力压减“三公”经费和一般性支出。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2.公共安全支出预算数下降19.2%。</w:t>
      </w:r>
    </w:p>
    <w:p>
      <w:pPr>
        <w:pStyle w:val="5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3.节能环保支出增长18.4%。</w:t>
      </w:r>
    </w:p>
    <w:p>
      <w:pPr>
        <w:pStyle w:val="5"/>
        <w:ind w:left="0" w:leftChars="0" w:firstLine="640" w:firstLineChars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4.城乡社区支出下降13.8%。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5.住房保障支出预算数下降9.3%。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6.预备费安排1.2亿元，占全县一般公共预算支出的2.3%，符合预算法“按照本级一般公共预算支出额的百分之一至百分之三设置预备费”的规定。</w:t>
      </w:r>
    </w:p>
    <w:p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7.债务付息支出预算数下降2.8%，主要是</w:t>
      </w:r>
      <w:r>
        <w:rPr>
          <w:rFonts w:ascii="仿宋" w:hAnsi="仿宋" w:eastAsia="仿宋" w:cs="仿宋"/>
          <w:color w:val="auto"/>
          <w:spacing w:val="4"/>
          <w:sz w:val="32"/>
          <w:szCs w:val="32"/>
        </w:rPr>
        <w:t>预计需支</w:t>
      </w:r>
      <w:r>
        <w:rPr>
          <w:rFonts w:ascii="仿宋" w:hAnsi="仿宋" w:eastAsia="仿宋" w:cs="仿宋"/>
          <w:color w:val="auto"/>
          <w:spacing w:val="3"/>
          <w:sz w:val="32"/>
          <w:szCs w:val="32"/>
        </w:rPr>
        <w:t>付</w:t>
      </w:r>
      <w:r>
        <w:rPr>
          <w:rFonts w:ascii="仿宋" w:hAnsi="仿宋" w:eastAsia="仿宋" w:cs="仿宋"/>
          <w:color w:val="auto"/>
          <w:sz w:val="32"/>
          <w:szCs w:val="32"/>
        </w:rPr>
        <w:t>的</w:t>
      </w:r>
      <w:r>
        <w:rPr>
          <w:rFonts w:ascii="仿宋" w:hAnsi="仿宋" w:eastAsia="仿宋" w:cs="仿宋"/>
          <w:color w:val="auto"/>
          <w:spacing w:val="6"/>
          <w:sz w:val="32"/>
          <w:szCs w:val="32"/>
        </w:rPr>
        <w:t>一</w:t>
      </w:r>
      <w:r>
        <w:rPr>
          <w:rFonts w:ascii="仿宋" w:hAnsi="仿宋" w:eastAsia="仿宋" w:cs="仿宋"/>
          <w:color w:val="auto"/>
          <w:spacing w:val="5"/>
          <w:sz w:val="32"/>
          <w:szCs w:val="32"/>
        </w:rPr>
        <w:t>般债券利息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lang w:val="en-US" w:eastAsia="zh-CN"/>
        </w:rPr>
        <w:t>下降</w:t>
      </w:r>
      <w:r>
        <w:rPr>
          <w:rFonts w:hint="eastAsia" w:ascii="仿宋" w:hAnsi="仿宋" w:eastAsia="仿宋" w:cs="仿宋"/>
          <w:color w:val="auto"/>
          <w:spacing w:val="5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37410DB7-65CE-496B-BB34-B7FE3E8618C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515A8B2-3153-46BD-BCB6-7836B9D941D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B02B54E-63E6-4090-A1D5-C2B70C829A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66D4925-C943-4D74-B0B4-DC2F239804D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E54A8E"/>
    <w:rsid w:val="243200EE"/>
    <w:rsid w:val="42DC36C1"/>
    <w:rsid w:val="51241F2C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77699D4CF53441A3BC46D0A10C238877_13</vt:lpwstr>
  </property>
</Properties>
</file>