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根据2024年全县主要经济指标安排情况，2024年一般公共预算收入安排11.32亿元，增长4.5%。其中：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1.一般公共预算税收收入增长8.8%，主要是积极的财政政策加力提效，预计2024年带动一般公共预算税收收入增长。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（1）增值税预算数增长10.4%。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（2）企业所得税增长9.9%。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（3）资源税增长22.9%。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（4）房产税增长38.1%。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（5）契税预算数增长15.8%。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2.一般公共预算非税收入下降3.3%。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（1）行政事业性收费收入预算数增长345.9%。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（2）罚没收入预算数增长138.4%。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（3）国有资源(资产)有偿使用收入预算数下降90.2%。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42E207DA-11BC-490C-BB61-8C3B57EBEB0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EE21E93-DC3C-4364-A7FB-D10E6D2B1D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C817AE3-7697-421E-9D18-A1C2CDE88FA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E54A8E"/>
    <w:rsid w:val="243200EE"/>
    <w:rsid w:val="51241F2C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9FD559C2FFDA47E893B8D15F7EF0D750_13</vt:lpwstr>
  </property>
</Properties>
</file>