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FF113C">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Cs/>
          <w:color w:val="auto"/>
          <w:sz w:val="44"/>
          <w:szCs w:val="44"/>
        </w:rPr>
        <w:t xml:space="preserve"> </w:t>
      </w: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val="0"/>
          <w:bCs/>
          <w:color w:val="auto"/>
          <w:sz w:val="44"/>
          <w:szCs w:val="44"/>
          <w:lang w:eastAsia="zh-CN"/>
        </w:rPr>
        <w:t>兴国县商务局</w:t>
      </w:r>
      <w:r>
        <w:rPr>
          <w:rFonts w:hint="eastAsia" w:ascii="方正小标宋简体" w:hAnsi="方正小标宋简体" w:eastAsia="方正小标宋简体" w:cs="方正小标宋简体"/>
          <w:b w:val="0"/>
          <w:bCs/>
          <w:color w:val="auto"/>
          <w:sz w:val="44"/>
          <w:szCs w:val="44"/>
          <w:lang w:val="en-US" w:eastAsia="zh-CN"/>
        </w:rPr>
        <w:t>2023年</w:t>
      </w:r>
      <w:r>
        <w:rPr>
          <w:rFonts w:hint="eastAsia" w:ascii="方正小标宋简体" w:hAnsi="方正小标宋简体" w:eastAsia="方正小标宋简体" w:cs="方正小标宋简体"/>
          <w:b w:val="0"/>
          <w:bCs/>
          <w:color w:val="auto"/>
          <w:sz w:val="44"/>
          <w:szCs w:val="44"/>
        </w:rPr>
        <w:t>部门预算</w:t>
      </w:r>
    </w:p>
    <w:p w14:paraId="6F31B23E">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编制说明</w:t>
      </w:r>
    </w:p>
    <w:p w14:paraId="73CA9283">
      <w:pPr>
        <w:spacing w:line="560" w:lineRule="exact"/>
        <w:jc w:val="center"/>
        <w:rPr>
          <w:rFonts w:hint="eastAsia" w:ascii="黑体" w:hAnsi="黑体" w:eastAsia="黑体" w:cs="黑体"/>
          <w:color w:val="auto"/>
          <w:sz w:val="36"/>
          <w:szCs w:val="36"/>
        </w:rPr>
      </w:pPr>
    </w:p>
    <w:p w14:paraId="190AA73F">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14:paraId="437FE07F">
      <w:pPr>
        <w:spacing w:line="560" w:lineRule="exact"/>
        <w:jc w:val="center"/>
        <w:rPr>
          <w:rFonts w:hint="eastAsia" w:ascii="黑体" w:hAnsi="黑体" w:eastAsia="黑体" w:cs="黑体"/>
          <w:color w:val="auto"/>
          <w:sz w:val="32"/>
          <w:szCs w:val="32"/>
        </w:rPr>
      </w:pPr>
    </w:p>
    <w:p w14:paraId="0E9E60AC">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eastAsia="zh-CN"/>
        </w:rPr>
        <w:t>商务局</w:t>
      </w:r>
      <w:r>
        <w:rPr>
          <w:rFonts w:hint="eastAsia" w:ascii="仿宋" w:hAnsi="仿宋" w:eastAsia="仿宋" w:cs="仿宋"/>
          <w:b/>
          <w:bCs/>
          <w:color w:val="auto"/>
          <w:sz w:val="32"/>
          <w:szCs w:val="32"/>
        </w:rPr>
        <w:t>部门概况</w:t>
      </w:r>
    </w:p>
    <w:p w14:paraId="513043F2">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一、部门主要职责</w:t>
      </w:r>
    </w:p>
    <w:p w14:paraId="0E5FA9E5">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二、部门基本情况</w:t>
      </w:r>
    </w:p>
    <w:p w14:paraId="2BE459BD">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商务局</w:t>
      </w:r>
      <w:r>
        <w:rPr>
          <w:rFonts w:hint="eastAsia" w:ascii="仿宋" w:hAnsi="仿宋" w:eastAsia="仿宋" w:cs="仿宋"/>
          <w:b/>
          <w:bCs/>
          <w:color w:val="auto"/>
          <w:sz w:val="32"/>
          <w:szCs w:val="32"/>
        </w:rPr>
        <w:t>部门预算情况说明</w:t>
      </w:r>
    </w:p>
    <w:p w14:paraId="19F79BC5">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年部门预算收支情况说明</w:t>
      </w:r>
    </w:p>
    <w:p w14:paraId="7083FBF6">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14:paraId="1D6DDA4B">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商务局</w:t>
      </w:r>
      <w:r>
        <w:rPr>
          <w:rFonts w:hint="eastAsia" w:ascii="仿宋" w:hAnsi="仿宋" w:eastAsia="仿宋" w:cs="仿宋"/>
          <w:b/>
          <w:bCs/>
          <w:color w:val="auto"/>
          <w:sz w:val="32"/>
          <w:szCs w:val="32"/>
        </w:rPr>
        <w:t>部门预算表</w:t>
      </w:r>
    </w:p>
    <w:p w14:paraId="412795ED">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14:paraId="5962481B">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二、《部门收入总表》</w:t>
      </w:r>
    </w:p>
    <w:p w14:paraId="6D1915E8">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三、《部门支出总表》</w:t>
      </w:r>
    </w:p>
    <w:p w14:paraId="4423EF09">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14:paraId="346702F3">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14:paraId="50ECCEA9">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14:paraId="20876415">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14:paraId="6CAD61AF">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八、《政府性基金预算支出表》</w:t>
      </w:r>
    </w:p>
    <w:p w14:paraId="167041FD">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九、《部门整体支出绩效目标表》</w:t>
      </w:r>
    </w:p>
    <w:p w14:paraId="643DA1F3">
      <w:pPr>
        <w:spacing w:line="560" w:lineRule="exact"/>
        <w:ind w:left="10" w:leftChars="5" w:firstLine="620" w:firstLineChars="194"/>
        <w:rPr>
          <w:rFonts w:hint="eastAsia" w:ascii="仿宋" w:hAnsi="仿宋" w:eastAsia="仿宋" w:cs="仿宋"/>
          <w:b/>
          <w:bCs/>
          <w:color w:val="auto"/>
          <w:sz w:val="32"/>
          <w:szCs w:val="32"/>
        </w:rPr>
      </w:pPr>
      <w:r>
        <w:rPr>
          <w:rFonts w:hint="eastAsia" w:ascii="仿宋" w:hAnsi="仿宋" w:eastAsia="仿宋" w:cs="仿宋"/>
          <w:color w:val="auto"/>
          <w:sz w:val="32"/>
          <w:szCs w:val="32"/>
        </w:rPr>
        <w:t>十、《项目支出绩效目标表》</w:t>
      </w:r>
      <w:r>
        <w:rPr>
          <w:rFonts w:hint="eastAsia" w:ascii="仿宋" w:hAnsi="仿宋" w:eastAsia="仿宋" w:cs="仿宋"/>
          <w:color w:val="auto"/>
          <w:sz w:val="32"/>
          <w:szCs w:val="32"/>
        </w:rPr>
        <w:cr/>
      </w:r>
      <w:r>
        <w:rPr>
          <w:rFonts w:hint="eastAsia" w:ascii="仿宋" w:hAnsi="仿宋" w:eastAsia="仿宋" w:cs="仿宋"/>
          <w:b/>
          <w:bCs/>
          <w:color w:val="auto"/>
          <w:sz w:val="32"/>
          <w:szCs w:val="32"/>
        </w:rPr>
        <w:t>第四部分 名词解释</w:t>
      </w:r>
    </w:p>
    <w:p w14:paraId="64CA3675">
      <w:pPr>
        <w:spacing w:line="560" w:lineRule="exact"/>
        <w:jc w:val="center"/>
        <w:rPr>
          <w:rFonts w:hint="eastAsia" w:ascii="仿宋" w:hAnsi="仿宋" w:eastAsia="仿宋" w:cs="仿宋"/>
          <w:b/>
          <w:bCs/>
          <w:color w:val="auto"/>
          <w:sz w:val="32"/>
          <w:szCs w:val="32"/>
        </w:rPr>
      </w:pPr>
    </w:p>
    <w:p w14:paraId="5E7063E5">
      <w:pPr>
        <w:spacing w:line="560" w:lineRule="exact"/>
        <w:jc w:val="center"/>
        <w:rPr>
          <w:rFonts w:hint="eastAsia" w:ascii="黑体" w:hAnsi="黑体" w:eastAsia="黑体" w:cs="黑体"/>
          <w:b w:val="0"/>
          <w:bCs w:val="0"/>
          <w:color w:val="auto"/>
          <w:sz w:val="32"/>
          <w:szCs w:val="32"/>
        </w:rPr>
      </w:pPr>
    </w:p>
    <w:p w14:paraId="48E392DA">
      <w:pPr>
        <w:spacing w:line="560" w:lineRule="exact"/>
        <w:jc w:val="center"/>
        <w:rPr>
          <w:rFonts w:hint="eastAsia" w:ascii="黑体" w:hAnsi="黑体" w:eastAsia="黑体" w:cs="黑体"/>
          <w:b w:val="0"/>
          <w:bCs w:val="0"/>
          <w:color w:val="auto"/>
          <w:sz w:val="32"/>
          <w:szCs w:val="32"/>
        </w:rPr>
      </w:pPr>
    </w:p>
    <w:p w14:paraId="3679C673">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商务局</w:t>
      </w:r>
      <w:r>
        <w:rPr>
          <w:rFonts w:hint="eastAsia" w:ascii="黑体" w:hAnsi="黑体" w:eastAsia="黑体" w:cs="黑体"/>
          <w:b w:val="0"/>
          <w:bCs w:val="0"/>
          <w:color w:val="auto"/>
          <w:sz w:val="32"/>
          <w:szCs w:val="32"/>
        </w:rPr>
        <w:t>部门概况</w:t>
      </w:r>
    </w:p>
    <w:p w14:paraId="1D66EC92">
      <w:pPr>
        <w:spacing w:line="560" w:lineRule="exact"/>
        <w:jc w:val="center"/>
        <w:rPr>
          <w:rFonts w:ascii="仿宋" w:hAnsi="仿宋" w:eastAsia="仿宋" w:cs="仿宋"/>
          <w:b/>
          <w:bCs/>
          <w:color w:val="auto"/>
          <w:sz w:val="32"/>
          <w:szCs w:val="32"/>
        </w:rPr>
      </w:pPr>
    </w:p>
    <w:p w14:paraId="34662D0D">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一、部门主要职责</w:t>
      </w:r>
    </w:p>
    <w:p w14:paraId="52485C4B">
      <w:pPr>
        <w:pStyle w:val="3"/>
        <w:spacing w:before="123" w:line="304" w:lineRule="auto"/>
        <w:ind w:left="120" w:right="417" w:firstLine="640"/>
        <w:jc w:val="both"/>
        <w:rPr>
          <w:color w:val="auto"/>
        </w:rPr>
      </w:pPr>
      <w:r>
        <w:rPr>
          <w:color w:val="auto"/>
          <w:w w:val="95"/>
        </w:rPr>
        <w:t>（一</w:t>
      </w:r>
      <w:r>
        <w:rPr>
          <w:color w:val="auto"/>
          <w:spacing w:val="-3"/>
          <w:w w:val="95"/>
        </w:rPr>
        <w:t xml:space="preserve">）贯彻执行国家、省、市关于国内外贸易、国际经 </w:t>
      </w:r>
      <w:r>
        <w:rPr>
          <w:color w:val="auto"/>
          <w:spacing w:val="-5"/>
        </w:rPr>
        <w:t>济合作、利用内外资、商品、物资流通和商贸服务业的各项方针政策、法律法规、制度措施。</w:t>
      </w:r>
    </w:p>
    <w:p w14:paraId="08DC4AEA">
      <w:pPr>
        <w:pStyle w:val="3"/>
        <w:spacing w:line="304" w:lineRule="auto"/>
        <w:ind w:left="120" w:right="417" w:firstLine="636"/>
        <w:jc w:val="both"/>
        <w:rPr>
          <w:color w:val="auto"/>
        </w:rPr>
      </w:pPr>
      <w:r>
        <w:rPr>
          <w:color w:val="auto"/>
        </w:rPr>
        <w:t>（二</w:t>
      </w:r>
      <w:r>
        <w:rPr>
          <w:color w:val="auto"/>
          <w:spacing w:val="-5"/>
        </w:rPr>
        <w:t>）</w:t>
      </w:r>
      <w:r>
        <w:rPr>
          <w:color w:val="auto"/>
          <w:spacing w:val="-1"/>
        </w:rPr>
        <w:t>管理和指导全县商务工作。研究制定并组织实施</w:t>
      </w:r>
      <w:r>
        <w:rPr>
          <w:color w:val="auto"/>
          <w:spacing w:val="-3"/>
          <w:w w:val="95"/>
        </w:rPr>
        <w:t xml:space="preserve">全县国内外贸易、国际经济合作、利用内外资等方面的发展 </w:t>
      </w:r>
      <w:r>
        <w:rPr>
          <w:color w:val="auto"/>
          <w:spacing w:val="-4"/>
          <w:w w:val="95"/>
        </w:rPr>
        <w:t xml:space="preserve">规划和发展战略。统计、分析和发布重要商务信息。参与协 </w:t>
      </w:r>
      <w:r>
        <w:rPr>
          <w:color w:val="auto"/>
          <w:spacing w:val="-5"/>
          <w:w w:val="95"/>
        </w:rPr>
        <w:t xml:space="preserve">调商务运行中涉及财政、金融、税务、统计等领域的政策问 </w:t>
      </w:r>
      <w:r>
        <w:rPr>
          <w:color w:val="auto"/>
          <w:spacing w:val="-5"/>
        </w:rPr>
        <w:t>题。</w:t>
      </w:r>
    </w:p>
    <w:p w14:paraId="3DF4D8AF">
      <w:pPr>
        <w:pStyle w:val="3"/>
        <w:spacing w:line="304" w:lineRule="auto"/>
        <w:ind w:left="120" w:right="420" w:firstLine="636"/>
        <w:jc w:val="both"/>
        <w:rPr>
          <w:color w:val="auto"/>
        </w:rPr>
      </w:pPr>
      <w:r>
        <w:rPr>
          <w:color w:val="auto"/>
        </w:rPr>
        <w:t>（三</w:t>
      </w:r>
      <w:r>
        <w:rPr>
          <w:color w:val="auto"/>
          <w:spacing w:val="-5"/>
        </w:rPr>
        <w:t>）</w:t>
      </w:r>
      <w:r>
        <w:rPr>
          <w:color w:val="auto"/>
          <w:spacing w:val="-2"/>
        </w:rPr>
        <w:t>负责推进流通产业结构调整，实施商贸服务行业</w:t>
      </w:r>
      <w:r>
        <w:rPr>
          <w:color w:val="auto"/>
          <w:spacing w:val="-4"/>
        </w:rPr>
        <w:t>管理，推动流通标准化和连锁经营、商业特许经营、物流配送、电子商务等现代流通方式的发展。</w:t>
      </w:r>
    </w:p>
    <w:p w14:paraId="2F072490">
      <w:pPr>
        <w:pStyle w:val="3"/>
        <w:spacing w:line="304" w:lineRule="auto"/>
        <w:ind w:left="120" w:right="420" w:firstLine="636"/>
        <w:jc w:val="both"/>
        <w:rPr>
          <w:color w:val="auto"/>
        </w:rPr>
      </w:pPr>
      <w:r>
        <w:rPr>
          <w:color w:val="auto"/>
        </w:rPr>
        <w:t>（四</w:t>
      </w:r>
      <w:r>
        <w:rPr>
          <w:color w:val="auto"/>
          <w:spacing w:val="-5"/>
        </w:rPr>
        <w:t>）</w:t>
      </w:r>
      <w:r>
        <w:rPr>
          <w:color w:val="auto"/>
          <w:spacing w:val="-2"/>
        </w:rPr>
        <w:t>承担牵头协调我县市场经济秩序工作的责任，参</w:t>
      </w:r>
      <w:r>
        <w:rPr>
          <w:color w:val="auto"/>
          <w:spacing w:val="-3"/>
        </w:rPr>
        <w:t>与组织处理商务领域侵犯知识产权、商业欺诈等工作，推动商务领域信用建设，指导商业信用销售，建立市场诚信公共</w:t>
      </w:r>
      <w:r>
        <w:rPr>
          <w:color w:val="auto"/>
        </w:rPr>
        <w:t>服务平台，对特殊流通行业进行监督管理。</w:t>
      </w:r>
    </w:p>
    <w:p w14:paraId="65AB0FA4">
      <w:pPr>
        <w:pStyle w:val="3"/>
        <w:spacing w:line="304" w:lineRule="auto"/>
        <w:ind w:left="120" w:right="417" w:firstLine="636"/>
        <w:jc w:val="both"/>
        <w:rPr>
          <w:color w:val="auto"/>
        </w:rPr>
      </w:pPr>
      <w:r>
        <w:rPr>
          <w:color w:val="auto"/>
        </w:rPr>
        <w:t>（五</w:t>
      </w:r>
      <w:r>
        <w:rPr>
          <w:color w:val="auto"/>
          <w:spacing w:val="-5"/>
        </w:rPr>
        <w:t>）</w:t>
      </w:r>
      <w:r>
        <w:rPr>
          <w:color w:val="auto"/>
          <w:spacing w:val="-1"/>
        </w:rPr>
        <w:t>促进城乡市场发展，指导大宗商品批发市场规划</w:t>
      </w:r>
      <w:r>
        <w:rPr>
          <w:color w:val="auto"/>
          <w:spacing w:val="-3"/>
          <w:w w:val="95"/>
        </w:rPr>
        <w:t xml:space="preserve">和商业网点规划、商业体系建设的工作，推进农村市场体系 </w:t>
      </w:r>
      <w:r>
        <w:rPr>
          <w:color w:val="auto"/>
          <w:spacing w:val="-3"/>
        </w:rPr>
        <w:t>建设，组织实施农村现代流通网络工程。</w:t>
      </w:r>
    </w:p>
    <w:p w14:paraId="628F63C1">
      <w:pPr>
        <w:pStyle w:val="3"/>
        <w:spacing w:line="304" w:lineRule="auto"/>
        <w:ind w:left="120" w:right="98" w:firstLine="633"/>
        <w:rPr>
          <w:color w:val="auto"/>
        </w:rPr>
      </w:pPr>
      <w:r>
        <w:rPr>
          <w:color w:val="auto"/>
        </w:rPr>
        <w:t>（六</w:t>
      </w:r>
      <w:r>
        <w:rPr>
          <w:color w:val="auto"/>
          <w:spacing w:val="-5"/>
        </w:rPr>
        <w:t>）</w:t>
      </w:r>
      <w:r>
        <w:rPr>
          <w:color w:val="auto"/>
        </w:rPr>
        <w:t xml:space="preserve">承担组织实施重要消费品市场和重要生产资料流 </w:t>
      </w:r>
      <w:r>
        <w:rPr>
          <w:color w:val="auto"/>
          <w:spacing w:val="-3"/>
          <w:w w:val="95"/>
        </w:rPr>
        <w:t xml:space="preserve">通的责任，负责建立健全生活必需品市场供应应急管理机制， </w:t>
      </w:r>
      <w:r>
        <w:rPr>
          <w:color w:val="auto"/>
          <w:spacing w:val="-5"/>
        </w:rPr>
        <w:t xml:space="preserve">监测分析市场运行、商品供求状况，调查分析商品储备管理 </w:t>
      </w:r>
      <w:r>
        <w:rPr>
          <w:color w:val="auto"/>
          <w:spacing w:val="-6"/>
        </w:rPr>
        <w:t xml:space="preserve">和市场调控工作，负责生猪屠宰、酒类专卖等相关指导监督 </w:t>
      </w:r>
      <w:r>
        <w:rPr>
          <w:color w:val="auto"/>
          <w:spacing w:val="-7"/>
        </w:rPr>
        <w:t>和管理及所属企业的改革工作；按有关规定对成品油市场和 药品流通及特种物资等监督管理。</w:t>
      </w:r>
    </w:p>
    <w:p w14:paraId="5CE466C7">
      <w:pPr>
        <w:pStyle w:val="3"/>
        <w:spacing w:before="10"/>
        <w:rPr>
          <w:color w:val="auto"/>
          <w:sz w:val="25"/>
        </w:rPr>
      </w:pPr>
    </w:p>
    <w:p w14:paraId="63A72F46">
      <w:pPr>
        <w:spacing w:before="93"/>
        <w:ind w:left="0" w:right="296" w:firstLine="0"/>
        <w:jc w:val="center"/>
        <w:rPr>
          <w:rFonts w:ascii="Times New Roman"/>
          <w:color w:val="auto"/>
          <w:sz w:val="18"/>
        </w:rPr>
      </w:pPr>
      <w:r>
        <w:rPr>
          <w:rFonts w:ascii="Times New Roman"/>
          <w:color w:val="auto"/>
          <w:sz w:val="18"/>
        </w:rPr>
        <w:t>2</w:t>
      </w:r>
    </w:p>
    <w:p w14:paraId="1100D04A">
      <w:pPr>
        <w:spacing w:after="0"/>
        <w:jc w:val="center"/>
        <w:rPr>
          <w:rFonts w:ascii="Times New Roman"/>
          <w:color w:val="auto"/>
          <w:sz w:val="18"/>
        </w:rPr>
        <w:sectPr>
          <w:pgSz w:w="11910" w:h="16840"/>
          <w:pgMar w:top="1540" w:right="1380" w:bottom="280" w:left="1680" w:header="720" w:footer="720" w:gutter="0"/>
          <w:cols w:space="720" w:num="1"/>
        </w:sectPr>
      </w:pPr>
    </w:p>
    <w:p w14:paraId="6995D12D">
      <w:pPr>
        <w:pStyle w:val="3"/>
        <w:spacing w:before="38" w:line="304" w:lineRule="auto"/>
        <w:ind w:left="120" w:right="259" w:firstLine="636"/>
        <w:rPr>
          <w:color w:val="auto"/>
        </w:rPr>
      </w:pPr>
      <w:r>
        <w:rPr>
          <w:color w:val="auto"/>
        </w:rPr>
        <w:t>（七</w:t>
      </w:r>
      <w:r>
        <w:rPr>
          <w:color w:val="auto"/>
          <w:spacing w:val="-5"/>
        </w:rPr>
        <w:t>）</w:t>
      </w:r>
      <w:r>
        <w:rPr>
          <w:color w:val="auto"/>
          <w:spacing w:val="-1"/>
        </w:rPr>
        <w:t>负责利用外资和引进县外资金工作，组织拟订优</w:t>
      </w:r>
      <w:r>
        <w:rPr>
          <w:color w:val="auto"/>
          <w:spacing w:val="-3"/>
        </w:rPr>
        <w:t>化投资环境的措施，负责重大招商活动的协调组织和重大引</w:t>
      </w:r>
      <w:r>
        <w:rPr>
          <w:color w:val="auto"/>
          <w:spacing w:val="-5"/>
        </w:rPr>
        <w:t>资项目的协调工作；按职责权限审批或报批外商直接投资项</w:t>
      </w:r>
      <w:r>
        <w:rPr>
          <w:color w:val="auto"/>
          <w:spacing w:val="-15"/>
          <w:w w:val="95"/>
        </w:rPr>
        <w:t xml:space="preserve">目的合同、章程及其变更事项；指导全县外商投资审批工作； </w:t>
      </w:r>
      <w:r>
        <w:rPr>
          <w:color w:val="auto"/>
          <w:spacing w:val="-15"/>
        </w:rPr>
        <w:t>负责全县外商投资企业的后期管理与服务工作；监督外商投</w:t>
      </w:r>
      <w:r>
        <w:rPr>
          <w:color w:val="auto"/>
          <w:spacing w:val="-12"/>
        </w:rPr>
        <w:t>资企业执行有关法律、法规、合同情况，为来县投资者以及在县投资企业提供政策咨询和协调服务。</w:t>
      </w:r>
    </w:p>
    <w:p w14:paraId="37EE37E1">
      <w:pPr>
        <w:pStyle w:val="3"/>
        <w:spacing w:line="304" w:lineRule="auto"/>
        <w:ind w:left="120" w:right="420" w:firstLine="636"/>
        <w:jc w:val="both"/>
        <w:rPr>
          <w:color w:val="auto"/>
        </w:rPr>
      </w:pPr>
      <w:r>
        <w:rPr>
          <w:color w:val="auto"/>
        </w:rPr>
        <w:t>（八</w:t>
      </w:r>
      <w:r>
        <w:rPr>
          <w:color w:val="auto"/>
          <w:spacing w:val="-5"/>
        </w:rPr>
        <w:t>）</w:t>
      </w:r>
      <w:r>
        <w:rPr>
          <w:color w:val="auto"/>
          <w:spacing w:val="-2"/>
        </w:rPr>
        <w:t>负责区域经济合作的组织协调工作。负责外地驻</w:t>
      </w:r>
      <w:r>
        <w:rPr>
          <w:color w:val="auto"/>
          <w:spacing w:val="-4"/>
        </w:rPr>
        <w:t>县商会、驻县办事机构和我县驻外商会、驻外办事机构的相</w:t>
      </w:r>
      <w:r>
        <w:rPr>
          <w:color w:val="auto"/>
          <w:spacing w:val="-20"/>
        </w:rPr>
        <w:t>关协调服务工作。指导县政府驻上海、广州、东莞、香港</w:t>
      </w:r>
      <w:r>
        <w:rPr>
          <w:color w:val="auto"/>
        </w:rPr>
        <w:t>（</w:t>
      </w:r>
      <w:r>
        <w:rPr>
          <w:color w:val="auto"/>
          <w:spacing w:val="-11"/>
        </w:rPr>
        <w:t>深</w:t>
      </w:r>
      <w:r>
        <w:rPr>
          <w:color w:val="auto"/>
        </w:rPr>
        <w:t>圳）招商引资办事处机构引进资金和经济协作业务工作。</w:t>
      </w:r>
    </w:p>
    <w:p w14:paraId="3EE70088">
      <w:pPr>
        <w:pStyle w:val="3"/>
        <w:spacing w:line="304" w:lineRule="auto"/>
        <w:ind w:left="120" w:right="259" w:firstLine="552"/>
        <w:rPr>
          <w:color w:val="auto"/>
        </w:rPr>
      </w:pPr>
      <w:r>
        <w:rPr>
          <w:color w:val="auto"/>
        </w:rPr>
        <w:t>（九</w:t>
      </w:r>
      <w:r>
        <w:rPr>
          <w:color w:val="auto"/>
          <w:spacing w:val="-87"/>
        </w:rPr>
        <w:t>）</w:t>
      </w:r>
      <w:r>
        <w:rPr>
          <w:color w:val="auto"/>
        </w:rPr>
        <w:t xml:space="preserve">研究拟定全县进出口中长期发展规划和发展战略； </w:t>
      </w:r>
      <w:r>
        <w:rPr>
          <w:color w:val="auto"/>
          <w:spacing w:val="-2"/>
        </w:rPr>
        <w:t>促进贸易增长方式转变，指导和协调贸易促进体系建立，负</w:t>
      </w:r>
      <w:r>
        <w:rPr>
          <w:color w:val="auto"/>
          <w:spacing w:val="-4"/>
        </w:rPr>
        <w:t>责推动企业开拓多元化国际市场；执行国家进出口商品、加</w:t>
      </w:r>
      <w:r>
        <w:rPr>
          <w:color w:val="auto"/>
          <w:spacing w:val="-6"/>
        </w:rPr>
        <w:t>工贸易管理办法和进出口管理商品、技术目录，负责组织实施重要工业品、原材料和重要农产品进出口总量计划工作， 指导和协调加工贸易工作。</w:t>
      </w:r>
    </w:p>
    <w:p w14:paraId="72A22DBE">
      <w:pPr>
        <w:pStyle w:val="3"/>
        <w:spacing w:line="304" w:lineRule="auto"/>
        <w:ind w:left="120" w:right="417" w:firstLine="638"/>
        <w:jc w:val="both"/>
        <w:rPr>
          <w:color w:val="auto"/>
        </w:rPr>
      </w:pPr>
      <w:r>
        <w:rPr>
          <w:color w:val="auto"/>
          <w:w w:val="95"/>
        </w:rPr>
        <w:t>（十</w:t>
      </w:r>
      <w:r>
        <w:rPr>
          <w:color w:val="auto"/>
          <w:spacing w:val="-3"/>
          <w:w w:val="95"/>
        </w:rPr>
        <w:t>）</w:t>
      </w:r>
      <w:r>
        <w:rPr>
          <w:color w:val="auto"/>
          <w:spacing w:val="-1"/>
          <w:w w:val="95"/>
        </w:rPr>
        <w:t xml:space="preserve">执行国家、省、市对外技术贸易、出口管制以及 </w:t>
      </w:r>
      <w:r>
        <w:rPr>
          <w:color w:val="auto"/>
          <w:spacing w:val="-3"/>
        </w:rPr>
        <w:t>鼓励技术和成套设备进出口地政策，依法监督技术引进、设</w:t>
      </w:r>
      <w:r>
        <w:rPr>
          <w:color w:val="auto"/>
          <w:spacing w:val="-5"/>
        </w:rPr>
        <w:t>备进口、国家限制出口产品的工作。受委托依法颁发相关进出口许可证件。</w:t>
      </w:r>
    </w:p>
    <w:p w14:paraId="310FF780">
      <w:pPr>
        <w:pStyle w:val="3"/>
        <w:spacing w:line="304" w:lineRule="auto"/>
        <w:ind w:left="120" w:right="259" w:firstLine="636"/>
        <w:rPr>
          <w:color w:val="auto"/>
        </w:rPr>
      </w:pPr>
      <w:r>
        <w:rPr>
          <w:color w:val="auto"/>
        </w:rPr>
        <w:t>（十一</w:t>
      </w:r>
      <w:r>
        <w:rPr>
          <w:color w:val="auto"/>
          <w:spacing w:val="-5"/>
        </w:rPr>
        <w:t>）</w:t>
      </w:r>
      <w:r>
        <w:rPr>
          <w:color w:val="auto"/>
          <w:spacing w:val="-1"/>
        </w:rPr>
        <w:t>负责涉及世贸组织规则的相关工作，承担组织</w:t>
      </w:r>
      <w:r>
        <w:rPr>
          <w:color w:val="auto"/>
          <w:spacing w:val="-3"/>
        </w:rPr>
        <w:t>协调反倾销、反补贴、保障措施及其他与进出口公平贸易相</w:t>
      </w:r>
      <w:r>
        <w:rPr>
          <w:color w:val="auto"/>
          <w:spacing w:val="-5"/>
        </w:rPr>
        <w:t>关工作的责任；指导协调产业安全应对工作及国外对我县出</w:t>
      </w:r>
      <w:r>
        <w:rPr>
          <w:color w:val="auto"/>
          <w:spacing w:val="-15"/>
          <w:w w:val="95"/>
        </w:rPr>
        <w:t xml:space="preserve">口商品的反倾销、反补贴、保障措施的应诉相关工作；指导、 </w:t>
      </w:r>
      <w:r>
        <w:rPr>
          <w:color w:val="auto"/>
          <w:spacing w:val="-15"/>
        </w:rPr>
        <w:t>组织本县相关企业参加境内外进出口商品交易会。</w:t>
      </w:r>
    </w:p>
    <w:p w14:paraId="7CC97D52">
      <w:pPr>
        <w:pStyle w:val="3"/>
        <w:rPr>
          <w:color w:val="auto"/>
          <w:sz w:val="20"/>
        </w:rPr>
      </w:pPr>
    </w:p>
    <w:p w14:paraId="6A8D12DA">
      <w:pPr>
        <w:pStyle w:val="3"/>
        <w:spacing w:before="9"/>
        <w:rPr>
          <w:color w:val="auto"/>
          <w:sz w:val="16"/>
        </w:rPr>
      </w:pPr>
    </w:p>
    <w:p w14:paraId="360BC0F0">
      <w:pPr>
        <w:spacing w:before="92"/>
        <w:ind w:left="0" w:right="296" w:firstLine="0"/>
        <w:jc w:val="center"/>
        <w:rPr>
          <w:rFonts w:ascii="Times New Roman"/>
          <w:color w:val="auto"/>
          <w:sz w:val="18"/>
        </w:rPr>
      </w:pPr>
      <w:r>
        <w:rPr>
          <w:rFonts w:ascii="Times New Roman"/>
          <w:color w:val="auto"/>
          <w:sz w:val="18"/>
        </w:rPr>
        <w:t>3</w:t>
      </w:r>
    </w:p>
    <w:p w14:paraId="12148761">
      <w:pPr>
        <w:spacing w:after="0"/>
        <w:jc w:val="center"/>
        <w:rPr>
          <w:rFonts w:ascii="Times New Roman"/>
          <w:color w:val="auto"/>
          <w:sz w:val="18"/>
        </w:rPr>
        <w:sectPr>
          <w:pgSz w:w="11910" w:h="16840"/>
          <w:pgMar w:top="1480" w:right="1380" w:bottom="280" w:left="1680" w:header="720" w:footer="720" w:gutter="0"/>
          <w:cols w:space="720" w:num="1"/>
        </w:sectPr>
      </w:pPr>
    </w:p>
    <w:p w14:paraId="6EBEA04D">
      <w:pPr>
        <w:pStyle w:val="3"/>
        <w:spacing w:before="38" w:line="304" w:lineRule="auto"/>
        <w:ind w:left="120" w:right="419" w:firstLine="636"/>
        <w:jc w:val="both"/>
        <w:rPr>
          <w:color w:val="auto"/>
        </w:rPr>
      </w:pPr>
      <w:r>
        <w:rPr>
          <w:color w:val="auto"/>
        </w:rPr>
        <w:t>（十二</w:t>
      </w:r>
      <w:r>
        <w:rPr>
          <w:color w:val="auto"/>
          <w:spacing w:val="-3"/>
        </w:rPr>
        <w:t>）</w:t>
      </w:r>
      <w:r>
        <w:rPr>
          <w:color w:val="auto"/>
          <w:spacing w:val="-2"/>
        </w:rPr>
        <w:t>贯彻执行国家对外经济合作政策、规章，制定</w:t>
      </w:r>
      <w:r>
        <w:rPr>
          <w:color w:val="auto"/>
          <w:spacing w:val="-5"/>
        </w:rPr>
        <w:t>对外投资、对外承包工程和对外劳务合作年度计划和中长期</w:t>
      </w:r>
      <w:r>
        <w:rPr>
          <w:color w:val="auto"/>
          <w:spacing w:val="-3"/>
          <w:w w:val="95"/>
        </w:rPr>
        <w:t xml:space="preserve">发展规划，归口管理对外投资、对外承包工程、对外劳务合 </w:t>
      </w:r>
      <w:r>
        <w:rPr>
          <w:color w:val="auto"/>
          <w:spacing w:val="-5"/>
        </w:rPr>
        <w:t>作业务和统计工作，配合有关部门做好接受和管理国际多双边援助工作。负责全县人员出境就业管理。</w:t>
      </w:r>
    </w:p>
    <w:p w14:paraId="78DB28B7">
      <w:pPr>
        <w:pStyle w:val="3"/>
        <w:spacing w:line="302" w:lineRule="auto"/>
        <w:ind w:left="120" w:right="259" w:firstLine="583"/>
        <w:rPr>
          <w:color w:val="auto"/>
        </w:rPr>
      </w:pPr>
      <w:r>
        <w:rPr>
          <w:color w:val="auto"/>
        </w:rPr>
        <w:t>（十三</w:t>
      </w:r>
      <w:r>
        <w:rPr>
          <w:color w:val="auto"/>
          <w:spacing w:val="-55"/>
        </w:rPr>
        <w:t>）</w:t>
      </w:r>
      <w:r>
        <w:rPr>
          <w:color w:val="auto"/>
          <w:spacing w:val="-9"/>
        </w:rPr>
        <w:t xml:space="preserve">协调、指导电子商务在全县外向型企业的应用； </w:t>
      </w:r>
      <w:r>
        <w:rPr>
          <w:color w:val="auto"/>
        </w:rPr>
        <w:t>组织、实施全县贸易服务体系和电子商务管理体系的建设。</w:t>
      </w:r>
    </w:p>
    <w:p w14:paraId="18ADC4DE">
      <w:pPr>
        <w:pStyle w:val="3"/>
        <w:spacing w:before="4" w:line="304" w:lineRule="auto"/>
        <w:ind w:left="120" w:right="420" w:firstLine="628"/>
        <w:rPr>
          <w:color w:val="auto"/>
        </w:rPr>
      </w:pPr>
      <w:r>
        <w:rPr>
          <w:color w:val="auto"/>
        </w:rPr>
        <w:t>（十四）承担县招商引资领导小组办公室的日常工作和县委、县政府交办的其他管理事项。</w:t>
      </w:r>
    </w:p>
    <w:p w14:paraId="53372018">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二、部门基本情况</w:t>
      </w:r>
    </w:p>
    <w:p w14:paraId="178C9268">
      <w:pPr>
        <w:ind w:firstLine="640" w:firstLineChars="200"/>
        <w:rPr>
          <w:rFonts w:hint="eastAsia" w:ascii="仿宋" w:hAnsi="仿宋" w:eastAsia="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olor w:val="auto"/>
          <w:sz w:val="32"/>
          <w:szCs w:val="32"/>
          <w:lang w:eastAsia="zh-CN"/>
        </w:rPr>
        <w:t>兴国县商务局</w:t>
      </w:r>
      <w:r>
        <w:rPr>
          <w:rFonts w:hint="eastAsia" w:ascii="仿宋" w:hAnsi="仿宋" w:eastAsia="仿宋"/>
          <w:color w:val="auto"/>
          <w:sz w:val="32"/>
          <w:szCs w:val="32"/>
        </w:rPr>
        <w:t>部门共有预算单位</w:t>
      </w:r>
      <w:r>
        <w:rPr>
          <w:rFonts w:hint="eastAsia" w:ascii="仿宋" w:hAnsi="仿宋" w:eastAsia="仿宋" w:cs="Times New Roman"/>
          <w:color w:val="auto"/>
          <w:kern w:val="0"/>
          <w:sz w:val="32"/>
          <w:szCs w:val="32"/>
          <w:u w:val="single"/>
          <w:lang w:val="en-US" w:eastAsia="zh-CN"/>
        </w:rPr>
        <w:t>1</w:t>
      </w:r>
      <w:r>
        <w:rPr>
          <w:rFonts w:ascii="仿宋" w:hAnsi="仿宋" w:eastAsia="仿宋"/>
          <w:color w:val="auto"/>
          <w:sz w:val="32"/>
          <w:szCs w:val="32"/>
        </w:rPr>
        <w:t>个，包括</w:t>
      </w:r>
      <w:r>
        <w:rPr>
          <w:rFonts w:hint="eastAsia" w:ascii="仿宋" w:hAnsi="仿宋" w:eastAsia="仿宋"/>
          <w:color w:val="auto"/>
          <w:sz w:val="32"/>
          <w:szCs w:val="32"/>
        </w:rPr>
        <w:t>：</w:t>
      </w:r>
      <w:r>
        <w:rPr>
          <w:rFonts w:hint="eastAsia" w:ascii="仿宋" w:hAnsi="仿宋" w:eastAsia="仿宋"/>
          <w:color w:val="auto"/>
          <w:sz w:val="32"/>
          <w:szCs w:val="32"/>
          <w:lang w:eastAsia="zh-CN"/>
        </w:rPr>
        <w:t>兴国县商务局</w:t>
      </w:r>
    </w:p>
    <w:p w14:paraId="53FE17DC">
      <w:pPr>
        <w:spacing w:line="560" w:lineRule="exact"/>
        <w:ind w:firstLine="640" w:firstLineChars="200"/>
        <w:rPr>
          <w:rFonts w:ascii="仿宋" w:hAnsi="仿宋" w:eastAsia="仿宋" w:cs="仿宋"/>
          <w:color w:val="auto"/>
          <w:sz w:val="24"/>
          <w:szCs w:val="24"/>
        </w:rPr>
      </w:pP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${page400644146.ds532982397_REP_JX_BAS_AGENCY_INFO_ZYFRS_S_BZRSXJ}</w:instrText>
      </w:r>
      <w:r>
        <w:rPr>
          <w:rFonts w:ascii="仿宋" w:hAnsi="仿宋" w:eastAsia="仿宋"/>
          <w:color w:val="auto"/>
          <w:sz w:val="32"/>
          <w:szCs w:val="32"/>
        </w:rPr>
        <w:fldChar w:fldCharType="separate"/>
      </w:r>
      <w:r>
        <w:rPr>
          <w:rFonts w:ascii="仿宋" w:hAnsi="仿宋" w:eastAsia="仿宋"/>
          <w:color w:val="auto"/>
          <w:sz w:val="32"/>
          <w:szCs w:val="32"/>
        </w:rPr>
        <w:t>编制人数小计</w:t>
      </w:r>
      <w:r>
        <w:rPr>
          <w:rFonts w:ascii="仿宋" w:hAnsi="仿宋" w:eastAsia="仿宋" w:cs="Times New Roman"/>
          <w:color w:val="auto"/>
          <w:kern w:val="0"/>
          <w:sz w:val="32"/>
          <w:szCs w:val="32"/>
          <w:u w:val="single"/>
        </w:rPr>
        <w:t>__</w:t>
      </w:r>
      <w:r>
        <w:rPr>
          <w:rFonts w:hint="eastAsia" w:ascii="仿宋" w:hAnsi="仿宋" w:eastAsia="仿宋" w:cs="Times New Roman"/>
          <w:color w:val="auto"/>
          <w:kern w:val="0"/>
          <w:sz w:val="32"/>
          <w:szCs w:val="32"/>
          <w:u w:val="single"/>
          <w:lang w:val="en-US" w:eastAsia="zh-CN"/>
        </w:rPr>
        <w:t>34</w:t>
      </w:r>
      <w:r>
        <w:rPr>
          <w:rFonts w:ascii="仿宋" w:hAnsi="仿宋" w:eastAsia="仿宋" w:cs="Times New Roman"/>
          <w:color w:val="auto"/>
          <w:kern w:val="0"/>
          <w:sz w:val="32"/>
          <w:szCs w:val="32"/>
          <w:u w:val="single"/>
        </w:rPr>
        <w:t>__</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${page400644146.ds532982397_REP_JX_BAS_AGENCY_INFO_ZYFRS_S_BZRSMX}</w:instrText>
      </w:r>
      <w:r>
        <w:rPr>
          <w:rFonts w:ascii="仿宋" w:hAnsi="仿宋" w:eastAsia="仿宋"/>
          <w:color w:val="auto"/>
          <w:sz w:val="32"/>
          <w:szCs w:val="32"/>
        </w:rPr>
        <w:fldChar w:fldCharType="separate"/>
      </w:r>
      <w:r>
        <w:rPr>
          <w:rFonts w:ascii="仿宋" w:hAnsi="仿宋" w:eastAsia="仿宋"/>
          <w:color w:val="auto"/>
          <w:sz w:val="32"/>
          <w:szCs w:val="32"/>
        </w:rPr>
        <w:t>行政编制人数</w:t>
      </w:r>
      <w:r>
        <w:rPr>
          <w:rFonts w:ascii="仿宋" w:hAnsi="仿宋" w:eastAsia="仿宋" w:cs="Times New Roman"/>
          <w:color w:val="auto"/>
          <w:kern w:val="0"/>
          <w:sz w:val="32"/>
          <w:szCs w:val="32"/>
          <w:u w:val="single"/>
        </w:rPr>
        <w:t>__</w:t>
      </w:r>
      <w:r>
        <w:rPr>
          <w:rFonts w:hint="eastAsia" w:ascii="仿宋" w:hAnsi="仿宋" w:eastAsia="仿宋" w:cs="Times New Roman"/>
          <w:color w:val="auto"/>
          <w:kern w:val="0"/>
          <w:sz w:val="32"/>
          <w:szCs w:val="32"/>
          <w:u w:val="single"/>
          <w:lang w:val="en-US" w:eastAsia="zh-CN"/>
        </w:rPr>
        <w:t>10</w:t>
      </w:r>
      <w:r>
        <w:rPr>
          <w:rFonts w:ascii="仿宋" w:hAnsi="仿宋" w:eastAsia="仿宋" w:cs="Times New Roman"/>
          <w:color w:val="auto"/>
          <w:kern w:val="0"/>
          <w:sz w:val="32"/>
          <w:szCs w:val="32"/>
          <w:u w:val="single"/>
        </w:rPr>
        <w:t>__</w:t>
      </w:r>
      <w:r>
        <w:rPr>
          <w:rFonts w:ascii="仿宋" w:hAnsi="仿宋" w:eastAsia="仿宋"/>
          <w:color w:val="auto"/>
          <w:sz w:val="32"/>
          <w:szCs w:val="32"/>
        </w:rPr>
        <w:t>人,参照公务员管理的事业编制人数</w:t>
      </w:r>
      <w:r>
        <w:rPr>
          <w:rFonts w:ascii="仿宋" w:hAnsi="仿宋" w:eastAsia="仿宋" w:cs="Times New Roman"/>
          <w:color w:val="auto"/>
          <w:kern w:val="0"/>
          <w:sz w:val="32"/>
          <w:szCs w:val="32"/>
          <w:u w:val="single"/>
        </w:rPr>
        <w:t>__</w:t>
      </w:r>
      <w:r>
        <w:rPr>
          <w:rFonts w:hint="eastAsia" w:ascii="仿宋" w:hAnsi="仿宋" w:eastAsia="仿宋" w:cs="Times New Roman"/>
          <w:color w:val="auto"/>
          <w:kern w:val="0"/>
          <w:sz w:val="32"/>
          <w:szCs w:val="32"/>
          <w:u w:val="single"/>
          <w:lang w:val="en-US" w:eastAsia="zh-CN"/>
        </w:rPr>
        <w:t>0</w:t>
      </w:r>
      <w:r>
        <w:rPr>
          <w:rFonts w:ascii="仿宋" w:hAnsi="仿宋" w:eastAsia="仿宋" w:cs="Times New Roman"/>
          <w:color w:val="auto"/>
          <w:kern w:val="0"/>
          <w:sz w:val="32"/>
          <w:szCs w:val="32"/>
          <w:u w:val="single"/>
        </w:rPr>
        <w:t>__</w:t>
      </w:r>
      <w:r>
        <w:rPr>
          <w:rFonts w:ascii="仿宋" w:hAnsi="仿宋" w:eastAsia="仿宋"/>
          <w:color w:val="auto"/>
          <w:sz w:val="32"/>
          <w:szCs w:val="32"/>
        </w:rPr>
        <w:t>人,全部补助事业编制人数</w:t>
      </w:r>
      <w:r>
        <w:rPr>
          <w:rFonts w:ascii="仿宋" w:hAnsi="仿宋" w:eastAsia="仿宋" w:cs="Times New Roman"/>
          <w:color w:val="auto"/>
          <w:kern w:val="0"/>
          <w:sz w:val="32"/>
          <w:szCs w:val="32"/>
        </w:rPr>
        <w:t>_</w:t>
      </w:r>
      <w:r>
        <w:rPr>
          <w:rFonts w:ascii="仿宋" w:hAnsi="仿宋" w:eastAsia="仿宋" w:cs="Times New Roman"/>
          <w:color w:val="auto"/>
          <w:kern w:val="0"/>
          <w:sz w:val="32"/>
          <w:szCs w:val="32"/>
          <w:u w:val="single"/>
        </w:rPr>
        <w:t>_</w:t>
      </w:r>
      <w:r>
        <w:rPr>
          <w:rFonts w:hint="eastAsia" w:ascii="仿宋" w:hAnsi="仿宋" w:eastAsia="仿宋" w:cs="Times New Roman"/>
          <w:color w:val="auto"/>
          <w:kern w:val="0"/>
          <w:sz w:val="32"/>
          <w:szCs w:val="32"/>
          <w:u w:val="single"/>
          <w:lang w:val="en-US" w:eastAsia="zh-CN"/>
        </w:rPr>
        <w:t>21</w:t>
      </w:r>
      <w:r>
        <w:rPr>
          <w:rFonts w:ascii="仿宋" w:hAnsi="仿宋" w:eastAsia="仿宋" w:cs="Times New Roman"/>
          <w:color w:val="auto"/>
          <w:kern w:val="0"/>
          <w:sz w:val="32"/>
          <w:szCs w:val="32"/>
          <w:u w:val="single"/>
        </w:rPr>
        <w:t>_</w:t>
      </w:r>
      <w:r>
        <w:rPr>
          <w:rFonts w:ascii="仿宋" w:hAnsi="仿宋" w:eastAsia="仿宋" w:cs="Times New Roman"/>
          <w:color w:val="auto"/>
          <w:kern w:val="0"/>
          <w:sz w:val="32"/>
          <w:szCs w:val="32"/>
        </w:rPr>
        <w:t>_</w:t>
      </w:r>
      <w:r>
        <w:rPr>
          <w:rFonts w:ascii="仿宋" w:hAnsi="仿宋" w:eastAsia="仿宋"/>
          <w:color w:val="auto"/>
          <w:sz w:val="32"/>
          <w:szCs w:val="32"/>
        </w:rPr>
        <w:t>人,自收自支编制人数</w:t>
      </w:r>
      <w:r>
        <w:rPr>
          <w:rFonts w:ascii="仿宋" w:hAnsi="仿宋" w:eastAsia="仿宋" w:cs="Times New Roman"/>
          <w:color w:val="auto"/>
          <w:kern w:val="0"/>
          <w:sz w:val="32"/>
          <w:szCs w:val="32"/>
          <w:u w:val="single"/>
        </w:rPr>
        <w:t>__</w:t>
      </w:r>
      <w:r>
        <w:rPr>
          <w:rFonts w:hint="eastAsia" w:ascii="仿宋" w:hAnsi="仿宋" w:eastAsia="仿宋" w:cs="Times New Roman"/>
          <w:color w:val="auto"/>
          <w:kern w:val="0"/>
          <w:sz w:val="32"/>
          <w:szCs w:val="32"/>
          <w:u w:val="single"/>
          <w:lang w:val="en-US" w:eastAsia="zh-CN"/>
        </w:rPr>
        <w:t>3</w:t>
      </w:r>
      <w:r>
        <w:rPr>
          <w:rFonts w:ascii="仿宋" w:hAnsi="仿宋" w:eastAsia="仿宋" w:cs="Times New Roman"/>
          <w:color w:val="auto"/>
          <w:kern w:val="0"/>
          <w:sz w:val="32"/>
          <w:szCs w:val="32"/>
          <w:u w:val="single"/>
        </w:rPr>
        <w:t>__</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${page400644146.ds532982397_REP_JX_BAS_AGENCY_INFO_ZYFRS_S_SYRSXJ}</w:instrText>
      </w:r>
      <w:r>
        <w:rPr>
          <w:rFonts w:ascii="仿宋" w:hAnsi="仿宋" w:eastAsia="仿宋"/>
          <w:color w:val="auto"/>
          <w:sz w:val="32"/>
          <w:szCs w:val="32"/>
        </w:rPr>
        <w:fldChar w:fldCharType="separate"/>
      </w:r>
      <w:r>
        <w:rPr>
          <w:rFonts w:ascii="仿宋" w:hAnsi="仿宋" w:eastAsia="仿宋"/>
          <w:color w:val="auto"/>
          <w:sz w:val="32"/>
          <w:szCs w:val="32"/>
        </w:rPr>
        <w:t>实有人数小计</w:t>
      </w:r>
      <w:r>
        <w:rPr>
          <w:rFonts w:ascii="仿宋" w:hAnsi="仿宋" w:eastAsia="仿宋" w:cs="Times New Roman"/>
          <w:color w:val="auto"/>
          <w:kern w:val="0"/>
          <w:sz w:val="32"/>
          <w:szCs w:val="32"/>
          <w:u w:val="single"/>
        </w:rPr>
        <w:t>__</w:t>
      </w:r>
      <w:r>
        <w:rPr>
          <w:rFonts w:hint="eastAsia" w:ascii="仿宋" w:hAnsi="仿宋" w:eastAsia="仿宋" w:cs="Times New Roman"/>
          <w:color w:val="auto"/>
          <w:kern w:val="0"/>
          <w:sz w:val="32"/>
          <w:szCs w:val="32"/>
          <w:u w:val="single"/>
          <w:lang w:val="en-US" w:eastAsia="zh-CN"/>
        </w:rPr>
        <w:t>34</w:t>
      </w:r>
      <w:r>
        <w:rPr>
          <w:rFonts w:ascii="仿宋" w:hAnsi="仿宋" w:eastAsia="仿宋" w:cs="Times New Roman"/>
          <w:color w:val="auto"/>
          <w:kern w:val="0"/>
          <w:sz w:val="32"/>
          <w:szCs w:val="32"/>
          <w:u w:val="single"/>
        </w:rPr>
        <w:t>__</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${page400644146.ds532982397_REP_JX_BAS_AGENCY_INFO_ZYFRS_S_ZZRSXJ}</w:instrText>
      </w:r>
      <w:r>
        <w:rPr>
          <w:rFonts w:ascii="仿宋" w:hAnsi="仿宋" w:eastAsia="仿宋"/>
          <w:color w:val="auto"/>
          <w:sz w:val="32"/>
          <w:szCs w:val="32"/>
        </w:rPr>
        <w:fldChar w:fldCharType="separate"/>
      </w:r>
      <w:r>
        <w:rPr>
          <w:rFonts w:ascii="仿宋" w:hAnsi="仿宋" w:eastAsia="仿宋"/>
          <w:color w:val="auto"/>
          <w:sz w:val="32"/>
          <w:szCs w:val="32"/>
        </w:rPr>
        <w:t>在职人数小计</w:t>
      </w:r>
      <w:r>
        <w:rPr>
          <w:rFonts w:ascii="仿宋" w:hAnsi="仿宋" w:eastAsia="仿宋" w:cs="Times New Roman"/>
          <w:color w:val="auto"/>
          <w:kern w:val="0"/>
          <w:sz w:val="32"/>
          <w:szCs w:val="32"/>
          <w:u w:val="single"/>
        </w:rPr>
        <w:t>__</w:t>
      </w:r>
      <w:r>
        <w:rPr>
          <w:rFonts w:hint="eastAsia" w:ascii="仿宋" w:hAnsi="仿宋" w:eastAsia="仿宋" w:cs="Times New Roman"/>
          <w:color w:val="auto"/>
          <w:kern w:val="0"/>
          <w:sz w:val="32"/>
          <w:szCs w:val="32"/>
          <w:u w:val="single"/>
          <w:lang w:val="en-US" w:eastAsia="zh-CN"/>
        </w:rPr>
        <w:t>31</w:t>
      </w:r>
      <w:r>
        <w:rPr>
          <w:rFonts w:ascii="仿宋" w:hAnsi="仿宋" w:eastAsia="仿宋" w:cs="Times New Roman"/>
          <w:color w:val="auto"/>
          <w:kern w:val="0"/>
          <w:sz w:val="32"/>
          <w:szCs w:val="32"/>
          <w:u w:val="single"/>
        </w:rPr>
        <w:t>__</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${page400644146.ds532982397_REP_JX_BAS_AGENCY_INFO_ZYFRS_S_ZZRSMX}</w:instrText>
      </w:r>
      <w:r>
        <w:rPr>
          <w:rFonts w:ascii="仿宋" w:hAnsi="仿宋" w:eastAsia="仿宋"/>
          <w:color w:val="auto"/>
          <w:sz w:val="32"/>
          <w:szCs w:val="32"/>
        </w:rPr>
        <w:fldChar w:fldCharType="separate"/>
      </w:r>
      <w:r>
        <w:rPr>
          <w:rFonts w:ascii="仿宋" w:hAnsi="仿宋" w:eastAsia="仿宋"/>
          <w:color w:val="auto"/>
          <w:sz w:val="32"/>
          <w:szCs w:val="32"/>
        </w:rPr>
        <w:t>行政在职人数</w:t>
      </w:r>
      <w:r>
        <w:rPr>
          <w:rFonts w:ascii="仿宋" w:hAnsi="仿宋" w:eastAsia="仿宋" w:cs="Times New Roman"/>
          <w:color w:val="auto"/>
          <w:kern w:val="0"/>
          <w:sz w:val="32"/>
          <w:szCs w:val="32"/>
          <w:u w:val="single"/>
        </w:rPr>
        <w:t>__</w:t>
      </w:r>
      <w:r>
        <w:rPr>
          <w:rFonts w:hint="eastAsia" w:ascii="仿宋" w:hAnsi="仿宋" w:eastAsia="仿宋" w:cs="Times New Roman"/>
          <w:color w:val="auto"/>
          <w:kern w:val="0"/>
          <w:sz w:val="32"/>
          <w:szCs w:val="32"/>
          <w:u w:val="single"/>
          <w:lang w:val="en-US" w:eastAsia="zh-CN"/>
        </w:rPr>
        <w:t>10</w:t>
      </w:r>
      <w:r>
        <w:rPr>
          <w:rFonts w:ascii="仿宋" w:hAnsi="仿宋" w:eastAsia="仿宋" w:cs="Times New Roman"/>
          <w:color w:val="auto"/>
          <w:kern w:val="0"/>
          <w:sz w:val="32"/>
          <w:szCs w:val="32"/>
          <w:u w:val="single"/>
        </w:rPr>
        <w:t>__</w:t>
      </w:r>
      <w:r>
        <w:rPr>
          <w:rFonts w:ascii="仿宋" w:hAnsi="仿宋" w:eastAsia="仿宋"/>
          <w:color w:val="auto"/>
          <w:sz w:val="32"/>
          <w:szCs w:val="32"/>
        </w:rPr>
        <w:t>人,参照公务员管理的事业单位在职人数</w:t>
      </w:r>
      <w:r>
        <w:rPr>
          <w:rFonts w:ascii="仿宋" w:hAnsi="仿宋" w:eastAsia="仿宋" w:cs="Times New Roman"/>
          <w:color w:val="auto"/>
          <w:kern w:val="0"/>
          <w:sz w:val="32"/>
          <w:szCs w:val="32"/>
          <w:u w:val="single"/>
        </w:rPr>
        <w:t>__</w:t>
      </w:r>
      <w:r>
        <w:rPr>
          <w:rFonts w:hint="eastAsia" w:ascii="仿宋" w:hAnsi="仿宋" w:eastAsia="仿宋" w:cs="Times New Roman"/>
          <w:color w:val="auto"/>
          <w:kern w:val="0"/>
          <w:sz w:val="32"/>
          <w:szCs w:val="32"/>
          <w:u w:val="single"/>
          <w:lang w:val="en-US" w:eastAsia="zh-CN"/>
        </w:rPr>
        <w:t>0</w:t>
      </w:r>
      <w:r>
        <w:rPr>
          <w:rFonts w:ascii="仿宋" w:hAnsi="仿宋" w:eastAsia="仿宋" w:cs="Times New Roman"/>
          <w:color w:val="auto"/>
          <w:kern w:val="0"/>
          <w:sz w:val="32"/>
          <w:szCs w:val="32"/>
          <w:u w:val="single"/>
        </w:rPr>
        <w:t>__</w:t>
      </w:r>
      <w:r>
        <w:rPr>
          <w:rFonts w:ascii="仿宋" w:hAnsi="仿宋" w:eastAsia="仿宋"/>
          <w:color w:val="auto"/>
          <w:sz w:val="32"/>
          <w:szCs w:val="32"/>
        </w:rPr>
        <w:t>人,全部补助事业在职人数</w:t>
      </w:r>
      <w:r>
        <w:rPr>
          <w:rFonts w:ascii="仿宋" w:hAnsi="仿宋" w:eastAsia="仿宋" w:cs="Times New Roman"/>
          <w:color w:val="auto"/>
          <w:kern w:val="0"/>
          <w:sz w:val="32"/>
          <w:szCs w:val="32"/>
          <w:u w:val="single"/>
        </w:rPr>
        <w:t>__</w:t>
      </w:r>
      <w:r>
        <w:rPr>
          <w:rFonts w:hint="eastAsia" w:ascii="仿宋" w:hAnsi="仿宋" w:eastAsia="仿宋" w:cs="Times New Roman"/>
          <w:color w:val="auto"/>
          <w:kern w:val="0"/>
          <w:sz w:val="32"/>
          <w:szCs w:val="32"/>
          <w:u w:val="single"/>
          <w:lang w:val="en-US" w:eastAsia="zh-CN"/>
        </w:rPr>
        <w:t>21</w:t>
      </w:r>
      <w:r>
        <w:rPr>
          <w:rFonts w:ascii="仿宋" w:hAnsi="仿宋" w:eastAsia="仿宋" w:cs="Times New Roman"/>
          <w:color w:val="auto"/>
          <w:kern w:val="0"/>
          <w:sz w:val="32"/>
          <w:szCs w:val="32"/>
          <w:u w:val="single"/>
        </w:rPr>
        <w:t>__</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${page400644146.ds532982397_REP_JX_BAS_AGENCY_INFO_ZYFRS_S_QTRSMX}</w:instrText>
      </w:r>
      <w:r>
        <w:rPr>
          <w:rFonts w:ascii="仿宋" w:hAnsi="仿宋" w:eastAsia="仿宋"/>
          <w:color w:val="auto"/>
          <w:sz w:val="32"/>
          <w:szCs w:val="32"/>
        </w:rPr>
        <w:fldChar w:fldCharType="separate"/>
      </w:r>
      <w:r>
        <w:rPr>
          <w:rFonts w:ascii="仿宋" w:hAnsi="仿宋" w:eastAsia="仿宋"/>
          <w:color w:val="auto"/>
          <w:sz w:val="32"/>
          <w:szCs w:val="32"/>
        </w:rPr>
        <w:t>离休人数小计</w:t>
      </w:r>
      <w:r>
        <w:rPr>
          <w:rFonts w:ascii="仿宋" w:hAnsi="仿宋" w:eastAsia="仿宋" w:cs="Times New Roman"/>
          <w:color w:val="auto"/>
          <w:kern w:val="0"/>
          <w:sz w:val="32"/>
          <w:szCs w:val="32"/>
          <w:u w:val="single"/>
        </w:rPr>
        <w:t>__</w:t>
      </w:r>
      <w:r>
        <w:rPr>
          <w:rFonts w:hint="eastAsia" w:ascii="仿宋" w:hAnsi="仿宋" w:eastAsia="仿宋" w:cs="Times New Roman"/>
          <w:color w:val="auto"/>
          <w:kern w:val="0"/>
          <w:sz w:val="32"/>
          <w:szCs w:val="32"/>
          <w:u w:val="single"/>
          <w:lang w:val="en-US" w:eastAsia="zh-CN"/>
        </w:rPr>
        <w:t>1</w:t>
      </w:r>
      <w:r>
        <w:rPr>
          <w:rFonts w:ascii="仿宋" w:hAnsi="仿宋" w:eastAsia="仿宋" w:cs="Times New Roman"/>
          <w:color w:val="auto"/>
          <w:kern w:val="0"/>
          <w:sz w:val="32"/>
          <w:szCs w:val="32"/>
          <w:u w:val="single"/>
        </w:rPr>
        <w:t>__</w:t>
      </w:r>
      <w:r>
        <w:rPr>
          <w:rFonts w:ascii="仿宋" w:hAnsi="仿宋" w:eastAsia="仿宋"/>
          <w:color w:val="auto"/>
          <w:sz w:val="32"/>
          <w:szCs w:val="32"/>
        </w:rPr>
        <w:t>人,退休人数小计</w:t>
      </w:r>
      <w:r>
        <w:rPr>
          <w:rFonts w:ascii="仿宋" w:hAnsi="仿宋" w:eastAsia="仿宋" w:cs="Times New Roman"/>
          <w:color w:val="auto"/>
          <w:kern w:val="0"/>
          <w:sz w:val="32"/>
          <w:szCs w:val="32"/>
          <w:u w:val="single"/>
        </w:rPr>
        <w:t>__</w:t>
      </w:r>
      <w:r>
        <w:rPr>
          <w:rFonts w:hint="eastAsia" w:ascii="仿宋" w:hAnsi="仿宋" w:eastAsia="仿宋" w:cs="Times New Roman"/>
          <w:color w:val="auto"/>
          <w:kern w:val="0"/>
          <w:sz w:val="32"/>
          <w:szCs w:val="32"/>
          <w:u w:val="single"/>
          <w:lang w:val="en-US" w:eastAsia="zh-CN"/>
        </w:rPr>
        <w:t>22</w:t>
      </w:r>
      <w:r>
        <w:rPr>
          <w:rFonts w:ascii="仿宋" w:hAnsi="仿宋" w:eastAsia="仿宋" w:cs="Times New Roman"/>
          <w:color w:val="auto"/>
          <w:kern w:val="0"/>
          <w:sz w:val="32"/>
          <w:szCs w:val="32"/>
          <w:u w:val="single"/>
        </w:rPr>
        <w:t>__</w:t>
      </w:r>
      <w:r>
        <w:rPr>
          <w:rFonts w:ascii="仿宋" w:hAnsi="仿宋" w:eastAsia="仿宋"/>
          <w:color w:val="auto"/>
          <w:sz w:val="32"/>
          <w:szCs w:val="32"/>
        </w:rPr>
        <w:t>人,退职人员</w:t>
      </w:r>
      <w:r>
        <w:rPr>
          <w:rFonts w:ascii="仿宋" w:hAnsi="仿宋" w:eastAsia="仿宋" w:cs="Times New Roman"/>
          <w:color w:val="auto"/>
          <w:kern w:val="0"/>
          <w:sz w:val="32"/>
          <w:szCs w:val="32"/>
          <w:u w:val="single"/>
        </w:rPr>
        <w:t>__</w:t>
      </w:r>
      <w:r>
        <w:rPr>
          <w:rFonts w:hint="eastAsia" w:ascii="仿宋" w:hAnsi="仿宋" w:eastAsia="仿宋" w:cs="Times New Roman"/>
          <w:color w:val="auto"/>
          <w:kern w:val="0"/>
          <w:sz w:val="32"/>
          <w:szCs w:val="32"/>
          <w:u w:val="single"/>
          <w:lang w:val="en-US" w:eastAsia="zh-CN"/>
        </w:rPr>
        <w:t>0</w:t>
      </w:r>
      <w:r>
        <w:rPr>
          <w:rFonts w:ascii="仿宋" w:hAnsi="仿宋" w:eastAsia="仿宋" w:cs="Times New Roman"/>
          <w:color w:val="auto"/>
          <w:kern w:val="0"/>
          <w:sz w:val="32"/>
          <w:szCs w:val="32"/>
          <w:u w:val="single"/>
        </w:rPr>
        <w:t>__</w:t>
      </w:r>
      <w:r>
        <w:rPr>
          <w:rFonts w:ascii="仿宋" w:hAnsi="仿宋" w:eastAsia="仿宋"/>
          <w:color w:val="auto"/>
          <w:sz w:val="32"/>
          <w:szCs w:val="32"/>
        </w:rPr>
        <w:t>人,遗属人数</w:t>
      </w:r>
      <w:r>
        <w:rPr>
          <w:rFonts w:ascii="仿宋" w:hAnsi="仿宋" w:eastAsia="仿宋" w:cs="Times New Roman"/>
          <w:color w:val="auto"/>
          <w:kern w:val="0"/>
          <w:sz w:val="32"/>
          <w:szCs w:val="32"/>
          <w:u w:val="single"/>
        </w:rPr>
        <w:t>__</w:t>
      </w:r>
      <w:r>
        <w:rPr>
          <w:rFonts w:hint="eastAsia" w:ascii="仿宋" w:hAnsi="仿宋" w:eastAsia="仿宋" w:cs="Times New Roman"/>
          <w:color w:val="auto"/>
          <w:kern w:val="0"/>
          <w:sz w:val="32"/>
          <w:szCs w:val="32"/>
          <w:u w:val="single"/>
          <w:lang w:val="en-US" w:eastAsia="zh-CN"/>
        </w:rPr>
        <w:t>4</w:t>
      </w:r>
      <w:r>
        <w:rPr>
          <w:rFonts w:ascii="仿宋" w:hAnsi="仿宋" w:eastAsia="仿宋" w:cs="Times New Roman"/>
          <w:color w:val="auto"/>
          <w:kern w:val="0"/>
          <w:sz w:val="32"/>
          <w:szCs w:val="32"/>
          <w:u w:val="single"/>
        </w:rPr>
        <w:t>__</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${page400644146.ds532982397_REP_JX_BAS_AGENCY_INFO_ZYFRS_S_ZXXSMX}</w:instrText>
      </w:r>
      <w:r>
        <w:rPr>
          <w:rFonts w:ascii="仿宋" w:hAnsi="仿宋" w:eastAsia="仿宋"/>
          <w:color w:val="auto"/>
          <w:sz w:val="32"/>
          <w:szCs w:val="32"/>
        </w:rPr>
        <w:fldChar w:fldCharType="separate"/>
      </w:r>
      <w:r>
        <w:rPr>
          <w:rFonts w:ascii="仿宋" w:hAnsi="仿宋" w:eastAsia="仿宋"/>
          <w:color w:val="auto"/>
          <w:sz w:val="32"/>
          <w:szCs w:val="32"/>
        </w:rPr>
        <w:t>在校学生</w:t>
      </w:r>
      <w:r>
        <w:rPr>
          <w:rFonts w:ascii="仿宋" w:hAnsi="仿宋" w:eastAsia="仿宋" w:cs="Times New Roman"/>
          <w:color w:val="auto"/>
          <w:kern w:val="0"/>
          <w:sz w:val="32"/>
          <w:szCs w:val="32"/>
          <w:u w:val="single"/>
        </w:rPr>
        <w:t>__</w:t>
      </w:r>
      <w:r>
        <w:rPr>
          <w:rFonts w:hint="eastAsia" w:ascii="仿宋" w:hAnsi="仿宋" w:eastAsia="仿宋" w:cs="Times New Roman"/>
          <w:color w:val="auto"/>
          <w:kern w:val="0"/>
          <w:sz w:val="32"/>
          <w:szCs w:val="32"/>
          <w:u w:val="single"/>
          <w:lang w:val="en-US" w:eastAsia="zh-CN"/>
        </w:rPr>
        <w:t>0</w:t>
      </w:r>
      <w:r>
        <w:rPr>
          <w:rFonts w:ascii="仿宋" w:hAnsi="仿宋" w:eastAsia="仿宋" w:cs="Times New Roman"/>
          <w:color w:val="auto"/>
          <w:kern w:val="0"/>
          <w:sz w:val="32"/>
          <w:szCs w:val="32"/>
          <w:u w:val="single"/>
        </w:rPr>
        <w:t>_</w:t>
      </w:r>
      <w:r>
        <w:rPr>
          <w:rFonts w:ascii="仿宋" w:hAnsi="仿宋" w:eastAsia="仿宋" w:cs="Times New Roman"/>
          <w:color w:val="auto"/>
          <w:kern w:val="0"/>
          <w:sz w:val="32"/>
          <w:szCs w:val="32"/>
        </w:rPr>
        <w:t>_</w:t>
      </w:r>
      <w:r>
        <w:rPr>
          <w:rFonts w:ascii="仿宋" w:hAnsi="仿宋" w:eastAsia="仿宋"/>
          <w:color w:val="auto"/>
          <w:sz w:val="32"/>
          <w:szCs w:val="32"/>
        </w:rPr>
        <w:t>人,其中：本科生人数</w:t>
      </w:r>
      <w:r>
        <w:rPr>
          <w:rFonts w:ascii="仿宋" w:hAnsi="仿宋" w:eastAsia="仿宋" w:cs="Times New Roman"/>
          <w:color w:val="auto"/>
          <w:kern w:val="0"/>
          <w:sz w:val="32"/>
          <w:szCs w:val="32"/>
        </w:rPr>
        <w:t>_</w:t>
      </w:r>
      <w:r>
        <w:rPr>
          <w:rFonts w:ascii="仿宋" w:hAnsi="仿宋" w:eastAsia="仿宋" w:cs="Times New Roman"/>
          <w:color w:val="auto"/>
          <w:kern w:val="0"/>
          <w:sz w:val="32"/>
          <w:szCs w:val="32"/>
          <w:u w:val="single"/>
        </w:rPr>
        <w:t>_</w:t>
      </w:r>
      <w:r>
        <w:rPr>
          <w:rFonts w:hint="eastAsia" w:ascii="仿宋" w:hAnsi="仿宋" w:eastAsia="仿宋" w:cs="Times New Roman"/>
          <w:color w:val="auto"/>
          <w:kern w:val="0"/>
          <w:sz w:val="32"/>
          <w:szCs w:val="32"/>
          <w:u w:val="single"/>
          <w:lang w:val="en-US" w:eastAsia="zh-CN"/>
        </w:rPr>
        <w:t>0</w:t>
      </w:r>
      <w:r>
        <w:rPr>
          <w:rFonts w:ascii="仿宋" w:hAnsi="仿宋" w:eastAsia="仿宋" w:cs="Times New Roman"/>
          <w:color w:val="auto"/>
          <w:kern w:val="0"/>
          <w:sz w:val="32"/>
          <w:szCs w:val="32"/>
          <w:u w:val="single"/>
        </w:rPr>
        <w:t>__</w:t>
      </w:r>
      <w:r>
        <w:rPr>
          <w:rFonts w:ascii="仿宋" w:hAnsi="仿宋" w:eastAsia="仿宋"/>
          <w:color w:val="auto"/>
          <w:sz w:val="32"/>
          <w:szCs w:val="32"/>
        </w:rPr>
        <w:t>人，专科生人数</w:t>
      </w:r>
      <w:r>
        <w:rPr>
          <w:rFonts w:ascii="仿宋" w:hAnsi="仿宋" w:eastAsia="仿宋" w:cs="Times New Roman"/>
          <w:color w:val="auto"/>
          <w:kern w:val="0"/>
          <w:sz w:val="32"/>
          <w:szCs w:val="32"/>
          <w:u w:val="single"/>
        </w:rPr>
        <w:t>__</w:t>
      </w:r>
      <w:r>
        <w:rPr>
          <w:rFonts w:hint="eastAsia" w:ascii="仿宋" w:hAnsi="仿宋" w:eastAsia="仿宋" w:cs="Times New Roman"/>
          <w:color w:val="auto"/>
          <w:kern w:val="0"/>
          <w:sz w:val="32"/>
          <w:szCs w:val="32"/>
          <w:u w:val="single"/>
          <w:lang w:val="en-US" w:eastAsia="zh-CN"/>
        </w:rPr>
        <w:t>0</w:t>
      </w:r>
      <w:r>
        <w:rPr>
          <w:rFonts w:ascii="仿宋" w:hAnsi="仿宋" w:eastAsia="仿宋" w:cs="Times New Roman"/>
          <w:color w:val="auto"/>
          <w:kern w:val="0"/>
          <w:sz w:val="32"/>
          <w:szCs w:val="32"/>
          <w:u w:val="single"/>
        </w:rPr>
        <w:t>__</w:t>
      </w:r>
      <w:r>
        <w:rPr>
          <w:rFonts w:ascii="仿宋" w:hAnsi="仿宋" w:eastAsia="仿宋"/>
          <w:color w:val="auto"/>
          <w:sz w:val="32"/>
          <w:szCs w:val="32"/>
        </w:rPr>
        <w:t>人。</w:t>
      </w:r>
      <w:r>
        <w:rPr>
          <w:color w:val="auto"/>
        </w:rPr>
        <w:fldChar w:fldCharType="end"/>
      </w:r>
    </w:p>
    <w:p w14:paraId="5C91B390">
      <w:pPr>
        <w:spacing w:line="560" w:lineRule="exact"/>
        <w:rPr>
          <w:rFonts w:ascii="仿宋" w:hAnsi="仿宋" w:eastAsia="仿宋" w:cs="仿宋"/>
          <w:color w:val="auto"/>
          <w:sz w:val="32"/>
          <w:szCs w:val="32"/>
        </w:rPr>
      </w:pPr>
    </w:p>
    <w:p w14:paraId="3CED572D">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eastAsia="zh-CN"/>
        </w:rPr>
        <w:t>商务局</w:t>
      </w:r>
      <w:r>
        <w:rPr>
          <w:rFonts w:hint="eastAsia" w:ascii="黑体" w:hAnsi="黑体" w:eastAsia="黑体" w:cs="黑体"/>
          <w:b w:val="0"/>
          <w:bCs w:val="0"/>
          <w:color w:val="auto"/>
          <w:sz w:val="32"/>
          <w:szCs w:val="32"/>
        </w:rPr>
        <w:t>部门预算情况说明</w:t>
      </w:r>
    </w:p>
    <w:p w14:paraId="34358015">
      <w:pPr>
        <w:spacing w:line="560" w:lineRule="exact"/>
        <w:jc w:val="center"/>
        <w:rPr>
          <w:rFonts w:ascii="仿宋" w:hAnsi="仿宋" w:eastAsia="仿宋" w:cs="仿宋"/>
          <w:b/>
          <w:bCs/>
          <w:color w:val="auto"/>
          <w:sz w:val="32"/>
          <w:szCs w:val="32"/>
        </w:rPr>
      </w:pPr>
    </w:p>
    <w:p w14:paraId="23C03C65">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年部门预算收支情况说明</w:t>
      </w:r>
    </w:p>
    <w:p w14:paraId="1688AFA0">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14:paraId="30C02AC2">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本部门收入</w:t>
      </w:r>
      <w:r>
        <w:rPr>
          <w:rFonts w:hint="eastAsia" w:ascii="仿宋" w:hAnsi="仿宋" w:eastAsia="仿宋" w:cs="仿宋"/>
          <w:color w:val="auto"/>
          <w:sz w:val="30"/>
          <w:szCs w:val="30"/>
        </w:rPr>
        <w:t>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2"/>
          <w:szCs w:val="32"/>
          <w:lang w:val="en-US" w:eastAsia="zh-CN"/>
        </w:rPr>
        <w:t>10637.12</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w:t>
      </w:r>
      <w:r>
        <w:rPr>
          <w:rFonts w:hint="eastAsia" w:ascii="宋体" w:eastAsia="宋体"/>
          <w:color w:val="auto"/>
          <w:sz w:val="32"/>
          <w:szCs w:val="28"/>
        </w:rPr>
        <w:t>11695.14</w:t>
      </w:r>
      <w:r>
        <w:rPr>
          <w:rFonts w:hint="eastAsia" w:ascii="仿宋" w:hAnsi="仿宋" w:eastAsia="仿宋" w:cs="仿宋"/>
          <w:color w:val="auto"/>
          <w:sz w:val="32"/>
          <w:szCs w:val="32"/>
          <w:lang w:eastAsia="zh-CN"/>
        </w:rPr>
        <w:t>万元）减少</w:t>
      </w:r>
      <w:r>
        <w:rPr>
          <w:rFonts w:hint="eastAsia" w:ascii="仿宋" w:hAnsi="仿宋" w:eastAsia="仿宋" w:cs="仿宋"/>
          <w:color w:val="auto"/>
          <w:sz w:val="32"/>
          <w:szCs w:val="32"/>
          <w:lang w:val="en-US" w:eastAsia="zh-CN"/>
        </w:rPr>
        <w:t>1058.02万元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减</w:t>
      </w:r>
      <w:r>
        <w:rPr>
          <w:rFonts w:hint="eastAsia" w:ascii="仿宋" w:hAnsi="仿宋" w:eastAsia="仿宋" w:cs="仿宋"/>
          <w:color w:val="auto"/>
          <w:sz w:val="32"/>
          <w:szCs w:val="32"/>
          <w:lang w:eastAsia="zh-CN"/>
        </w:rPr>
        <w:t>少</w:t>
      </w:r>
      <w:r>
        <w:rPr>
          <w:rFonts w:hint="eastAsia" w:ascii="仿宋" w:hAnsi="仿宋" w:eastAsia="仿宋" w:cs="仿宋"/>
          <w:color w:val="auto"/>
          <w:sz w:val="32"/>
          <w:szCs w:val="32"/>
          <w:lang w:val="en-US" w:eastAsia="zh-CN"/>
        </w:rPr>
        <w:t>9.04%</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2022年有上年结转账政拨款，本年度没有上年结转账政拨款。</w:t>
      </w:r>
    </w:p>
    <w:p w14:paraId="37287763">
      <w:pPr>
        <w:spacing w:line="560" w:lineRule="exact"/>
        <w:ind w:firstLine="600" w:firstLineChars="200"/>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rPr>
        <w:t>具体为：</w:t>
      </w:r>
      <w:r>
        <w:rPr>
          <w:rFonts w:hint="eastAsia" w:ascii="仿宋" w:hAnsi="仿宋" w:eastAsia="仿宋" w:cs="仿宋"/>
          <w:color w:val="auto"/>
          <w:sz w:val="32"/>
          <w:szCs w:val="32"/>
          <w:lang w:eastAsia="zh-CN"/>
        </w:rPr>
        <w:t>一般公共预算</w:t>
      </w:r>
      <w:r>
        <w:rPr>
          <w:rFonts w:hint="eastAsia" w:ascii="仿宋" w:hAnsi="仿宋" w:eastAsia="仿宋" w:cs="仿宋"/>
          <w:color w:val="auto"/>
          <w:sz w:val="30"/>
          <w:szCs w:val="30"/>
          <w:lang w:eastAsia="zh-CN"/>
        </w:rPr>
        <w:t>收入</w:t>
      </w:r>
      <w:r>
        <w:rPr>
          <w:rFonts w:hint="eastAsia" w:ascii="仿宋" w:hAnsi="仿宋" w:eastAsia="仿宋" w:cs="仿宋"/>
          <w:color w:val="auto"/>
          <w:sz w:val="32"/>
          <w:szCs w:val="32"/>
          <w:lang w:val="en-US" w:eastAsia="zh-CN"/>
        </w:rPr>
        <w:t>9969.62</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4539.63</w:t>
      </w:r>
      <w:r>
        <w:rPr>
          <w:rFonts w:hint="eastAsia" w:ascii="仿宋" w:hAnsi="仿宋" w:eastAsia="仿宋" w:cs="仿宋"/>
          <w:color w:val="auto"/>
          <w:sz w:val="32"/>
          <w:szCs w:val="32"/>
          <w:lang w:eastAsia="zh-CN"/>
        </w:rPr>
        <w:t>万元，增长</w:t>
      </w:r>
      <w:r>
        <w:rPr>
          <w:rFonts w:hint="eastAsia" w:ascii="仿宋" w:hAnsi="仿宋" w:eastAsia="仿宋" w:cs="仿宋"/>
          <w:color w:val="auto"/>
          <w:sz w:val="32"/>
          <w:szCs w:val="32"/>
          <w:lang w:val="en-US" w:eastAsia="zh-CN"/>
        </w:rPr>
        <w:t>83.6%。其他收入667.5万元，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3029.35</w:t>
      </w:r>
      <w:r>
        <w:rPr>
          <w:rFonts w:hint="eastAsia" w:ascii="仿宋" w:hAnsi="仿宋" w:eastAsia="仿宋" w:cs="仿宋"/>
          <w:color w:val="auto"/>
          <w:sz w:val="32"/>
          <w:szCs w:val="32"/>
          <w:lang w:eastAsia="zh-CN"/>
        </w:rPr>
        <w:t>万元，减少</w:t>
      </w:r>
      <w:r>
        <w:rPr>
          <w:rFonts w:hint="eastAsia" w:ascii="仿宋" w:hAnsi="仿宋" w:eastAsia="仿宋" w:cs="仿宋"/>
          <w:color w:val="auto"/>
          <w:sz w:val="32"/>
          <w:szCs w:val="32"/>
          <w:lang w:val="en-US" w:eastAsia="zh-CN"/>
        </w:rPr>
        <w:t>81.94%。</w:t>
      </w:r>
    </w:p>
    <w:p w14:paraId="32B34899">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14:paraId="223A35B3">
      <w:pPr>
        <w:spacing w:line="560" w:lineRule="exact"/>
        <w:ind w:firstLine="640" w:firstLineChars="200"/>
        <w:rPr>
          <w:rFonts w:hint="default" w:ascii="仿宋" w:hAnsi="仿宋" w:eastAsia="仿宋" w:cs="仿宋"/>
          <w:color w:val="auto"/>
          <w:sz w:val="30"/>
          <w:szCs w:val="30"/>
          <w:lang w:val="en-US"/>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w:t>
      </w:r>
      <w:r>
        <w:rPr>
          <w:rFonts w:hint="eastAsia" w:ascii="仿宋" w:hAnsi="仿宋" w:eastAsia="仿宋" w:cs="仿宋"/>
          <w:color w:val="auto"/>
          <w:sz w:val="30"/>
          <w:szCs w:val="30"/>
        </w:rPr>
        <w:t>支出预算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2"/>
          <w:szCs w:val="32"/>
          <w:lang w:val="en-US" w:eastAsia="zh-CN"/>
        </w:rPr>
        <w:t>10637.12</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w:t>
      </w:r>
      <w:r>
        <w:rPr>
          <w:rFonts w:hint="eastAsia" w:ascii="宋体" w:eastAsia="宋体"/>
          <w:color w:val="auto"/>
          <w:sz w:val="32"/>
          <w:szCs w:val="28"/>
        </w:rPr>
        <w:t>11695.14</w:t>
      </w:r>
      <w:r>
        <w:rPr>
          <w:rFonts w:hint="eastAsia" w:ascii="宋体" w:eastAsia="宋体"/>
          <w:color w:val="auto"/>
          <w:sz w:val="32"/>
          <w:szCs w:val="28"/>
          <w:lang w:eastAsia="zh-CN"/>
        </w:rPr>
        <w:t>万元）</w:t>
      </w:r>
      <w:r>
        <w:rPr>
          <w:rFonts w:hint="eastAsia" w:ascii="仿宋" w:hAnsi="仿宋" w:eastAsia="仿宋" w:cs="仿宋"/>
          <w:color w:val="auto"/>
          <w:sz w:val="32"/>
          <w:szCs w:val="32"/>
        </w:rPr>
        <w:t>减</w:t>
      </w:r>
      <w:r>
        <w:rPr>
          <w:rFonts w:hint="eastAsia" w:ascii="仿宋" w:hAnsi="仿宋" w:eastAsia="仿宋" w:cs="仿宋"/>
          <w:color w:val="auto"/>
          <w:sz w:val="32"/>
          <w:szCs w:val="32"/>
          <w:lang w:eastAsia="zh-CN"/>
        </w:rPr>
        <w:t>少</w:t>
      </w:r>
      <w:r>
        <w:rPr>
          <w:rFonts w:hint="eastAsia" w:ascii="仿宋" w:hAnsi="仿宋" w:eastAsia="仿宋" w:cs="仿宋"/>
          <w:color w:val="auto"/>
          <w:sz w:val="32"/>
          <w:szCs w:val="32"/>
          <w:lang w:val="en-US" w:eastAsia="zh-CN"/>
        </w:rPr>
        <w:t>1058.02</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减</w:t>
      </w:r>
      <w:r>
        <w:rPr>
          <w:rFonts w:hint="eastAsia" w:ascii="仿宋" w:hAnsi="仿宋" w:eastAsia="仿宋" w:cs="仿宋"/>
          <w:color w:val="auto"/>
          <w:sz w:val="32"/>
          <w:szCs w:val="32"/>
          <w:lang w:eastAsia="zh-CN"/>
        </w:rPr>
        <w:t>少</w:t>
      </w:r>
      <w:r>
        <w:rPr>
          <w:rFonts w:hint="eastAsia" w:ascii="仿宋" w:hAnsi="仿宋" w:eastAsia="仿宋" w:cs="仿宋"/>
          <w:color w:val="auto"/>
          <w:sz w:val="32"/>
          <w:szCs w:val="32"/>
          <w:lang w:val="en-US" w:eastAsia="zh-CN"/>
        </w:rPr>
        <w:t>9.04%</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2022年有上年结转账政拨款，本年度没有上年结转账政拨款。</w:t>
      </w:r>
    </w:p>
    <w:p w14:paraId="5F6BDA29">
      <w:pPr>
        <w:spacing w:line="56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按支出项目类别及经济分类科目划分：基本支出</w:t>
      </w:r>
      <w:r>
        <w:rPr>
          <w:rFonts w:hint="eastAsia" w:ascii="仿宋" w:hAnsi="仿宋" w:eastAsia="仿宋" w:cs="仿宋"/>
          <w:color w:val="auto"/>
          <w:sz w:val="32"/>
          <w:szCs w:val="32"/>
          <w:lang w:val="en-US" w:eastAsia="zh-CN"/>
        </w:rPr>
        <w:t>469.12</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89.54</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其中：人员支出</w:t>
      </w:r>
      <w:r>
        <w:rPr>
          <w:rFonts w:hint="eastAsia" w:ascii="仿宋" w:hAnsi="仿宋" w:eastAsia="仿宋" w:cs="仿宋"/>
          <w:color w:val="auto"/>
          <w:sz w:val="30"/>
          <w:szCs w:val="30"/>
          <w:lang w:val="en-US" w:eastAsia="zh-CN"/>
        </w:rPr>
        <w:t>433.56</w:t>
      </w:r>
      <w:r>
        <w:rPr>
          <w:rFonts w:hint="eastAsia" w:ascii="仿宋" w:hAnsi="仿宋" w:eastAsia="仿宋" w:cs="仿宋"/>
          <w:color w:val="auto"/>
          <w:sz w:val="30"/>
          <w:szCs w:val="30"/>
          <w:lang w:eastAsia="zh-CN"/>
        </w:rPr>
        <w:t>万元、日常公用支出</w:t>
      </w:r>
      <w:r>
        <w:rPr>
          <w:rFonts w:hint="eastAsia" w:ascii="仿宋" w:hAnsi="仿宋" w:eastAsia="仿宋" w:cs="仿宋"/>
          <w:color w:val="auto"/>
          <w:sz w:val="30"/>
          <w:szCs w:val="30"/>
          <w:lang w:val="en-US" w:eastAsia="zh-CN"/>
        </w:rPr>
        <w:t>35.56</w:t>
      </w:r>
      <w:r>
        <w:rPr>
          <w:rFonts w:hint="eastAsia" w:ascii="仿宋" w:hAnsi="仿宋" w:eastAsia="仿宋" w:cs="仿宋"/>
          <w:color w:val="auto"/>
          <w:sz w:val="30"/>
          <w:szCs w:val="30"/>
          <w:lang w:eastAsia="zh-CN"/>
        </w:rPr>
        <w:t>万元；项目支出</w:t>
      </w:r>
      <w:r>
        <w:rPr>
          <w:rFonts w:hint="eastAsia" w:ascii="仿宋" w:hAnsi="仿宋" w:eastAsia="仿宋" w:cs="仿宋"/>
          <w:color w:val="auto"/>
          <w:sz w:val="32"/>
          <w:szCs w:val="32"/>
          <w:lang w:val="en-US" w:eastAsia="zh-CN"/>
        </w:rPr>
        <w:t>10168</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eastAsia="zh-CN"/>
        </w:rPr>
        <w:t>少</w:t>
      </w:r>
      <w:r>
        <w:rPr>
          <w:rFonts w:hint="eastAsia" w:ascii="仿宋" w:hAnsi="仿宋" w:eastAsia="仿宋" w:cs="仿宋"/>
          <w:color w:val="auto"/>
          <w:sz w:val="32"/>
          <w:szCs w:val="32"/>
          <w:lang w:val="en-US" w:eastAsia="zh-CN"/>
        </w:rPr>
        <w:t>1147.55</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其中：其他运转类</w:t>
      </w:r>
      <w:r>
        <w:rPr>
          <w:rFonts w:hint="eastAsia" w:ascii="仿宋" w:hAnsi="仿宋" w:eastAsia="仿宋" w:cs="仿宋"/>
          <w:color w:val="auto"/>
          <w:sz w:val="30"/>
          <w:szCs w:val="30"/>
          <w:lang w:val="en-US" w:eastAsia="zh-CN"/>
        </w:rPr>
        <w:t>668万元、特定目标类9500万元</w:t>
      </w:r>
      <w:r>
        <w:rPr>
          <w:rFonts w:hint="eastAsia" w:ascii="仿宋" w:hAnsi="仿宋" w:eastAsia="仿宋" w:cs="仿宋"/>
          <w:color w:val="auto"/>
          <w:sz w:val="30"/>
          <w:szCs w:val="30"/>
          <w:lang w:eastAsia="zh-CN"/>
        </w:rPr>
        <w:t>。</w:t>
      </w:r>
    </w:p>
    <w:p w14:paraId="07F7304D">
      <w:pPr>
        <w:spacing w:line="560" w:lineRule="exact"/>
        <w:ind w:firstLine="600" w:firstLineChars="200"/>
        <w:rPr>
          <w:rFonts w:hint="default" w:ascii="仿宋" w:hAnsi="仿宋" w:eastAsia="仿宋" w:cs="仿宋"/>
          <w:color w:val="auto"/>
          <w:sz w:val="24"/>
          <w:szCs w:val="24"/>
          <w:lang w:val="en-US" w:eastAsia="zh-CN"/>
        </w:rPr>
      </w:pPr>
      <w:r>
        <w:rPr>
          <w:rFonts w:hint="eastAsia" w:ascii="仿宋" w:hAnsi="仿宋" w:eastAsia="仿宋" w:cs="仿宋"/>
          <w:color w:val="auto"/>
          <w:sz w:val="30"/>
          <w:szCs w:val="30"/>
          <w:lang w:eastAsia="zh-CN"/>
        </w:rPr>
        <w:t>按支出功能分类科目划分：</w:t>
      </w:r>
      <w:r>
        <w:rPr>
          <w:rFonts w:hint="eastAsia" w:ascii="仿宋" w:hAnsi="仿宋" w:eastAsia="仿宋" w:cs="仿宋"/>
          <w:color w:val="auto"/>
          <w:sz w:val="32"/>
          <w:szCs w:val="32"/>
          <w:lang w:eastAsia="zh-CN"/>
        </w:rPr>
        <w:t>一般公共服务</w:t>
      </w:r>
      <w:r>
        <w:rPr>
          <w:rFonts w:hint="eastAsia" w:ascii="仿宋" w:hAnsi="仿宋" w:eastAsia="仿宋" w:cs="仿宋"/>
          <w:color w:val="auto"/>
          <w:sz w:val="30"/>
          <w:szCs w:val="30"/>
          <w:lang w:eastAsia="zh-CN"/>
        </w:rPr>
        <w:t>支出</w:t>
      </w:r>
      <w:r>
        <w:rPr>
          <w:rFonts w:hint="eastAsia" w:ascii="仿宋" w:hAnsi="仿宋" w:eastAsia="仿宋" w:cs="仿宋"/>
          <w:color w:val="auto"/>
          <w:sz w:val="32"/>
          <w:szCs w:val="32"/>
          <w:lang w:val="en-US" w:eastAsia="zh-CN"/>
        </w:rPr>
        <w:t>10513.54</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6525.96</w:t>
      </w:r>
      <w:r>
        <w:rPr>
          <w:rFonts w:hint="eastAsia" w:ascii="仿宋" w:hAnsi="仿宋" w:eastAsia="仿宋" w:cs="仿宋"/>
          <w:color w:val="auto"/>
          <w:sz w:val="32"/>
          <w:szCs w:val="32"/>
          <w:lang w:eastAsia="zh-CN"/>
        </w:rPr>
        <w:t>万元，商品服务业等支出</w:t>
      </w:r>
      <w:r>
        <w:rPr>
          <w:rFonts w:hint="eastAsia" w:ascii="仿宋" w:hAnsi="仿宋" w:eastAsia="仿宋" w:cs="仿宋"/>
          <w:color w:val="auto"/>
          <w:sz w:val="32"/>
          <w:szCs w:val="32"/>
          <w:lang w:val="en-US" w:eastAsia="zh-CN"/>
        </w:rPr>
        <w:t>0万元，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6877.02</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社会保障和就业支出</w:t>
      </w:r>
      <w:r>
        <w:rPr>
          <w:rFonts w:hint="eastAsia" w:ascii="仿宋" w:hAnsi="仿宋" w:eastAsia="仿宋" w:cs="仿宋"/>
          <w:color w:val="auto"/>
          <w:sz w:val="30"/>
          <w:szCs w:val="30"/>
          <w:lang w:val="en-US" w:eastAsia="zh-CN"/>
        </w:rPr>
        <w:t>45.89万元，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eastAsia="zh-CN"/>
        </w:rPr>
        <w:t>少</w:t>
      </w:r>
      <w:r>
        <w:rPr>
          <w:rFonts w:hint="eastAsia" w:ascii="仿宋" w:hAnsi="仿宋" w:eastAsia="仿宋" w:cs="仿宋"/>
          <w:color w:val="auto"/>
          <w:sz w:val="32"/>
          <w:szCs w:val="32"/>
          <w:lang w:val="en-US" w:eastAsia="zh-CN"/>
        </w:rPr>
        <w:t>5.03</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val="en-US" w:eastAsia="zh-CN"/>
        </w:rPr>
        <w:t>卫生健康支出41.09万元，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5.02</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val="en-US" w:eastAsia="zh-CN"/>
        </w:rPr>
        <w:t>住房保障支出36.6万元，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2.9</w:t>
      </w:r>
      <w:r>
        <w:rPr>
          <w:rFonts w:hint="eastAsia" w:ascii="仿宋" w:hAnsi="仿宋" w:eastAsia="仿宋" w:cs="仿宋"/>
          <w:color w:val="auto"/>
          <w:sz w:val="32"/>
          <w:szCs w:val="32"/>
          <w:lang w:eastAsia="zh-CN"/>
        </w:rPr>
        <w:t>万元。</w:t>
      </w:r>
    </w:p>
    <w:p w14:paraId="07E09802">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14:paraId="59A96762">
      <w:pPr>
        <w:pStyle w:val="3"/>
        <w:ind w:firstLine="640" w:firstLineChars="200"/>
        <w:rPr>
          <w:rFonts w:hint="eastAsia" w:ascii="仿宋" w:hAnsi="仿宋" w:eastAsia="仿宋" w:cs="仿宋"/>
          <w:color w:val="auto"/>
          <w:sz w:val="30"/>
          <w:szCs w:val="30"/>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w:t>
      </w:r>
      <w:r>
        <w:rPr>
          <w:rFonts w:hint="eastAsia" w:ascii="仿宋" w:hAnsi="仿宋" w:eastAsia="仿宋" w:cs="仿宋"/>
          <w:color w:val="auto"/>
          <w:sz w:val="30"/>
          <w:szCs w:val="30"/>
        </w:rPr>
        <w:t>财政拨款支出预算</w:t>
      </w:r>
      <w:r>
        <w:rPr>
          <w:rFonts w:hint="eastAsia" w:ascii="仿宋" w:hAnsi="仿宋" w:eastAsia="仿宋" w:cs="仿宋"/>
          <w:color w:val="auto"/>
          <w:sz w:val="32"/>
          <w:szCs w:val="32"/>
          <w:lang w:val="en-US" w:eastAsia="zh-CN"/>
        </w:rPr>
        <w:t>9969.62</w:t>
      </w:r>
      <w:r>
        <w:rPr>
          <w:rFonts w:hint="eastAsia" w:ascii="仿宋" w:hAnsi="仿宋" w:eastAsia="仿宋" w:cs="仿宋"/>
          <w:color w:val="auto"/>
          <w:sz w:val="30"/>
          <w:szCs w:val="30"/>
        </w:rPr>
        <w:t>万元，占</w:t>
      </w:r>
      <w:r>
        <w:rPr>
          <w:rFonts w:hint="eastAsia" w:ascii="仿宋" w:hAnsi="仿宋" w:eastAsia="仿宋" w:cs="仿宋"/>
          <w:color w:val="auto"/>
          <w:sz w:val="30"/>
          <w:szCs w:val="30"/>
          <w:lang w:eastAsia="zh-CN"/>
        </w:rPr>
        <w:t>本年</w:t>
      </w:r>
      <w:r>
        <w:rPr>
          <w:rFonts w:hint="eastAsia" w:ascii="仿宋" w:hAnsi="仿宋" w:eastAsia="仿宋" w:cs="仿宋"/>
          <w:color w:val="auto"/>
          <w:sz w:val="30"/>
          <w:szCs w:val="30"/>
        </w:rPr>
        <w:t>支出预算额的</w:t>
      </w:r>
      <w:r>
        <w:rPr>
          <w:rFonts w:hint="eastAsia" w:ascii="仿宋" w:hAnsi="仿宋" w:eastAsia="仿宋" w:cs="仿宋"/>
          <w:color w:val="auto"/>
          <w:sz w:val="32"/>
          <w:szCs w:val="32"/>
          <w:lang w:val="en-US" w:eastAsia="zh-CN"/>
        </w:rPr>
        <w:t>94.8</w:t>
      </w:r>
      <w:r>
        <w:rPr>
          <w:rFonts w:hint="eastAsia" w:ascii="仿宋" w:hAnsi="仿宋" w:eastAsia="仿宋" w:cs="仿宋"/>
          <w:color w:val="auto"/>
          <w:sz w:val="30"/>
          <w:szCs w:val="30"/>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4539.63</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eastAsia="zh-CN"/>
        </w:rPr>
        <w:t>长</w:t>
      </w:r>
      <w:r>
        <w:rPr>
          <w:rFonts w:hint="eastAsia" w:ascii="仿宋" w:hAnsi="仿宋" w:eastAsia="仿宋" w:cs="仿宋"/>
          <w:color w:val="auto"/>
          <w:sz w:val="32"/>
          <w:szCs w:val="32"/>
          <w:lang w:val="en-US" w:eastAsia="zh-CN"/>
        </w:rPr>
        <w:t>83.6%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olor w:val="auto"/>
          <w:sz w:val="30"/>
          <w:szCs w:val="30"/>
        </w:rPr>
        <w:t>人员、经费增长，人员工资晋级晋档</w:t>
      </w:r>
      <w:r>
        <w:rPr>
          <w:rFonts w:hint="eastAsia" w:ascii="仿宋" w:hAnsi="仿宋" w:eastAsia="仿宋"/>
          <w:color w:val="auto"/>
          <w:sz w:val="30"/>
          <w:szCs w:val="30"/>
          <w:lang w:eastAsia="zh-CN"/>
        </w:rPr>
        <w:t>（金额小幅度增长）；</w:t>
      </w:r>
      <w:r>
        <w:rPr>
          <w:rFonts w:hint="eastAsia" w:ascii="仿宋" w:hAnsi="仿宋" w:eastAsia="仿宋" w:cs="仿宋"/>
          <w:color w:val="auto"/>
          <w:sz w:val="32"/>
          <w:szCs w:val="32"/>
          <w:lang w:val="en-US" w:eastAsia="zh-CN"/>
        </w:rPr>
        <w:t>项目资金的增加，援企稳岗预算增加；2022年援企稳岗预算总数6000万，有3000万做入了其他收入资金，所以导致2022年财政拨款支出比2023年少3000万</w:t>
      </w:r>
      <w:r>
        <w:rPr>
          <w:rFonts w:hint="eastAsia" w:ascii="仿宋" w:hAnsi="仿宋" w:eastAsia="仿宋" w:cs="仿宋"/>
          <w:color w:val="auto"/>
          <w:sz w:val="32"/>
          <w:szCs w:val="32"/>
          <w:lang w:eastAsia="zh-CN"/>
        </w:rPr>
        <w:t>。</w:t>
      </w:r>
      <w:r>
        <w:rPr>
          <w:rFonts w:hint="eastAsia" w:ascii="仿宋" w:hAnsi="仿宋" w:eastAsia="仿宋" w:cs="仿宋"/>
          <w:color w:val="auto"/>
          <w:sz w:val="30"/>
          <w:szCs w:val="30"/>
        </w:rPr>
        <w:t>具体为：</w:t>
      </w:r>
    </w:p>
    <w:p w14:paraId="6281FF8E">
      <w:pPr>
        <w:ind w:firstLine="600" w:firstLineChars="200"/>
        <w:rPr>
          <w:rFonts w:hint="eastAsia" w:ascii="仿宋" w:hAnsi="仿宋" w:eastAsia="仿宋" w:cs="仿宋"/>
          <w:color w:val="auto"/>
          <w:sz w:val="24"/>
          <w:szCs w:val="24"/>
        </w:rPr>
      </w:pPr>
      <w:r>
        <w:rPr>
          <w:rFonts w:hint="eastAsia" w:ascii="仿宋" w:hAnsi="仿宋" w:eastAsia="仿宋" w:cs="仿宋"/>
          <w:color w:val="auto"/>
          <w:sz w:val="30"/>
          <w:szCs w:val="30"/>
          <w:lang w:eastAsia="zh-CN"/>
        </w:rPr>
        <w:t>按支出经济分类科目划分：基本支出</w:t>
      </w:r>
      <w:r>
        <w:rPr>
          <w:rFonts w:hint="eastAsia" w:ascii="仿宋" w:hAnsi="仿宋" w:eastAsia="仿宋" w:cs="仿宋"/>
          <w:color w:val="auto"/>
          <w:sz w:val="32"/>
          <w:szCs w:val="32"/>
          <w:lang w:val="en-US" w:eastAsia="zh-CN"/>
        </w:rPr>
        <w:t>401.62</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22.04</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w:t>
      </w:r>
      <w:r>
        <w:rPr>
          <w:rFonts w:hint="eastAsia" w:ascii="仿宋" w:hAnsi="仿宋" w:eastAsia="仿宋"/>
          <w:color w:val="auto"/>
          <w:sz w:val="30"/>
          <w:szCs w:val="30"/>
        </w:rPr>
        <w:t>工资福利支出</w:t>
      </w:r>
      <w:r>
        <w:rPr>
          <w:rFonts w:hint="eastAsia" w:ascii="仿宋" w:hAnsi="仿宋" w:eastAsia="仿宋"/>
          <w:color w:val="auto"/>
          <w:sz w:val="30"/>
          <w:szCs w:val="30"/>
          <w:lang w:val="en-US" w:eastAsia="zh-CN"/>
        </w:rPr>
        <w:t>347.95万元，商品和服务支出35.56万元，对个人和家庭的补助18.11万元；</w:t>
      </w:r>
      <w:r>
        <w:rPr>
          <w:rFonts w:hint="eastAsia" w:ascii="仿宋" w:hAnsi="仿宋" w:eastAsia="仿宋" w:cs="仿宋"/>
          <w:color w:val="auto"/>
          <w:sz w:val="30"/>
          <w:szCs w:val="30"/>
          <w:lang w:eastAsia="zh-CN"/>
        </w:rPr>
        <w:t>项目支出</w:t>
      </w:r>
      <w:r>
        <w:rPr>
          <w:rFonts w:hint="eastAsia" w:ascii="仿宋" w:hAnsi="仿宋" w:eastAsia="仿宋" w:cs="仿宋"/>
          <w:color w:val="auto"/>
          <w:sz w:val="32"/>
          <w:szCs w:val="32"/>
          <w:lang w:val="en-US" w:eastAsia="zh-CN"/>
        </w:rPr>
        <w:t>9568</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eastAsia="zh-CN"/>
        </w:rPr>
        <w:t>少</w:t>
      </w:r>
      <w:r>
        <w:rPr>
          <w:rFonts w:hint="eastAsia" w:ascii="仿宋" w:hAnsi="仿宋" w:eastAsia="仿宋" w:cs="仿宋"/>
          <w:color w:val="auto"/>
          <w:sz w:val="32"/>
          <w:szCs w:val="32"/>
          <w:lang w:val="en-US" w:eastAsia="zh-CN"/>
        </w:rPr>
        <w:t>1747.55</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w:t>
      </w:r>
      <w:r>
        <w:rPr>
          <w:rFonts w:hint="eastAsia" w:ascii="仿宋" w:hAnsi="仿宋" w:eastAsia="仿宋"/>
          <w:color w:val="auto"/>
          <w:sz w:val="30"/>
          <w:szCs w:val="30"/>
          <w:lang w:val="en-US" w:eastAsia="zh-CN"/>
        </w:rPr>
        <w:t>商品和服务支出9556万元，资本性支出12万元</w:t>
      </w:r>
      <w:r>
        <w:rPr>
          <w:rFonts w:hint="eastAsia" w:ascii="仿宋" w:hAnsi="仿宋" w:eastAsia="仿宋" w:cs="仿宋"/>
          <w:color w:val="auto"/>
          <w:sz w:val="30"/>
          <w:szCs w:val="30"/>
          <w:lang w:eastAsia="zh-CN"/>
        </w:rPr>
        <w:t>。</w:t>
      </w:r>
    </w:p>
    <w:p w14:paraId="041DF3A2">
      <w:pPr>
        <w:spacing w:line="520" w:lineRule="exact"/>
        <w:ind w:firstLine="600" w:firstLineChars="200"/>
        <w:rPr>
          <w:rFonts w:ascii="仿宋" w:hAnsi="仿宋" w:eastAsia="仿宋"/>
          <w:color w:val="auto"/>
          <w:sz w:val="30"/>
          <w:szCs w:val="30"/>
        </w:rPr>
      </w:pPr>
      <w:r>
        <w:rPr>
          <w:rFonts w:hint="eastAsia" w:ascii="仿宋" w:hAnsi="仿宋" w:eastAsia="仿宋" w:cs="仿宋"/>
          <w:color w:val="auto"/>
          <w:sz w:val="30"/>
          <w:szCs w:val="30"/>
          <w:lang w:eastAsia="zh-CN"/>
        </w:rPr>
        <w:t>按支出功能分类科目划分：一般公共服务支出</w:t>
      </w:r>
      <w:r>
        <w:rPr>
          <w:rFonts w:hint="eastAsia" w:ascii="仿宋" w:hAnsi="仿宋" w:eastAsia="仿宋" w:cs="仿宋"/>
          <w:color w:val="auto"/>
          <w:sz w:val="30"/>
          <w:szCs w:val="30"/>
          <w:lang w:val="en-US" w:eastAsia="zh-CN"/>
        </w:rPr>
        <w:t>9846.04，</w:t>
      </w:r>
      <w:r>
        <w:rPr>
          <w:rFonts w:hint="eastAsia" w:ascii="仿宋" w:hAnsi="仿宋" w:eastAsia="仿宋"/>
          <w:color w:val="auto"/>
          <w:sz w:val="30"/>
          <w:szCs w:val="30"/>
        </w:rPr>
        <w:t>较上年预算安排</w:t>
      </w:r>
      <w:r>
        <w:rPr>
          <w:rFonts w:hint="eastAsia" w:ascii="仿宋" w:hAnsi="仿宋" w:eastAsia="仿宋"/>
          <w:color w:val="auto"/>
          <w:sz w:val="30"/>
          <w:szCs w:val="30"/>
          <w:lang w:eastAsia="zh-CN"/>
        </w:rPr>
        <w:t>增加</w:t>
      </w:r>
      <w:r>
        <w:rPr>
          <w:rFonts w:hint="eastAsia" w:ascii="仿宋" w:hAnsi="仿宋" w:eastAsia="仿宋"/>
          <w:color w:val="auto"/>
          <w:sz w:val="30"/>
          <w:szCs w:val="30"/>
          <w:lang w:val="en-US" w:eastAsia="zh-CN"/>
        </w:rPr>
        <w:t>7531.35</w:t>
      </w:r>
      <w:r>
        <w:rPr>
          <w:rFonts w:hint="eastAsia" w:ascii="仿宋" w:hAnsi="仿宋" w:eastAsia="仿宋"/>
          <w:color w:val="auto"/>
          <w:sz w:val="30"/>
          <w:szCs w:val="30"/>
        </w:rPr>
        <w:t>万元</w:t>
      </w:r>
      <w:r>
        <w:rPr>
          <w:rFonts w:hint="eastAsia" w:ascii="仿宋" w:hAnsi="仿宋" w:eastAsia="仿宋"/>
          <w:color w:val="auto"/>
          <w:sz w:val="30"/>
          <w:szCs w:val="30"/>
          <w:lang w:eastAsia="zh-CN"/>
        </w:rPr>
        <w:t>；</w:t>
      </w:r>
      <w:r>
        <w:rPr>
          <w:rFonts w:hint="eastAsia" w:ascii="仿宋" w:hAnsi="仿宋" w:eastAsia="仿宋" w:cs="仿宋"/>
          <w:color w:val="auto"/>
          <w:sz w:val="32"/>
          <w:szCs w:val="32"/>
          <w:lang w:eastAsia="zh-CN"/>
        </w:rPr>
        <w:t>商品服务业等支出</w:t>
      </w:r>
      <w:r>
        <w:rPr>
          <w:rFonts w:hint="eastAsia" w:ascii="仿宋" w:hAnsi="仿宋" w:eastAsia="仿宋" w:cs="仿宋"/>
          <w:color w:val="auto"/>
          <w:sz w:val="32"/>
          <w:szCs w:val="32"/>
          <w:lang w:val="en-US" w:eastAsia="zh-CN"/>
        </w:rPr>
        <w:t>0万元，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3000</w:t>
      </w:r>
      <w:r>
        <w:rPr>
          <w:rFonts w:hint="eastAsia" w:ascii="仿宋" w:hAnsi="仿宋" w:eastAsia="仿宋" w:cs="仿宋"/>
          <w:color w:val="auto"/>
          <w:sz w:val="32"/>
          <w:szCs w:val="32"/>
          <w:lang w:eastAsia="zh-CN"/>
        </w:rPr>
        <w:t>万元；</w:t>
      </w:r>
      <w:bookmarkStart w:id="0" w:name="_GoBack"/>
      <w:bookmarkEnd w:id="0"/>
      <w:r>
        <w:rPr>
          <w:rFonts w:hint="eastAsia" w:ascii="仿宋" w:hAnsi="仿宋" w:eastAsia="仿宋"/>
          <w:color w:val="auto"/>
          <w:sz w:val="30"/>
          <w:szCs w:val="30"/>
          <w:lang w:eastAsia="zh-CN"/>
        </w:rPr>
        <w:t>社会保障和就业</w:t>
      </w:r>
      <w:r>
        <w:rPr>
          <w:rFonts w:hint="eastAsia" w:ascii="仿宋" w:hAnsi="仿宋" w:eastAsia="仿宋"/>
          <w:color w:val="auto"/>
          <w:sz w:val="30"/>
          <w:szCs w:val="30"/>
        </w:rPr>
        <w:t>支出</w:t>
      </w:r>
      <w:r>
        <w:rPr>
          <w:rFonts w:hint="eastAsia" w:ascii="仿宋" w:hAnsi="仿宋" w:eastAsia="仿宋"/>
          <w:color w:val="auto"/>
          <w:sz w:val="30"/>
          <w:szCs w:val="30"/>
          <w:lang w:val="en-US" w:eastAsia="zh-CN"/>
        </w:rPr>
        <w:t>45.89</w:t>
      </w:r>
      <w:r>
        <w:rPr>
          <w:rFonts w:hint="eastAsia" w:ascii="仿宋" w:hAnsi="仿宋" w:eastAsia="仿宋"/>
          <w:color w:val="auto"/>
          <w:sz w:val="30"/>
          <w:szCs w:val="30"/>
        </w:rPr>
        <w:t>万元，较上年预算安排</w:t>
      </w:r>
      <w:r>
        <w:rPr>
          <w:rFonts w:hint="eastAsia" w:ascii="仿宋" w:hAnsi="仿宋" w:eastAsia="仿宋"/>
          <w:color w:val="auto"/>
          <w:sz w:val="30"/>
          <w:szCs w:val="30"/>
          <w:lang w:eastAsia="zh-CN"/>
        </w:rPr>
        <w:t>增加</w:t>
      </w:r>
      <w:r>
        <w:rPr>
          <w:rFonts w:hint="eastAsia" w:ascii="仿宋" w:hAnsi="仿宋" w:eastAsia="仿宋"/>
          <w:color w:val="auto"/>
          <w:sz w:val="30"/>
          <w:szCs w:val="30"/>
          <w:lang w:val="en-US" w:eastAsia="zh-CN"/>
        </w:rPr>
        <w:t>0.36</w:t>
      </w:r>
      <w:r>
        <w:rPr>
          <w:rFonts w:hint="eastAsia" w:ascii="仿宋" w:hAnsi="仿宋" w:eastAsia="仿宋"/>
          <w:color w:val="auto"/>
          <w:sz w:val="30"/>
          <w:szCs w:val="30"/>
        </w:rPr>
        <w:t>万元；卫生健康支出</w:t>
      </w:r>
      <w:r>
        <w:rPr>
          <w:rFonts w:hint="eastAsia" w:ascii="仿宋" w:hAnsi="仿宋" w:eastAsia="仿宋"/>
          <w:color w:val="auto"/>
          <w:sz w:val="30"/>
          <w:szCs w:val="30"/>
          <w:lang w:val="en-US" w:eastAsia="zh-CN"/>
        </w:rPr>
        <w:t>41.09</w:t>
      </w:r>
      <w:r>
        <w:rPr>
          <w:rFonts w:hint="eastAsia" w:ascii="仿宋" w:hAnsi="仿宋" w:eastAsia="仿宋"/>
          <w:color w:val="auto"/>
          <w:sz w:val="30"/>
          <w:szCs w:val="30"/>
        </w:rPr>
        <w:t>万元，较上年预算安排增加</w:t>
      </w:r>
      <w:r>
        <w:rPr>
          <w:rFonts w:hint="eastAsia" w:ascii="仿宋" w:hAnsi="仿宋" w:eastAsia="仿宋"/>
          <w:color w:val="auto"/>
          <w:sz w:val="30"/>
          <w:szCs w:val="30"/>
          <w:lang w:val="en-US" w:eastAsia="zh-CN"/>
        </w:rPr>
        <w:t>5.02</w:t>
      </w:r>
      <w:r>
        <w:rPr>
          <w:rFonts w:hint="eastAsia" w:ascii="仿宋" w:hAnsi="仿宋" w:eastAsia="仿宋"/>
          <w:color w:val="auto"/>
          <w:sz w:val="30"/>
          <w:szCs w:val="30"/>
        </w:rPr>
        <w:t>万元；住房保障支出</w:t>
      </w:r>
      <w:r>
        <w:rPr>
          <w:rFonts w:hint="eastAsia" w:ascii="仿宋" w:hAnsi="仿宋" w:eastAsia="仿宋"/>
          <w:color w:val="auto"/>
          <w:sz w:val="30"/>
          <w:szCs w:val="30"/>
          <w:lang w:val="en-US" w:eastAsia="zh-CN"/>
        </w:rPr>
        <w:t>36.6</w:t>
      </w:r>
      <w:r>
        <w:rPr>
          <w:rFonts w:hint="eastAsia" w:ascii="仿宋" w:hAnsi="仿宋" w:eastAsia="仿宋"/>
          <w:color w:val="auto"/>
          <w:sz w:val="30"/>
          <w:szCs w:val="30"/>
        </w:rPr>
        <w:t>万元，较上年预算安排增加</w:t>
      </w:r>
      <w:r>
        <w:rPr>
          <w:rFonts w:hint="eastAsia" w:ascii="仿宋" w:hAnsi="仿宋" w:eastAsia="仿宋"/>
          <w:color w:val="auto"/>
          <w:sz w:val="30"/>
          <w:szCs w:val="30"/>
          <w:lang w:val="en-US" w:eastAsia="zh-CN"/>
        </w:rPr>
        <w:t>2.9</w:t>
      </w:r>
      <w:r>
        <w:rPr>
          <w:rFonts w:hint="eastAsia" w:ascii="仿宋" w:hAnsi="仿宋" w:eastAsia="仿宋"/>
          <w:color w:val="auto"/>
          <w:sz w:val="30"/>
          <w:szCs w:val="30"/>
        </w:rPr>
        <w:t>万元。</w:t>
      </w:r>
    </w:p>
    <w:p w14:paraId="72378046">
      <w:pPr>
        <w:spacing w:line="560" w:lineRule="exact"/>
        <w:ind w:firstLine="480" w:firstLineChars="200"/>
        <w:rPr>
          <w:rFonts w:hint="eastAsia" w:ascii="仿宋" w:hAnsi="仿宋" w:eastAsia="仿宋" w:cs="仿宋"/>
          <w:color w:val="auto"/>
          <w:sz w:val="24"/>
          <w:szCs w:val="24"/>
          <w:lang w:eastAsia="zh-CN"/>
        </w:rPr>
      </w:pPr>
    </w:p>
    <w:p w14:paraId="14AFFD87">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14:paraId="7211BCCE">
      <w:pPr>
        <w:spacing w:line="560" w:lineRule="exact"/>
        <w:ind w:firstLine="640" w:firstLineChars="200"/>
        <w:rPr>
          <w:rFonts w:hint="eastAsia" w:ascii="仿宋" w:hAnsi="仿宋" w:eastAsia="仿宋" w:cs="仿宋"/>
          <w:color w:val="auto"/>
          <w:sz w:val="24"/>
          <w:szCs w:val="24"/>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年部门政府性基金支出总额</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较上年预算安排增（减）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w:t>
      </w:r>
    </w:p>
    <w:p w14:paraId="7F5B5DA5">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（五）机关运行经费等重要事项的说明</w:t>
      </w:r>
    </w:p>
    <w:p w14:paraId="33EEF6B1">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年部门机关运行费预算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35.56</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年预算增加</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1.78</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万元，增长</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5.26</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p>
    <w:p w14:paraId="3EF37E90">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14:paraId="0F06110D">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（六）政府采购情况</w:t>
      </w:r>
    </w:p>
    <w:p w14:paraId="0B4BD7C3">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年部门所属各单位政府采购总额</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12</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万元，其中：政府采购货物预算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12</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万元、政府采购工程预算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w:t>
      </w:r>
    </w:p>
    <w:p w14:paraId="71291BEE">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（七）国有资产占有使用情况</w:t>
      </w:r>
    </w:p>
    <w:p w14:paraId="2457B61C">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截至</w:t>
      </w:r>
      <w:r>
        <w:rPr>
          <w:rFonts w:hint="eastAsia" w:ascii="仿宋" w:hAnsi="仿宋" w:eastAsia="仿宋" w:cs="仿宋"/>
          <w:b w:val="0"/>
          <w:bCs w:val="0"/>
          <w:color w:val="auto"/>
          <w:sz w:val="32"/>
          <w:szCs w:val="32"/>
          <w:lang w:val="en-US" w:eastAsia="zh-CN"/>
        </w:rPr>
        <w:t>2022年</w:t>
      </w:r>
      <w:r>
        <w:rPr>
          <w:rFonts w:hint="eastAsia" w:ascii="仿宋" w:hAnsi="仿宋" w:eastAsia="仿宋" w:cs="仿宋"/>
          <w:color w:val="auto"/>
          <w:sz w:val="32"/>
          <w:szCs w:val="32"/>
        </w:rPr>
        <w:t>12月31日部门共有车辆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一般公务用车</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w:t>
      </w:r>
    </w:p>
    <w:p w14:paraId="28AA1254">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lang w:val="en-US" w:eastAsia="zh-CN"/>
        </w:rPr>
        <w:t>2023年本</w:t>
      </w:r>
      <w:r>
        <w:rPr>
          <w:rFonts w:hint="eastAsia" w:ascii="仿宋" w:hAnsi="仿宋" w:eastAsia="仿宋" w:cs="仿宋"/>
          <w:color w:val="auto"/>
          <w:sz w:val="32"/>
          <w:szCs w:val="32"/>
        </w:rPr>
        <w:t>部门预算安排购置车辆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辆，安排购置单位价值200万元以上大型设备具体为：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eastAsia="zh-CN"/>
        </w:rPr>
        <w:t>无</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p>
    <w:p w14:paraId="2BCCC37A">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14:paraId="7DA9AB36">
      <w:pPr>
        <w:spacing w:line="560" w:lineRule="exact"/>
        <w:ind w:left="634" w:leftChars="284" w:hanging="38" w:hangingChars="12"/>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u w:val="single"/>
          <w:lang w:val="en-US" w:eastAsia="zh-CN"/>
        </w:rPr>
        <w:t>8</w:t>
      </w:r>
      <w:r>
        <w:rPr>
          <w:rFonts w:hint="eastAsia" w:ascii="仿宋" w:hAnsi="仿宋" w:eastAsia="仿宋" w:cs="仿宋"/>
          <w:color w:val="auto"/>
          <w:sz w:val="32"/>
          <w:szCs w:val="32"/>
        </w:rPr>
        <w:t>个，涉及资金</w:t>
      </w:r>
      <w:r>
        <w:rPr>
          <w:rFonts w:hint="eastAsia" w:ascii="仿宋" w:hAnsi="仿宋" w:eastAsia="仿宋" w:cs="仿宋"/>
          <w:color w:val="auto"/>
          <w:sz w:val="32"/>
          <w:szCs w:val="32"/>
          <w:u w:val="single"/>
          <w:lang w:val="en-US" w:eastAsia="zh-CN"/>
        </w:rPr>
        <w:t>15568</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p>
    <w:p w14:paraId="1E31A4F6">
      <w:pPr>
        <w:spacing w:line="560" w:lineRule="exact"/>
        <w:ind w:left="634" w:leftChars="284" w:hanging="38" w:hangingChars="12"/>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其中：</w:t>
      </w:r>
    </w:p>
    <w:p w14:paraId="2D7FB7C5">
      <w:pPr>
        <w:spacing w:line="560" w:lineRule="exact"/>
        <w:ind w:left="634" w:leftChars="284" w:hanging="38" w:hangingChars="12"/>
        <w:rPr>
          <w:rFonts w:hint="eastAsia" w:ascii="仿宋" w:hAnsi="仿宋" w:eastAsia="仿宋" w:cs="仿宋"/>
          <w:color w:val="auto"/>
          <w:sz w:val="44"/>
          <w:szCs w:val="44"/>
          <w:lang w:eastAsia="zh-CN"/>
        </w:rPr>
      </w:pPr>
      <w:r>
        <w:rPr>
          <w:rFonts w:hint="eastAsia" w:ascii="仿宋" w:hAnsi="仿宋" w:eastAsia="仿宋" w:cs="仿宋"/>
          <w:color w:val="auto"/>
          <w:sz w:val="32"/>
          <w:szCs w:val="32"/>
        </w:rPr>
        <w:t>项目名称：</w:t>
      </w:r>
      <w:r>
        <w:rPr>
          <w:rFonts w:hint="eastAsia" w:ascii="宋体" w:eastAsia="宋体"/>
          <w:color w:val="auto"/>
          <w:sz w:val="28"/>
          <w:szCs w:val="24"/>
        </w:rPr>
        <w:t>招商引资工作经费</w:t>
      </w:r>
    </w:p>
    <w:p w14:paraId="5A40772E">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项目概述</w:t>
      </w:r>
      <w:r>
        <w:rPr>
          <w:rFonts w:hint="eastAsia" w:ascii="仿宋" w:hAnsi="仿宋" w:eastAsia="仿宋" w:cs="仿宋"/>
          <w:color w:val="auto"/>
          <w:sz w:val="32"/>
          <w:szCs w:val="32"/>
          <w:lang w:eastAsia="zh-CN"/>
        </w:rPr>
        <w:t>：招商引资工作经费</w:t>
      </w:r>
    </w:p>
    <w:p w14:paraId="0EA347D2">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2.立项依据</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2023年招商引资工作实施方案》</w:t>
      </w:r>
    </w:p>
    <w:p w14:paraId="684F404C">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3.实施主体</w:t>
      </w:r>
      <w:r>
        <w:rPr>
          <w:rFonts w:hint="eastAsia" w:ascii="仿宋" w:hAnsi="仿宋" w:eastAsia="仿宋" w:cs="仿宋"/>
          <w:color w:val="auto"/>
          <w:sz w:val="32"/>
          <w:szCs w:val="32"/>
          <w:lang w:eastAsia="zh-CN"/>
        </w:rPr>
        <w:t>：兴国县商务局</w:t>
      </w:r>
    </w:p>
    <w:p w14:paraId="0E83D88C">
      <w:pPr>
        <w:spacing w:line="520" w:lineRule="exact"/>
        <w:ind w:firstLine="604" w:firstLineChars="189"/>
        <w:rPr>
          <w:rFonts w:ascii="仿宋" w:hAnsi="仿宋" w:eastAsia="仿宋" w:cs="仿宋"/>
          <w:color w:val="auto"/>
          <w:sz w:val="30"/>
          <w:szCs w:val="30"/>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实施周期</w:t>
      </w:r>
      <w:r>
        <w:rPr>
          <w:rFonts w:hint="eastAsia" w:ascii="仿宋" w:hAnsi="仿宋" w:eastAsia="仿宋" w:cs="仿宋"/>
          <w:color w:val="auto"/>
          <w:sz w:val="32"/>
          <w:szCs w:val="32"/>
          <w:lang w:eastAsia="zh-CN"/>
        </w:rPr>
        <w:t>：</w:t>
      </w:r>
      <w:r>
        <w:rPr>
          <w:rFonts w:hint="eastAsia" w:ascii="仿宋" w:hAnsi="仿宋" w:eastAsia="仿宋" w:cs="仿宋"/>
          <w:color w:val="auto"/>
          <w:sz w:val="30"/>
          <w:szCs w:val="30"/>
        </w:rPr>
        <w:t>2023.1.1-2023.12.31</w:t>
      </w:r>
    </w:p>
    <w:p w14:paraId="69612C8A">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5.年度预算安排</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2000万元</w:t>
      </w:r>
    </w:p>
    <w:p w14:paraId="13986497">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6.年度绩效目标</w:t>
      </w:r>
      <w:r>
        <w:rPr>
          <w:rFonts w:hint="eastAsia" w:ascii="仿宋" w:hAnsi="仿宋" w:eastAsia="仿宋" w:cs="仿宋"/>
          <w:color w:val="auto"/>
          <w:sz w:val="32"/>
          <w:szCs w:val="32"/>
          <w:lang w:eastAsia="zh-CN"/>
        </w:rPr>
        <w:t>：加强现代服务业招商，围绕高成长服务业、新型服务业等，大厦力引进现代金融、科技金融以及商贸物流等领域知名企业。</w:t>
      </w:r>
    </w:p>
    <w:p w14:paraId="6344269B">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p w14:paraId="5FE51328">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年兴国县</w:t>
      </w:r>
      <w:r>
        <w:rPr>
          <w:rFonts w:hint="eastAsia" w:ascii="仿宋" w:hAnsi="仿宋" w:eastAsia="仿宋" w:cs="仿宋"/>
          <w:color w:val="auto"/>
          <w:sz w:val="32"/>
          <w:szCs w:val="32"/>
          <w:lang w:eastAsia="zh-CN"/>
        </w:rPr>
        <w:t>商务局单位</w:t>
      </w:r>
      <w:r>
        <w:rPr>
          <w:rFonts w:hint="eastAsia" w:ascii="仿宋" w:hAnsi="仿宋" w:eastAsia="仿宋" w:cs="仿宋"/>
          <w:color w:val="auto"/>
          <w:sz w:val="32"/>
          <w:szCs w:val="32"/>
        </w:rPr>
        <w:t>部门“三公”经费一般公共预算安排</w:t>
      </w:r>
      <w:r>
        <w:rPr>
          <w:rFonts w:hint="eastAsia" w:ascii="仿宋" w:hAnsi="仿宋" w:eastAsia="仿宋" w:cs="仿宋"/>
          <w:color w:val="auto"/>
          <w:sz w:val="32"/>
          <w:szCs w:val="32"/>
          <w:lang w:val="en-US" w:eastAsia="zh-CN"/>
        </w:rPr>
        <w:t>41</w:t>
      </w:r>
      <w:r>
        <w:rPr>
          <w:rFonts w:hint="eastAsia" w:ascii="仿宋" w:hAnsi="仿宋" w:eastAsia="仿宋" w:cs="仿宋"/>
          <w:color w:val="auto"/>
          <w:sz w:val="32"/>
          <w:szCs w:val="32"/>
        </w:rPr>
        <w:t>万元。其中：</w:t>
      </w:r>
    </w:p>
    <w:p w14:paraId="00783645">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无</w:t>
      </w:r>
      <w:r>
        <w:rPr>
          <w:rFonts w:hint="eastAsia" w:ascii="仿宋" w:hAnsi="仿宋" w:eastAsia="仿宋" w:cs="仿宋"/>
          <w:color w:val="auto"/>
          <w:sz w:val="32"/>
          <w:szCs w:val="32"/>
        </w:rPr>
        <w:t>。</w:t>
      </w:r>
    </w:p>
    <w:p w14:paraId="1DC735D7">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41</w:t>
      </w:r>
      <w:r>
        <w:rPr>
          <w:rFonts w:hint="eastAsia" w:ascii="仿宋" w:hAnsi="仿宋" w:eastAsia="仿宋" w:cs="仿宋"/>
          <w:color w:val="auto"/>
          <w:sz w:val="32"/>
          <w:szCs w:val="32"/>
        </w:rPr>
        <w:t>万元，比上年</w:t>
      </w:r>
      <w:r>
        <w:rPr>
          <w:rFonts w:hint="eastAsia" w:ascii="仿宋" w:hAnsi="仿宋" w:eastAsia="仿宋" w:cs="仿宋"/>
          <w:color w:val="auto"/>
          <w:sz w:val="32"/>
          <w:szCs w:val="32"/>
          <w:lang w:eastAsia="zh-CN"/>
        </w:rPr>
        <w:t>减</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万元，主要原因是：正常缩减开支。</w:t>
      </w:r>
    </w:p>
    <w:p w14:paraId="630A716B">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p>
    <w:p w14:paraId="2D41C68F">
      <w:pPr>
        <w:spacing w:line="560" w:lineRule="exact"/>
        <w:ind w:firstLine="0" w:firstLineChars="0"/>
        <w:rPr>
          <w:rFonts w:ascii="仿宋" w:hAnsi="仿宋" w:eastAsia="仿宋" w:cs="仿宋"/>
          <w:color w:val="auto"/>
          <w:sz w:val="32"/>
          <w:szCs w:val="32"/>
        </w:rPr>
      </w:pPr>
      <w:r>
        <w:rPr>
          <w:rFonts w:hint="eastAsia" w:ascii="仿宋" w:hAnsi="仿宋" w:eastAsia="仿宋" w:cs="仿宋"/>
          <w:color w:val="auto"/>
          <w:sz w:val="32"/>
          <w:szCs w:val="32"/>
        </w:rPr>
        <w:t>主要原因是：</w:t>
      </w:r>
      <w:r>
        <w:rPr>
          <w:rFonts w:hint="eastAsia" w:ascii="仿宋" w:hAnsi="仿宋" w:eastAsia="仿宋" w:cs="仿宋"/>
          <w:color w:val="auto"/>
          <w:sz w:val="32"/>
          <w:szCs w:val="32"/>
          <w:lang w:eastAsia="zh-CN"/>
        </w:rPr>
        <w:t>无</w:t>
      </w:r>
      <w:r>
        <w:rPr>
          <w:rFonts w:hint="eastAsia" w:ascii="仿宋" w:hAnsi="仿宋" w:eastAsia="仿宋" w:cs="仿宋"/>
          <w:color w:val="auto"/>
          <w:sz w:val="32"/>
          <w:szCs w:val="32"/>
        </w:rPr>
        <w:t>。</w:t>
      </w:r>
    </w:p>
    <w:p w14:paraId="512B34EC">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万元，主要</w:t>
      </w:r>
    </w:p>
    <w:p w14:paraId="47D95EBA">
      <w:pPr>
        <w:spacing w:line="560" w:lineRule="exact"/>
        <w:ind w:firstLine="0" w:firstLineChars="0"/>
        <w:rPr>
          <w:rFonts w:ascii="仿宋" w:hAnsi="仿宋" w:eastAsia="仿宋" w:cs="仿宋"/>
          <w:color w:val="auto"/>
          <w:sz w:val="32"/>
          <w:szCs w:val="32"/>
        </w:rPr>
      </w:pPr>
      <w:r>
        <w:rPr>
          <w:rFonts w:hint="eastAsia" w:ascii="仿宋" w:hAnsi="仿宋" w:eastAsia="仿宋" w:cs="仿宋"/>
          <w:color w:val="auto"/>
          <w:sz w:val="32"/>
          <w:szCs w:val="32"/>
        </w:rPr>
        <w:t>原因是：</w:t>
      </w:r>
      <w:r>
        <w:rPr>
          <w:rFonts w:hint="eastAsia" w:ascii="仿宋" w:hAnsi="仿宋" w:eastAsia="仿宋" w:cs="仿宋"/>
          <w:color w:val="auto"/>
          <w:sz w:val="32"/>
          <w:szCs w:val="32"/>
          <w:lang w:eastAsia="zh-CN"/>
        </w:rPr>
        <w:t>无</w:t>
      </w:r>
      <w:r>
        <w:rPr>
          <w:rFonts w:hint="eastAsia" w:ascii="仿宋" w:hAnsi="仿宋" w:eastAsia="仿宋" w:cs="仿宋"/>
          <w:color w:val="auto"/>
          <w:sz w:val="32"/>
          <w:szCs w:val="32"/>
        </w:rPr>
        <w:t>。</w:t>
      </w:r>
    </w:p>
    <w:p w14:paraId="6A35559C">
      <w:pPr>
        <w:spacing w:line="560" w:lineRule="exact"/>
        <w:rPr>
          <w:rFonts w:ascii="仿宋" w:hAnsi="仿宋" w:eastAsia="仿宋" w:cs="仿宋"/>
          <w:color w:val="auto"/>
          <w:sz w:val="32"/>
          <w:szCs w:val="32"/>
        </w:rPr>
      </w:pPr>
    </w:p>
    <w:p w14:paraId="5A83B001">
      <w:pPr>
        <w:numPr>
          <w:ilvl w:val="0"/>
          <w:numId w:val="1"/>
        </w:num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eastAsia="zh-CN"/>
        </w:rPr>
        <w:t>商务局</w:t>
      </w:r>
      <w:r>
        <w:rPr>
          <w:rFonts w:hint="eastAsia" w:ascii="黑体" w:hAnsi="黑体" w:eastAsia="黑体" w:cs="黑体"/>
          <w:b w:val="0"/>
          <w:bCs w:val="0"/>
          <w:color w:val="auto"/>
          <w:sz w:val="32"/>
          <w:szCs w:val="32"/>
        </w:rPr>
        <w:t>单位</w:t>
      </w:r>
      <w:r>
        <w:rPr>
          <w:rFonts w:hint="eastAsia" w:ascii="黑体" w:hAnsi="黑体" w:eastAsia="黑体" w:cs="黑体"/>
          <w:b w:val="0"/>
          <w:bCs w:val="0"/>
          <w:color w:val="auto"/>
          <w:sz w:val="32"/>
          <w:szCs w:val="32"/>
          <w:lang w:val="en-US" w:eastAsia="zh-CN"/>
        </w:rPr>
        <w:t>2023年</w:t>
      </w:r>
      <w:r>
        <w:rPr>
          <w:rFonts w:hint="eastAsia" w:ascii="黑体" w:hAnsi="黑体" w:eastAsia="黑体" w:cs="黑体"/>
          <w:b w:val="0"/>
          <w:bCs w:val="0"/>
          <w:color w:val="auto"/>
          <w:sz w:val="32"/>
          <w:szCs w:val="32"/>
        </w:rPr>
        <w:t>部门预算表</w:t>
      </w:r>
    </w:p>
    <w:p w14:paraId="1222DE4A">
      <w:pPr>
        <w:spacing w:line="560" w:lineRule="exact"/>
        <w:ind w:left="633" w:leftChars="0" w:hanging="633" w:hangingChars="198"/>
        <w:rPr>
          <w:rFonts w:hint="eastAsia" w:eastAsia="仿宋"/>
          <w:color w:val="auto"/>
          <w:lang w:eastAsia="zh-CN"/>
        </w:rPr>
      </w:pPr>
      <w:r>
        <w:rPr>
          <w:rFonts w:hint="eastAsia" w:ascii="仿宋" w:hAnsi="仿宋" w:eastAsia="仿宋" w:cs="仿宋"/>
          <w:color w:val="auto"/>
          <w:sz w:val="32"/>
          <w:szCs w:val="32"/>
        </w:rPr>
        <w:t>一、《收支预算总表》</w:t>
      </w:r>
      <w:r>
        <w:rPr>
          <w:rFonts w:hint="eastAsia" w:ascii="仿宋" w:hAnsi="仿宋" w:eastAsia="仿宋" w:cs="仿宋"/>
          <w:color w:val="auto"/>
          <w:sz w:val="32"/>
          <w:szCs w:val="32"/>
          <w:lang w:eastAsia="zh-CN"/>
        </w:rPr>
        <w:t>（见附表）</w:t>
      </w:r>
    </w:p>
    <w:p w14:paraId="7D668E44">
      <w:pPr>
        <w:pStyle w:val="3"/>
        <w:numPr>
          <w:ilvl w:val="0"/>
          <w:numId w:val="0"/>
        </w:numPr>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二、</w:t>
      </w:r>
      <w:r>
        <w:rPr>
          <w:rFonts w:hint="eastAsia" w:ascii="仿宋" w:hAnsi="仿宋" w:eastAsia="仿宋" w:cs="仿宋"/>
          <w:color w:val="auto"/>
          <w:sz w:val="32"/>
          <w:szCs w:val="32"/>
        </w:rPr>
        <w:t>《部门收入总表》</w:t>
      </w:r>
      <w:r>
        <w:rPr>
          <w:rFonts w:hint="eastAsia" w:ascii="仿宋" w:hAnsi="仿宋" w:eastAsia="仿宋" w:cs="仿宋"/>
          <w:color w:val="auto"/>
          <w:sz w:val="32"/>
          <w:szCs w:val="32"/>
          <w:lang w:eastAsia="zh-CN"/>
        </w:rPr>
        <w:t>（见附表）</w:t>
      </w:r>
    </w:p>
    <w:p w14:paraId="19896340">
      <w:pPr>
        <w:numPr>
          <w:ilvl w:val="0"/>
          <w:numId w:val="0"/>
        </w:numPr>
        <w:spacing w:line="560" w:lineRule="exact"/>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三、</w:t>
      </w:r>
      <w:r>
        <w:rPr>
          <w:rFonts w:hint="eastAsia" w:ascii="仿宋" w:hAnsi="仿宋" w:eastAsia="仿宋" w:cs="仿宋"/>
          <w:color w:val="auto"/>
          <w:sz w:val="32"/>
          <w:szCs w:val="32"/>
        </w:rPr>
        <w:t>《部门支出总表》</w:t>
      </w:r>
      <w:r>
        <w:rPr>
          <w:rFonts w:hint="eastAsia" w:ascii="仿宋" w:hAnsi="仿宋" w:eastAsia="仿宋" w:cs="仿宋"/>
          <w:color w:val="auto"/>
          <w:sz w:val="32"/>
          <w:szCs w:val="32"/>
          <w:lang w:eastAsia="zh-CN"/>
        </w:rPr>
        <w:t>（见附表）</w:t>
      </w:r>
    </w:p>
    <w:p w14:paraId="273970A5">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四、</w:t>
      </w:r>
      <w:r>
        <w:rPr>
          <w:rFonts w:hint="eastAsia" w:ascii="仿宋" w:hAnsi="仿宋" w:eastAsia="仿宋" w:cs="仿宋"/>
          <w:color w:val="auto"/>
          <w:sz w:val="32"/>
          <w:szCs w:val="32"/>
        </w:rPr>
        <w:t>《财政拨款收支总表》</w:t>
      </w:r>
      <w:r>
        <w:rPr>
          <w:rFonts w:hint="eastAsia" w:ascii="仿宋" w:hAnsi="仿宋" w:eastAsia="仿宋" w:cs="仿宋"/>
          <w:color w:val="auto"/>
          <w:sz w:val="32"/>
          <w:szCs w:val="32"/>
          <w:lang w:eastAsia="zh-CN"/>
        </w:rPr>
        <w:t>（见附表）</w:t>
      </w:r>
    </w:p>
    <w:p w14:paraId="15099F83">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五、</w:t>
      </w:r>
      <w:r>
        <w:rPr>
          <w:rFonts w:hint="eastAsia" w:ascii="仿宋" w:hAnsi="仿宋" w:eastAsia="仿宋" w:cs="仿宋"/>
          <w:color w:val="auto"/>
          <w:sz w:val="32"/>
          <w:szCs w:val="32"/>
        </w:rPr>
        <w:t>《一般公共预算支出表》</w:t>
      </w:r>
      <w:r>
        <w:rPr>
          <w:rFonts w:hint="eastAsia" w:ascii="仿宋" w:hAnsi="仿宋" w:eastAsia="仿宋" w:cs="仿宋"/>
          <w:color w:val="auto"/>
          <w:sz w:val="32"/>
          <w:szCs w:val="32"/>
          <w:lang w:eastAsia="zh-CN"/>
        </w:rPr>
        <w:t>（见附表）</w:t>
      </w:r>
    </w:p>
    <w:p w14:paraId="5E95CA79">
      <w:pPr>
        <w:numPr>
          <w:ilvl w:val="0"/>
          <w:numId w:val="0"/>
        </w:numPr>
        <w:spacing w:line="560" w:lineRule="exact"/>
        <w:ind w:leftChars="0"/>
        <w:rPr>
          <w:color w:val="auto"/>
        </w:rPr>
      </w:pPr>
      <w:r>
        <w:rPr>
          <w:rFonts w:hint="eastAsia" w:ascii="仿宋" w:hAnsi="仿宋" w:eastAsia="仿宋" w:cs="仿宋"/>
          <w:color w:val="auto"/>
          <w:sz w:val="32"/>
          <w:szCs w:val="32"/>
          <w:lang w:eastAsia="zh-CN"/>
        </w:rPr>
        <w:t>六、</w:t>
      </w:r>
      <w:r>
        <w:rPr>
          <w:rFonts w:hint="eastAsia" w:ascii="仿宋" w:hAnsi="仿宋" w:eastAsia="仿宋" w:cs="仿宋"/>
          <w:color w:val="auto"/>
          <w:sz w:val="32"/>
          <w:szCs w:val="32"/>
        </w:rPr>
        <w:t>《一般公共预算基本支出表》</w:t>
      </w:r>
      <w:r>
        <w:rPr>
          <w:rFonts w:hint="eastAsia" w:ascii="仿宋" w:hAnsi="仿宋" w:eastAsia="仿宋" w:cs="仿宋"/>
          <w:color w:val="auto"/>
          <w:sz w:val="32"/>
          <w:szCs w:val="32"/>
          <w:lang w:eastAsia="zh-CN"/>
        </w:rPr>
        <w:t>（见附表）</w:t>
      </w:r>
    </w:p>
    <w:p w14:paraId="72361811">
      <w:pPr>
        <w:pStyle w:val="2"/>
        <w:numPr>
          <w:ilvl w:val="0"/>
          <w:numId w:val="0"/>
        </w:numPr>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七、</w:t>
      </w:r>
      <w:r>
        <w:rPr>
          <w:rFonts w:hint="eastAsia" w:ascii="仿宋" w:hAnsi="仿宋" w:eastAsia="仿宋" w:cs="仿宋"/>
          <w:color w:val="auto"/>
          <w:sz w:val="32"/>
          <w:szCs w:val="32"/>
        </w:rPr>
        <w:t>《一般公共预算“三公”经费支出表》</w:t>
      </w:r>
      <w:r>
        <w:rPr>
          <w:rFonts w:hint="eastAsia" w:ascii="仿宋" w:hAnsi="仿宋" w:eastAsia="仿宋" w:cs="仿宋"/>
          <w:color w:val="auto"/>
          <w:sz w:val="32"/>
          <w:szCs w:val="32"/>
          <w:lang w:eastAsia="zh-CN"/>
        </w:rPr>
        <w:t>（见附表）</w:t>
      </w:r>
    </w:p>
    <w:p w14:paraId="795B5772">
      <w:pPr>
        <w:numPr>
          <w:ilvl w:val="0"/>
          <w:numId w:val="0"/>
        </w:numPr>
        <w:spacing w:line="560" w:lineRule="exact"/>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八、</w:t>
      </w:r>
      <w:r>
        <w:rPr>
          <w:rFonts w:hint="eastAsia" w:ascii="仿宋" w:hAnsi="仿宋" w:eastAsia="仿宋" w:cs="仿宋"/>
          <w:color w:val="auto"/>
          <w:sz w:val="32"/>
          <w:szCs w:val="32"/>
        </w:rPr>
        <w:t>《政府性基金预算支出表》</w:t>
      </w:r>
      <w:r>
        <w:rPr>
          <w:rFonts w:hint="eastAsia" w:ascii="仿宋" w:hAnsi="仿宋" w:eastAsia="仿宋" w:cs="仿宋"/>
          <w:color w:val="auto"/>
          <w:sz w:val="32"/>
          <w:szCs w:val="32"/>
          <w:lang w:eastAsia="zh-CN"/>
        </w:rPr>
        <w:t>（见附表）</w:t>
      </w:r>
    </w:p>
    <w:p w14:paraId="7F4255A1">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九、</w:t>
      </w:r>
      <w:r>
        <w:rPr>
          <w:rFonts w:hint="eastAsia" w:ascii="仿宋" w:hAnsi="仿宋" w:eastAsia="仿宋" w:cs="仿宋"/>
          <w:color w:val="auto"/>
          <w:sz w:val="32"/>
          <w:szCs w:val="32"/>
        </w:rPr>
        <w:t>《部门整体支出绩效目标表》</w:t>
      </w:r>
    </w:p>
    <w:p w14:paraId="0C46FC51">
      <w:pPr>
        <w:pStyle w:val="3"/>
        <w:numPr>
          <w:ilvl w:val="0"/>
          <w:numId w:val="0"/>
        </w:numPr>
        <w:rPr>
          <w:rFonts w:hint="eastAsia"/>
        </w:rPr>
      </w:pPr>
    </w:p>
    <w:p w14:paraId="2E710025">
      <w:pPr>
        <w:pStyle w:val="3"/>
        <w:rPr>
          <w:rFonts w:hint="eastAsia" w:eastAsia="仿宋"/>
          <w:color w:val="auto"/>
          <w:lang w:eastAsia="zh-CN"/>
        </w:rPr>
      </w:pPr>
      <w:r>
        <w:rPr>
          <w:rFonts w:hint="eastAsia" w:eastAsia="仿宋"/>
          <w:color w:val="auto"/>
          <w:lang w:eastAsia="zh-CN"/>
        </w:rPr>
        <w:drawing>
          <wp:inline distT="0" distB="0" distL="114300" distR="114300">
            <wp:extent cx="5283200" cy="6758940"/>
            <wp:effectExtent l="0" t="0" r="0" b="10160"/>
            <wp:docPr id="11" name="图片 11" descr="16738657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673865710(1)"/>
                    <pic:cNvPicPr>
                      <a:picLocks noChangeAspect="1"/>
                    </pic:cNvPicPr>
                  </pic:nvPicPr>
                  <pic:blipFill>
                    <a:blip r:embed="rId5"/>
                    <a:stretch>
                      <a:fillRect/>
                    </a:stretch>
                  </pic:blipFill>
                  <pic:spPr>
                    <a:xfrm>
                      <a:off x="0" y="0"/>
                      <a:ext cx="5283200" cy="6758940"/>
                    </a:xfrm>
                    <a:prstGeom prst="rect">
                      <a:avLst/>
                    </a:prstGeom>
                  </pic:spPr>
                </pic:pic>
              </a:graphicData>
            </a:graphic>
          </wp:inline>
        </w:drawing>
      </w:r>
    </w:p>
    <w:p w14:paraId="04BCA8E3">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《项目支出绩效目标表》</w:t>
      </w:r>
    </w:p>
    <w:p w14:paraId="268F3CA6">
      <w:pPr>
        <w:pStyle w:val="3"/>
        <w:numPr>
          <w:ilvl w:val="0"/>
          <w:numId w:val="0"/>
        </w:numPr>
        <w:ind w:leftChars="0"/>
        <w:rPr>
          <w:rFonts w:hint="eastAsia" w:eastAsia="仿宋_GB2312"/>
          <w:color w:val="auto"/>
          <w:lang w:eastAsia="zh-CN"/>
        </w:rPr>
      </w:pPr>
      <w:r>
        <w:rPr>
          <w:rFonts w:hint="eastAsia" w:eastAsia="仿宋_GB2312"/>
          <w:color w:val="auto"/>
          <w:lang w:eastAsia="zh-CN"/>
        </w:rPr>
        <w:drawing>
          <wp:inline distT="0" distB="0" distL="114300" distR="114300">
            <wp:extent cx="5988050" cy="6709410"/>
            <wp:effectExtent l="0" t="0" r="6350" b="8890"/>
            <wp:docPr id="12" name="图片 12" descr="16738659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1673865944(1)"/>
                    <pic:cNvPicPr>
                      <a:picLocks noChangeAspect="1"/>
                    </pic:cNvPicPr>
                  </pic:nvPicPr>
                  <pic:blipFill>
                    <a:blip r:embed="rId6"/>
                    <a:stretch>
                      <a:fillRect/>
                    </a:stretch>
                  </pic:blipFill>
                  <pic:spPr>
                    <a:xfrm>
                      <a:off x="0" y="0"/>
                      <a:ext cx="5988050" cy="6709410"/>
                    </a:xfrm>
                    <a:prstGeom prst="rect">
                      <a:avLst/>
                    </a:prstGeom>
                  </pic:spPr>
                </pic:pic>
              </a:graphicData>
            </a:graphic>
          </wp:inline>
        </w:drawing>
      </w:r>
    </w:p>
    <w:p w14:paraId="53612891">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14:paraId="2A14AF3A">
      <w:pPr>
        <w:spacing w:line="560" w:lineRule="exact"/>
        <w:ind w:firstLine="604" w:firstLineChars="189"/>
        <w:jc w:val="center"/>
        <w:rPr>
          <w:rFonts w:ascii="仿宋" w:hAnsi="仿宋" w:eastAsia="仿宋" w:cs="仿宋"/>
          <w:color w:val="auto"/>
          <w:sz w:val="32"/>
          <w:szCs w:val="32"/>
        </w:rPr>
      </w:pPr>
    </w:p>
    <w:p w14:paraId="084A3900">
      <w:pPr>
        <w:spacing w:line="560" w:lineRule="exact"/>
        <w:ind w:firstLine="643" w:firstLineChars="200"/>
        <w:rPr>
          <w:rFonts w:ascii="楷体" w:hAnsi="楷体" w:eastAsia="楷体" w:cs="楷体"/>
          <w:b/>
          <w:bCs/>
          <w:color w:val="auto"/>
          <w:sz w:val="32"/>
          <w:szCs w:val="32"/>
        </w:rPr>
      </w:pPr>
      <w:r>
        <w:rPr>
          <w:rFonts w:hint="eastAsia" w:ascii="楷体" w:hAnsi="楷体" w:eastAsia="楷体" w:cs="楷体"/>
          <w:b/>
          <w:bCs/>
          <w:color w:val="auto"/>
          <w:sz w:val="32"/>
          <w:szCs w:val="32"/>
        </w:rPr>
        <w:t>一、收入科目</w:t>
      </w:r>
    </w:p>
    <w:p w14:paraId="3A1DE0AF">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14:paraId="3C08D552">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14:paraId="4D75CFF8">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14:paraId="0F5A7452">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14:paraId="39E92E07">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14:paraId="153A002C">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14:paraId="4B32166E">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（七）使用非财政拨款结余：填列历年滚存的非限定用途的非统计财政拨款结余弥补2023年收支差额的数额。</w:t>
      </w:r>
    </w:p>
    <w:p w14:paraId="7D1BE8C9">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（八）上年结转和结余：填列2022年全部结转和结余的资金数，包括当年结转结余资金和历年滚存结转结余资金。</w:t>
      </w:r>
    </w:p>
    <w:p w14:paraId="5ED680C1">
      <w:pPr>
        <w:spacing w:line="560" w:lineRule="exact"/>
        <w:ind w:firstLine="607" w:firstLineChars="189"/>
        <w:rPr>
          <w:rFonts w:ascii="楷体" w:hAnsi="楷体" w:eastAsia="楷体" w:cs="楷体"/>
          <w:b/>
          <w:bCs/>
          <w:color w:val="auto"/>
          <w:sz w:val="32"/>
          <w:szCs w:val="32"/>
        </w:rPr>
      </w:pPr>
      <w:r>
        <w:rPr>
          <w:rFonts w:hint="eastAsia" w:ascii="楷体" w:hAnsi="楷体" w:eastAsia="楷体" w:cs="楷体"/>
          <w:b/>
          <w:bCs/>
          <w:color w:val="auto"/>
          <w:sz w:val="32"/>
          <w:szCs w:val="32"/>
        </w:rPr>
        <w:t>二、支出科目</w:t>
      </w:r>
    </w:p>
    <w:p w14:paraId="1ACBB729">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14:paraId="7BEE133B">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14:paraId="5E17BFE7">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14:paraId="1E215AF2">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14:paraId="256F1146">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14:paraId="637130C4">
      <w:pPr>
        <w:spacing w:line="560" w:lineRule="exact"/>
        <w:ind w:firstLine="640" w:firstLineChars="200"/>
        <w:rPr>
          <w:rFonts w:ascii="宋体" w:hAnsi="宋体" w:cstheme="minorEastAsia"/>
          <w:b/>
          <w:bCs/>
          <w:color w:val="auto"/>
          <w:sz w:val="32"/>
          <w:szCs w:val="32"/>
        </w:rPr>
      </w:pPr>
      <w:r>
        <w:rPr>
          <w:rFonts w:hint="eastAsia" w:ascii="仿宋" w:hAnsi="仿宋" w:eastAsia="仿宋" w:cs="仿宋"/>
          <w:color w:val="auto"/>
          <w:sz w:val="32"/>
          <w:szCs w:val="32"/>
        </w:rPr>
        <w:t>（六）死亡抚恤：反映单位遗属人员生活补助。</w:t>
      </w:r>
    </w:p>
    <w:p w14:paraId="5B72F671">
      <w:pPr>
        <w:rPr>
          <w:color w:val="auto"/>
        </w:rPr>
      </w:pPr>
    </w:p>
    <w:sectPr>
      <w:footerReference r:id="rId3" w:type="default"/>
      <w:pgSz w:w="11906" w:h="16838"/>
      <w:pgMar w:top="1134" w:right="1417" w:bottom="1134" w:left="1417" w:header="851" w:footer="992" w:gutter="0"/>
      <w:cols w:space="0" w:num="1"/>
      <w:rtlGutter w:val="0"/>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B32ACA">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076AE6C">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2076AE6C">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376057EA">
                          <w:pPr>
                            <w:pStyle w:val="4"/>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14:paraId="376057EA">
                    <w:pPr>
                      <w:pStyle w:val="4"/>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27CE18"/>
    <w:multiLevelType w:val="singleLevel"/>
    <w:tmpl w:val="C627CE18"/>
    <w:lvl w:ilvl="0" w:tentative="0">
      <w:start w:val="3"/>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3MWUwNzhjM2I1Y2EzN2ZhNDdkYjZjMWM4MWNjNDMifQ=="/>
  </w:docVars>
  <w:rsids>
    <w:rsidRoot w:val="445E02C8"/>
    <w:rsid w:val="02671768"/>
    <w:rsid w:val="027C5214"/>
    <w:rsid w:val="030372AA"/>
    <w:rsid w:val="045B52FD"/>
    <w:rsid w:val="04EE7A30"/>
    <w:rsid w:val="06AB60C8"/>
    <w:rsid w:val="09845CB2"/>
    <w:rsid w:val="09857B16"/>
    <w:rsid w:val="0E2C21E4"/>
    <w:rsid w:val="0F6C71F6"/>
    <w:rsid w:val="150673A4"/>
    <w:rsid w:val="184A2B27"/>
    <w:rsid w:val="19CF11C0"/>
    <w:rsid w:val="1AF37BE5"/>
    <w:rsid w:val="221922E6"/>
    <w:rsid w:val="259E2151"/>
    <w:rsid w:val="25FC0296"/>
    <w:rsid w:val="290336EA"/>
    <w:rsid w:val="293C7726"/>
    <w:rsid w:val="2E3223C1"/>
    <w:rsid w:val="2F5B577E"/>
    <w:rsid w:val="2FB61F4F"/>
    <w:rsid w:val="2FCA008C"/>
    <w:rsid w:val="31F948B9"/>
    <w:rsid w:val="326D79FF"/>
    <w:rsid w:val="32B21236"/>
    <w:rsid w:val="35732032"/>
    <w:rsid w:val="366D2EB8"/>
    <w:rsid w:val="3A4013F4"/>
    <w:rsid w:val="3F5F2902"/>
    <w:rsid w:val="3FFE2FA6"/>
    <w:rsid w:val="445E02C8"/>
    <w:rsid w:val="44DB6740"/>
    <w:rsid w:val="46445AA3"/>
    <w:rsid w:val="47310347"/>
    <w:rsid w:val="4887274F"/>
    <w:rsid w:val="496025C5"/>
    <w:rsid w:val="4DF67412"/>
    <w:rsid w:val="4E8434C4"/>
    <w:rsid w:val="4F9D3534"/>
    <w:rsid w:val="60652FF7"/>
    <w:rsid w:val="610E5B01"/>
    <w:rsid w:val="622D3D54"/>
    <w:rsid w:val="62CD1F6B"/>
    <w:rsid w:val="66DD1E4A"/>
    <w:rsid w:val="680C525B"/>
    <w:rsid w:val="6C101DE3"/>
    <w:rsid w:val="6F157AFB"/>
    <w:rsid w:val="707357B7"/>
    <w:rsid w:val="71724DA6"/>
    <w:rsid w:val="73E86D31"/>
    <w:rsid w:val="7AB505DC"/>
    <w:rsid w:val="7C8732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qFormat/>
    <w:uiPriority w:val="1"/>
    <w:rPr>
      <w:rFonts w:ascii="仿宋_GB2312" w:hAnsi="仿宋_GB2312" w:eastAsia="仿宋_GB2312" w:cs="仿宋_GB2312"/>
      <w:sz w:val="32"/>
      <w:szCs w:val="32"/>
      <w:lang w:val="zh-CN" w:bidi="zh-CN"/>
    </w:rPr>
  </w:style>
  <w:style w:type="paragraph" w:styleId="4">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3138</Words>
  <Characters>3536</Characters>
  <Lines>0</Lines>
  <Paragraphs>0</Paragraphs>
  <TotalTime>0</TotalTime>
  <ScaleCrop>false</ScaleCrop>
  <LinksUpToDate>false</LinksUpToDate>
  <CharactersWithSpaces>3641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心事子</cp:lastModifiedBy>
  <dcterms:modified xsi:type="dcterms:W3CDTF">2026-02-11T02:05:40Z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DE8D0C3DFDBF4D6AB216AFD0F1733705</vt:lpwstr>
  </property>
  <property fmtid="{D5CDD505-2E9C-101B-9397-08002B2CF9AE}" pid="4" name="KSOTemplateDocerSaveRecord">
    <vt:lpwstr>eyJoZGlkIjoiMmUxM2RmNGFhYmMzMGE2NTQ3MWFlYjQzZmZlMTkyZjkiLCJ1c2VySWQiOiIyNDE1MzQ2NjcifQ==</vt:lpwstr>
  </property>
</Properties>
</file>