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widowControl w:val="0"/>
        <w:wordWrap/>
        <w:adjustRightInd/>
        <w:snapToGrid/>
        <w:spacing w:before="0" w:after="0" w:line="560" w:lineRule="exact"/>
        <w:jc w:val="center"/>
        <w:textAlignment w:val="auto"/>
        <w:rPr>
          <w:rFonts w:hint="eastAsia" w:ascii="宋体" w:hAnsi="宋体" w:eastAsia="方正小标宋简体" w:cs="仿宋_GB2312"/>
          <w:b w:val="0"/>
          <w:bCs w:val="0"/>
          <w:spacing w:val="0"/>
          <w:kern w:val="21"/>
          <w:sz w:val="44"/>
          <w:szCs w:val="44"/>
          <w:lang w:eastAsia="zh-CN"/>
        </w:rPr>
      </w:pPr>
      <w:bookmarkStart w:id="0" w:name="_Toc12772"/>
      <w:bookmarkStart w:id="1" w:name="_Toc7944"/>
      <w:r>
        <w:rPr>
          <w:rFonts w:hint="eastAsia" w:ascii="宋体" w:hAnsi="宋体" w:eastAsia="方正小标宋简体" w:cs="仿宋_GB2312"/>
          <w:b w:val="0"/>
          <w:bCs w:val="0"/>
          <w:spacing w:val="0"/>
          <w:kern w:val="21"/>
          <w:sz w:val="44"/>
          <w:szCs w:val="44"/>
          <w:lang w:eastAsia="zh-CN"/>
        </w:rPr>
        <w:t>农村集体土地征收基层政务公开标准目录</w:t>
      </w:r>
      <w:bookmarkEnd w:id="0"/>
      <w:bookmarkEnd w:id="1"/>
    </w:p>
    <w:tbl>
      <w:tblPr>
        <w:tblStyle w:val="10"/>
        <w:tblW w:w="155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05"/>
        <w:gridCol w:w="420"/>
        <w:gridCol w:w="990"/>
        <w:gridCol w:w="3840"/>
        <w:gridCol w:w="1725"/>
        <w:gridCol w:w="2439"/>
        <w:gridCol w:w="960"/>
        <w:gridCol w:w="1381"/>
        <w:gridCol w:w="555"/>
        <w:gridCol w:w="1260"/>
        <w:gridCol w:w="375"/>
        <w:gridCol w:w="435"/>
        <w:gridCol w:w="7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tblHeader/>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序号</w:t>
            </w:r>
          </w:p>
        </w:tc>
        <w:tc>
          <w:tcPr>
            <w:tcW w:w="141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公开事项</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公开内容</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公开依据</w:t>
            </w:r>
          </w:p>
        </w:tc>
        <w:tc>
          <w:tcPr>
            <w:tcW w:w="243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公开时限</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公开主体</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公开渠道</w:t>
            </w:r>
          </w:p>
        </w:tc>
        <w:tc>
          <w:tcPr>
            <w:tcW w:w="18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公开对象</w:t>
            </w:r>
          </w:p>
        </w:tc>
        <w:tc>
          <w:tcPr>
            <w:tcW w:w="81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公开方式</w:t>
            </w:r>
          </w:p>
        </w:tc>
        <w:tc>
          <w:tcPr>
            <w:tcW w:w="794"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lang w:val="en-US" w:eastAsia="zh-CN"/>
              </w:rPr>
            </w:pPr>
            <w:r>
              <w:rPr>
                <w:rFonts w:hint="eastAsia" w:ascii="宋体" w:hAnsi="宋体" w:eastAsia="黑体" w:cs="仿宋_GB2312"/>
                <w:i w:val="0"/>
                <w:color w:val="000000"/>
                <w:spacing w:val="0"/>
                <w:kern w:val="21"/>
                <w:sz w:val="18"/>
                <w:szCs w:val="18"/>
                <w:u w:val="none"/>
                <w:lang w:val="en-US" w:eastAsia="zh-CN"/>
              </w:rPr>
              <w:t>公开层级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tblHeader/>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4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一级事项</w:t>
            </w: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二级事项</w:t>
            </w: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243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55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全</w:t>
            </w:r>
            <w:r>
              <w:rPr>
                <w:rFonts w:hint="eastAsia" w:ascii="宋体" w:hAnsi="宋体" w:eastAsia="黑体" w:cs="仿宋_GB2312"/>
                <w:i w:val="0"/>
                <w:color w:val="000000"/>
                <w:spacing w:val="0"/>
                <w:kern w:val="21"/>
                <w:sz w:val="18"/>
                <w:szCs w:val="18"/>
                <w:u w:val="none"/>
                <w:lang w:val="en-US" w:eastAsia="zh-CN"/>
              </w:rPr>
              <w:br w:type="textWrapping"/>
            </w:r>
            <w:r>
              <w:rPr>
                <w:rFonts w:hint="eastAsia" w:ascii="宋体" w:hAnsi="宋体" w:eastAsia="黑体" w:cs="仿宋_GB2312"/>
                <w:i w:val="0"/>
                <w:color w:val="000000"/>
                <w:spacing w:val="0"/>
                <w:kern w:val="21"/>
                <w:sz w:val="18"/>
                <w:szCs w:val="18"/>
                <w:u w:val="none"/>
                <w:lang w:val="en-US" w:eastAsia="zh-CN"/>
              </w:rPr>
              <w:t>社会</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特定群众</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主动</w:t>
            </w:r>
          </w:p>
        </w:tc>
        <w:tc>
          <w:tcPr>
            <w:tcW w:w="43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依</w:t>
            </w:r>
            <w:r>
              <w:rPr>
                <w:rFonts w:hint="eastAsia" w:ascii="宋体" w:hAnsi="宋体" w:eastAsia="黑体" w:cs="仿宋_GB2312"/>
                <w:i w:val="0"/>
                <w:color w:val="000000"/>
                <w:spacing w:val="0"/>
                <w:kern w:val="21"/>
                <w:sz w:val="18"/>
                <w:szCs w:val="18"/>
                <w:u w:val="none"/>
                <w:lang w:val="en-US" w:eastAsia="zh-CN"/>
              </w:rPr>
              <w:br w:type="textWrapping"/>
            </w:r>
            <w:r>
              <w:rPr>
                <w:rFonts w:hint="eastAsia" w:ascii="宋体" w:hAnsi="宋体" w:eastAsia="黑体" w:cs="仿宋_GB2312"/>
                <w:i w:val="0"/>
                <w:color w:val="000000"/>
                <w:spacing w:val="0"/>
                <w:kern w:val="21"/>
                <w:sz w:val="18"/>
                <w:szCs w:val="18"/>
                <w:u w:val="none"/>
                <w:lang w:val="en-US" w:eastAsia="zh-CN"/>
              </w:rPr>
              <w:t>申请</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乡级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cs="仿宋_GB2312"/>
                <w:i w:val="0"/>
                <w:color w:val="000000"/>
                <w:spacing w:val="0"/>
                <w:kern w:val="21"/>
                <w:sz w:val="18"/>
                <w:szCs w:val="18"/>
                <w:u w:val="none"/>
                <w:lang w:val="en-US" w:eastAsia="zh-CN"/>
              </w:rPr>
              <w:t>1</w:t>
            </w:r>
          </w:p>
        </w:tc>
        <w:tc>
          <w:tcPr>
            <w:tcW w:w="4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征地前期准备</w:t>
            </w:r>
          </w:p>
        </w:tc>
        <w:tc>
          <w:tcPr>
            <w:tcW w:w="9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拟征收土地告知</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在拟征收土地前，应明确征收土地有关事项并予以公开。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1.拟征收土地用途；</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2.拟征收土地的位置和范围（包括土地现状调查）；</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3.征地补偿标准及安置途径；</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4.开展土地现状调查的安排；</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5.拟征收土地的原用途管控（包括不得抢栽、抢种、抢建等有关规定）</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6.听证权利；</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[✱对土地现状调查结果有异议的救济措施]</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《中华人民共和国土地管理法》《国务院关于深化改革严格土地管理的决定》（国发【2004】28号）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在实地启动拟征收土地工作时，在村公示栏公开</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■社区/企事业单位/村公示栏</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▲政府网站</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▲征地信息公开平台</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收到征地批准文件之日起10个工作日，在政府网站、征地信息公开台平公开</w:t>
            </w: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5"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拟征地听证</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征地前期工作中依申请开展听证工作的，听证结果予以公开，按拟征收土地告知确定的时间制作《听证通知书》，按《听证通知书》规定的时间组织听证；实施听证的，公开听证相关材料。</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1.《听证确知书》；</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2.听证处理意见；</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[✱听证笔录有关资料]</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《国土资源听证规定》《国土资源部办公厅关于进一步做好市县征地信息公开工作有关问题的通知》（国土资厅发【2014】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《听证通知书》应在组织听证7个工作日前予以公开；其他听证公开内容在拟征地听证工作结果后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个工作日内，在村公示栏公开</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Style w:val="27"/>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■社区/企事业单位/村公示栏</w:t>
            </w:r>
          </w:p>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政府网站</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征地信息公开平台</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收到征地批准文件之日起10个工作日内，在政府网站、征地信息公开平台公开</w:t>
            </w: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cs="仿宋_GB2312"/>
                <w:i w:val="0"/>
                <w:color w:val="000000"/>
                <w:spacing w:val="0"/>
                <w:kern w:val="21"/>
                <w:sz w:val="18"/>
                <w:szCs w:val="18"/>
                <w:u w:val="none"/>
                <w:lang w:val="en-US" w:eastAsia="zh-CN"/>
              </w:rPr>
              <w:t>2</w:t>
            </w:r>
          </w:p>
        </w:tc>
        <w:tc>
          <w:tcPr>
            <w:tcW w:w="4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征地组织实施</w:t>
            </w: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征收土地公告</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县人民政府拟定征收土地公告并予以公开。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1.征地批准机关、批准文号、批准时间和批准用途；</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2.被征收土地的所有权人、位置、地类、面积；</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3.征地补偿标准、安置政策等；</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4.办理征地补偿登记的期限、地点和要求；</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5.救济途径。</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《中华人民共和国土地管理法》《征收土地公告办法》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收到征地批准文件之日起10个工作日内，政府网站、征地信息公开平台。村公示栏公开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政府网站</w:t>
            </w:r>
          </w:p>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征地信息公开平台</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 xml:space="preserve"> √</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征地补偿安置方案公告</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县自然资源局会同有关部门拟定《征地补偿安置方案》并予以公开。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1.被征收土地的位置、地类、面积、地上附着物和青苗的种类、数量，需要安置的农业人中和数量；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2.土地补偿费和安置补助费的标准、数额、支付对象和支付方式；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3.地上附着物和青苗的补偿标准与支付方式；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4.征地安置政策</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5.工作职责、法律责任等</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6.听证等救济途径。</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[✱征地补偿安置方案前置的，在前置环节一并公开]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w:t>
            </w:r>
            <w:r>
              <w:rPr>
                <w:rFonts w:hint="eastAsia" w:ascii="宋体" w:hAnsi="宋体" w:eastAsia="仿宋_GB2312" w:cs="仿宋_GB2312"/>
                <w:i w:val="0"/>
                <w:color w:val="000000"/>
                <w:spacing w:val="0"/>
                <w:kern w:val="21"/>
                <w:sz w:val="18"/>
                <w:szCs w:val="18"/>
                <w:u w:val="none"/>
                <w:lang w:val="en-US" w:eastAsia="zh-CN"/>
              </w:rPr>
              <w:t>中华人民共和国</w:t>
            </w:r>
            <w:r>
              <w:rPr>
                <w:rStyle w:val="28"/>
                <w:rFonts w:hint="eastAsia" w:ascii="宋体" w:hAnsi="宋体" w:eastAsia="仿宋_GB2312" w:cs="仿宋_GB2312"/>
                <w:spacing w:val="0"/>
                <w:kern w:val="21"/>
                <w:sz w:val="18"/>
                <w:szCs w:val="18"/>
                <w:lang w:val="en-US" w:eastAsia="zh-CN"/>
              </w:rPr>
              <w:t>土地管理法》《国土资源部办公厅关于进一步做好市县征地信息公开工作有关问题的通知》（国土资厅发【2014】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拟定《征地补偿安置方案》后5个工作日内，在村公示栏内公开，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公示结束后转为依申请公开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征地补偿安置方案听证</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依申请开展听证工作的，听证结果公开。按征地补偿安置方案公告确定的时间制作《听证通知书》；按《听证通知书》规定的时间组织听证；实施听证的，公开听证相关材料。</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1.《听证通知书》；</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2.听证处理意见；</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《国土资源听证规定》《国土资源部办公厅关于进一步做好市县征地信息公开工作有关问题的通知》（国土资厅发【2014】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《听证通知书》应在组织听证7个工作日前予以公开；其他听证公开内容在拟征地听证工作结果后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征地补偿登记汇总表。</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[✱征地补偿登记前置与征收土地现状调查合并进行的，一并公开]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w:t>
            </w:r>
            <w:bookmarkStart w:id="2" w:name="_GoBack"/>
            <w:bookmarkEnd w:id="2"/>
            <w:r>
              <w:rPr>
                <w:rFonts w:hint="eastAsia" w:ascii="宋体" w:hAnsi="宋体" w:eastAsia="仿宋_GB2312" w:cs="仿宋_GB2312"/>
                <w:i w:val="0"/>
                <w:color w:val="000000"/>
                <w:spacing w:val="0"/>
                <w:kern w:val="21"/>
                <w:sz w:val="18"/>
                <w:szCs w:val="18"/>
                <w:u w:val="none"/>
                <w:lang w:val="en-US" w:eastAsia="zh-CN"/>
              </w:rPr>
              <w:t>土地管理法》《中华人民共和国政府信息公开条例》</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征地补偿登记结结束后5个工作日内，在村公法栏予以公开。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征地补偿费用支付</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征地补偿费用收支情况。</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[✱在被征地村公告栏张贴、予以公开，张贴之日起20个工作日后可依申请公开]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《中华人民共和国政府信息公开条例》《征收土地公告办法》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获得支付凭证后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个工作日内，在村公示栏予以公开。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bl>
    <w:p>
      <w:pPr>
        <w:widowControl w:val="0"/>
        <w:wordWrap/>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注：1.公开内容中标注为“✱”标记的，为可选项，可根据实际情况确定。</w:t>
      </w:r>
    </w:p>
    <w:p>
      <w:pPr>
        <w:widowControl w:val="0"/>
        <w:wordWrap/>
        <w:adjustRightInd/>
        <w:snapToGrid/>
        <w:spacing w:line="240" w:lineRule="exact"/>
        <w:ind w:firstLine="420" w:firstLineChars="200"/>
        <w:jc w:val="both"/>
        <w:textAlignment w:val="auto"/>
        <w:rPr>
          <w:rFonts w:hint="eastAsia" w:ascii="宋体" w:hAnsi="宋体" w:cs="仿宋_GB2312"/>
          <w:spacing w:val="0"/>
          <w:kern w:val="21"/>
          <w:sz w:val="32"/>
          <w:szCs w:val="32"/>
        </w:rPr>
      </w:pPr>
      <w:r>
        <w:rPr>
          <w:rFonts w:hint="eastAsia" w:ascii="宋体" w:hAnsi="宋体" w:eastAsia="仿宋_GB2312" w:cs="仿宋_GB2312"/>
          <w:spacing w:val="0"/>
          <w:kern w:val="21"/>
          <w:sz w:val="21"/>
          <w:szCs w:val="21"/>
        </w:rPr>
        <w:t>2.公开渠道中标注为“■”标记的，为征地实施中的公开渠道；标注为“▲”标记的，为征地批准后的公开渠道。</w:t>
      </w:r>
    </w:p>
    <w:sectPr>
      <w:headerReference r:id="rId3" w:type="default"/>
      <w:footerReference r:id="rId4" w:type="default"/>
      <w:pgSz w:w="16838" w:h="11906" w:orient="landscape"/>
      <w:pgMar w:top="2098" w:right="1474" w:bottom="1984" w:left="1587"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ascii="Calibri" w:hAnsi="Calibri" w:eastAsia="宋体" w:cs="Times New Roman"/>
        <w:kern w:val="2"/>
        <w:sz w:val="18"/>
        <w:szCs w:val="18"/>
        <w:lang w:val="en-US" w:eastAsia="zh-CN" w:bidi="ar-SA"/>
      </w:rPr>
      <w:pict>
        <v:shape id="_x0000_s2049" o:spid="_x0000_s2049" o:spt="202" type="#_x0000_t202"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DhkNGJlMGZlOWVhODkwYTZhZGJhYmQyZTljYjhkODAifQ=="/>
  </w:docVars>
  <w:rsids>
    <w:rsidRoot w:val="00000000"/>
    <w:rsid w:val="50061B2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9"/>
    <w:autoRedefine/>
    <w:qFormat/>
    <w:uiPriority w:val="0"/>
    <w:pPr>
      <w:keepNext/>
      <w:keepLines/>
      <w:spacing w:before="340" w:after="330" w:line="576" w:lineRule="auto"/>
      <w:outlineLvl w:val="0"/>
    </w:pPr>
    <w:rPr>
      <w:rFonts w:cs="宋体"/>
      <w:b/>
      <w:bCs/>
      <w:kern w:val="44"/>
      <w:sz w:val="44"/>
      <w:szCs w:val="44"/>
    </w:rPr>
  </w:style>
  <w:style w:type="character" w:default="1" w:styleId="11">
    <w:name w:val="Default Paragraph Font"/>
    <w:autoRedefine/>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customStyle="1" w:styleId="2">
    <w:name w:val="Body Text Indent1"/>
    <w:basedOn w:val="1"/>
    <w:autoRedefine/>
    <w:qFormat/>
    <w:uiPriority w:val="0"/>
    <w:pPr>
      <w:ind w:left="420" w:leftChars="200"/>
    </w:pPr>
  </w:style>
  <w:style w:type="paragraph" w:styleId="4">
    <w:name w:val="annotation text"/>
    <w:basedOn w:val="1"/>
    <w:link w:val="20"/>
    <w:autoRedefine/>
    <w:semiHidden/>
    <w:unhideWhenUsed/>
    <w:qFormat/>
    <w:uiPriority w:val="0"/>
    <w:pPr>
      <w:jc w:val="left"/>
    </w:pPr>
  </w:style>
  <w:style w:type="paragraph" w:styleId="5">
    <w:name w:val="Balloon Text"/>
    <w:basedOn w:val="1"/>
    <w:link w:val="24"/>
    <w:autoRedefine/>
    <w:semiHidden/>
    <w:unhideWhenUsed/>
    <w:qFormat/>
    <w:uiPriority w:val="0"/>
    <w:rPr>
      <w:sz w:val="18"/>
      <w:szCs w:val="18"/>
    </w:rPr>
  </w:style>
  <w:style w:type="paragraph" w:styleId="6">
    <w:name w:val="footer"/>
    <w:basedOn w:val="1"/>
    <w:link w:val="22"/>
    <w:semiHidden/>
    <w:unhideWhenUsed/>
    <w:qFormat/>
    <w:uiPriority w:val="0"/>
    <w:pPr>
      <w:tabs>
        <w:tab w:val="center" w:pos="4153"/>
        <w:tab w:val="right" w:pos="8306"/>
      </w:tabs>
      <w:snapToGrid w:val="0"/>
      <w:jc w:val="left"/>
    </w:pPr>
    <w:rPr>
      <w:sz w:val="18"/>
      <w:szCs w:val="18"/>
    </w:rPr>
  </w:style>
  <w:style w:type="paragraph" w:styleId="7">
    <w:name w:val="header"/>
    <w:basedOn w:val="1"/>
    <w:link w:val="21"/>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0"/>
    <w:pPr>
      <w:tabs>
        <w:tab w:val="right" w:leader="dot" w:pos="14760"/>
      </w:tabs>
      <w:spacing w:line="700" w:lineRule="exact"/>
      <w:ind w:left="359" w:leftChars="171" w:right="332" w:rightChars="158"/>
    </w:pPr>
  </w:style>
  <w:style w:type="paragraph" w:styleId="9">
    <w:name w:val="annotation subject"/>
    <w:basedOn w:val="4"/>
    <w:next w:val="4"/>
    <w:link w:val="23"/>
    <w:autoRedefine/>
    <w:semiHidden/>
    <w:unhideWhenUsed/>
    <w:qFormat/>
    <w:uiPriority w:val="0"/>
    <w:rPr>
      <w:b/>
      <w:bCs/>
    </w:rPr>
  </w:style>
  <w:style w:type="character" w:styleId="12">
    <w:name w:val="page number"/>
    <w:basedOn w:val="11"/>
    <w:qFormat/>
    <w:uiPriority w:val="0"/>
  </w:style>
  <w:style w:type="character" w:styleId="13">
    <w:name w:val="FollowedHyperlink"/>
    <w:basedOn w:val="11"/>
    <w:semiHidden/>
    <w:unhideWhenUsed/>
    <w:qFormat/>
    <w:uiPriority w:val="99"/>
    <w:rPr>
      <w:color w:val="800080"/>
      <w:u w:val="single"/>
    </w:rPr>
  </w:style>
  <w:style w:type="character" w:styleId="14">
    <w:name w:val="Hyperlink"/>
    <w:basedOn w:val="11"/>
    <w:semiHidden/>
    <w:unhideWhenUsed/>
    <w:qFormat/>
    <w:uiPriority w:val="0"/>
    <w:rPr>
      <w:color w:val="0000FF"/>
      <w:u w:val="single"/>
    </w:rPr>
  </w:style>
  <w:style w:type="character" w:styleId="15">
    <w:name w:val="annotation reference"/>
    <w:basedOn w:val="11"/>
    <w:semiHidden/>
    <w:unhideWhenUsed/>
    <w:qFormat/>
    <w:uiPriority w:val="0"/>
    <w:rPr>
      <w:sz w:val="21"/>
      <w:szCs w:val="21"/>
    </w:rPr>
  </w:style>
  <w:style w:type="paragraph" w:customStyle="1" w:styleId="16">
    <w:name w:val="List Paragraph"/>
    <w:basedOn w:val="1"/>
    <w:qFormat/>
    <w:uiPriority w:val="0"/>
    <w:pPr>
      <w:ind w:firstLine="420" w:firstLineChars="200"/>
    </w:pPr>
    <w:rPr>
      <w:rFonts w:ascii="等线" w:hAnsi="等线" w:eastAsia="等线"/>
    </w:rPr>
  </w:style>
  <w:style w:type="paragraph" w:customStyle="1" w:styleId="17">
    <w:name w:val="列出段落1"/>
    <w:basedOn w:val="1"/>
    <w:qFormat/>
    <w:uiPriority w:val="0"/>
    <w:pPr>
      <w:ind w:firstLine="420" w:firstLineChars="200"/>
    </w:pPr>
  </w:style>
  <w:style w:type="paragraph" w:customStyle="1" w:styleId="18">
    <w:name w:val="WPSOffice手动目录 1"/>
    <w:qFormat/>
    <w:uiPriority w:val="0"/>
    <w:pPr>
      <w:ind w:leftChars="0"/>
    </w:pPr>
    <w:rPr>
      <w:rFonts w:ascii="Times New Roman" w:hAnsi="Times New Roman" w:eastAsia="宋体" w:cs="Times New Roman"/>
      <w:sz w:val="20"/>
      <w:szCs w:val="20"/>
      <w:lang w:val="en-US" w:eastAsia="zh-CN" w:bidi="ar-SA"/>
    </w:rPr>
  </w:style>
  <w:style w:type="character" w:customStyle="1" w:styleId="19">
    <w:name w:val="标题 1 Char Char"/>
    <w:basedOn w:val="11"/>
    <w:link w:val="3"/>
    <w:uiPriority w:val="0"/>
    <w:rPr>
      <w:rFonts w:ascii="Calibri" w:hAnsi="Calibri" w:eastAsia="宋体" w:cs="宋体"/>
      <w:b/>
      <w:bCs/>
      <w:kern w:val="44"/>
      <w:sz w:val="44"/>
      <w:szCs w:val="44"/>
    </w:rPr>
  </w:style>
  <w:style w:type="character" w:customStyle="1" w:styleId="20">
    <w:name w:val="批注文字 Char Char"/>
    <w:basedOn w:val="11"/>
    <w:link w:val="4"/>
    <w:uiPriority w:val="0"/>
    <w:rPr>
      <w:rFonts w:ascii="Calibri" w:hAnsi="Calibri" w:eastAsia="宋体" w:cs="Times New Roman"/>
    </w:rPr>
  </w:style>
  <w:style w:type="character" w:customStyle="1" w:styleId="21">
    <w:name w:val="页眉 Char Char"/>
    <w:basedOn w:val="11"/>
    <w:link w:val="7"/>
    <w:uiPriority w:val="0"/>
    <w:rPr>
      <w:rFonts w:ascii="Calibri" w:hAnsi="Calibri" w:eastAsia="宋体" w:cs="Times New Roman"/>
      <w:sz w:val="18"/>
      <w:szCs w:val="18"/>
    </w:rPr>
  </w:style>
  <w:style w:type="character" w:customStyle="1" w:styleId="22">
    <w:name w:val="页脚 Char Char"/>
    <w:basedOn w:val="11"/>
    <w:link w:val="6"/>
    <w:uiPriority w:val="0"/>
    <w:rPr>
      <w:rFonts w:ascii="Calibri" w:hAnsi="Calibri" w:eastAsia="宋体" w:cs="Times New Roman"/>
      <w:sz w:val="18"/>
      <w:szCs w:val="18"/>
    </w:rPr>
  </w:style>
  <w:style w:type="character" w:customStyle="1" w:styleId="23">
    <w:name w:val="批注主题 Char Char"/>
    <w:basedOn w:val="20"/>
    <w:link w:val="9"/>
    <w:uiPriority w:val="0"/>
    <w:rPr>
      <w:b/>
      <w:bCs/>
    </w:rPr>
  </w:style>
  <w:style w:type="character" w:customStyle="1" w:styleId="24">
    <w:name w:val="批注框文本 Char Char"/>
    <w:basedOn w:val="11"/>
    <w:link w:val="5"/>
    <w:uiPriority w:val="0"/>
    <w:rPr>
      <w:rFonts w:ascii="Calibri" w:hAnsi="Calibri" w:eastAsia="宋体" w:cs="Times New Roman"/>
      <w:sz w:val="18"/>
      <w:szCs w:val="18"/>
    </w:rPr>
  </w:style>
  <w:style w:type="character" w:customStyle="1" w:styleId="25">
    <w:name w:val="font21"/>
    <w:basedOn w:val="11"/>
    <w:qFormat/>
    <w:uiPriority w:val="0"/>
    <w:rPr>
      <w:rFonts w:hint="eastAsia" w:ascii="宋体" w:hAnsi="宋体" w:eastAsia="宋体" w:cs="宋体"/>
      <w:color w:val="000000"/>
      <w:sz w:val="18"/>
      <w:szCs w:val="18"/>
      <w:u w:val="none"/>
    </w:rPr>
  </w:style>
  <w:style w:type="character" w:customStyle="1" w:styleId="26">
    <w:name w:val="font71"/>
    <w:basedOn w:val="11"/>
    <w:qFormat/>
    <w:uiPriority w:val="0"/>
    <w:rPr>
      <w:rFonts w:hint="eastAsia" w:ascii="仿宋_GB2312" w:eastAsia="仿宋_GB2312" w:cs="仿宋_GB2312"/>
      <w:color w:val="000000"/>
      <w:sz w:val="18"/>
      <w:szCs w:val="18"/>
      <w:u w:val="none"/>
    </w:rPr>
  </w:style>
  <w:style w:type="character" w:customStyle="1" w:styleId="27">
    <w:name w:val="font31"/>
    <w:basedOn w:val="11"/>
    <w:qFormat/>
    <w:uiPriority w:val="0"/>
    <w:rPr>
      <w:rFonts w:hint="eastAsia" w:ascii="微软雅黑" w:hAnsi="微软雅黑" w:eastAsia="微软雅黑" w:cs="微软雅黑"/>
      <w:color w:val="000000"/>
      <w:sz w:val="16"/>
      <w:szCs w:val="16"/>
      <w:u w:val="none"/>
    </w:rPr>
  </w:style>
  <w:style w:type="character" w:customStyle="1" w:styleId="28">
    <w:name w:val="font41"/>
    <w:basedOn w:val="11"/>
    <w:qFormat/>
    <w:uiPriority w:val="0"/>
    <w:rPr>
      <w:rFonts w:hint="eastAsia" w:ascii="宋体" w:hAnsi="宋体" w:eastAsia="宋体" w:cs="宋体"/>
      <w:color w:val="000000"/>
      <w:sz w:val="16"/>
      <w:szCs w:val="16"/>
      <w:u w:val="none"/>
    </w:rPr>
  </w:style>
  <w:style w:type="character" w:customStyle="1" w:styleId="29">
    <w:name w:val="font11"/>
    <w:basedOn w:val="11"/>
    <w:qFormat/>
    <w:uiPriority w:val="0"/>
    <w:rPr>
      <w:rFonts w:hint="default"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3</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常清</cp:lastModifiedBy>
  <dcterms:modified xsi:type="dcterms:W3CDTF">2024-01-11T06:47:40Z</dcterms:modified>
  <dc:title>农村集体土地征收基层政务公开标准目录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BA484F4177C04A3A800FA370753BE192_12</vt:lpwstr>
  </property>
</Properties>
</file>