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2025年，全县一般公共预算支出执行数66.66亿元，比2024年决算数（下同）下降10.1%。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1.一般公共服务支出执行数下降6.5%。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2.国防支出执行数增长23.6%。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3.公共安全支出执行数增长0.6%。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4.教育支出执行数增长0.8%。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5.科学技术支出执行数增长12.5%。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6.文化旅游体育与传媒支出执行数下降32.5%。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7.社会保障和就业支出执行数增长0.9%。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8.卫生健康支出执行数增长11.7%。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9.节能环保支出执行数增长61.6%。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10.城乡社区支出执行数增长32.4%。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11.农林水支出执行数下降31.9%。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12.交通运输支出执行数下降83.2%。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13.资源勘探工业信息等支出执行数下降30.3%。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14.商业服务业等支出执行数增长150.4%。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15.金融支出执行数下降34%。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16.自然资源海洋气象等支出执行数增长29%。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17.住房保障支出执行数增长14.3%。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18.粮油物资储备支出执行数增长38.2%。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19.灾害防治及应急管理支出执行数下降18%。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20.债务付息支出执行数增长4.9%。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ABF87F4B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7F6CE84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