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2025年全县国有资本经营预算支出</w:t>
      </w:r>
    </w:p>
    <w:p>
      <w:pPr>
        <w:pStyle w:val="7"/>
        <w:jc w:val="center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84" w:firstLineChars="200"/>
        <w:jc w:val="left"/>
        <w:textAlignment w:val="bottom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年全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支出执行数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8.96亿元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，比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决算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数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eastAsia="zh-CN"/>
        </w:rPr>
        <w:t>增长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516.2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%。主要是国有企业资本金注入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1.81亿元，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国有资本经营预算调出资金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6.6亿元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</w:rPr>
        <w:t>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EF334FDC"/>
    <w:rsid w:val="F3B10B1C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