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2025年一般公共预算税收返还和转移支付</w:t>
      </w:r>
      <w:r>
        <w:rPr>
          <w:rFonts w:hint="eastAsia" w:ascii="黑体" w:hAnsi="黑体" w:eastAsia="黑体" w:cs="黑体"/>
          <w:sz w:val="44"/>
          <w:szCs w:val="44"/>
        </w:rPr>
        <w:t>情况说明</w:t>
      </w:r>
    </w:p>
    <w:p>
      <w:pPr>
        <w:jc w:val="both"/>
        <w:rPr>
          <w:rFonts w:hint="eastAsia" w:ascii="黑体" w:hAnsi="黑体" w:eastAsia="黑体" w:cs="黑体"/>
          <w:sz w:val="44"/>
          <w:szCs w:val="44"/>
        </w:rPr>
      </w:pP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2025年转移支付情况：2025年上级下达兴国县转移支付资金44.34亿元，其中：专项转移支付3.41亿元，占7.7%；一般性转移支付38.79亿元，占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7.5%；税收返还收入2.14亿元，占4.8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0000000"/>
    <w:rsid w:val="0F6D32BA"/>
    <w:rsid w:val="35132477"/>
    <w:rsid w:val="43DC2A94"/>
    <w:rsid w:val="45A578C0"/>
    <w:rsid w:val="48656A26"/>
    <w:rsid w:val="50C31212"/>
    <w:rsid w:val="695B1786"/>
    <w:rsid w:val="71CD17E3"/>
    <w:rsid w:val="7FBBE74A"/>
    <w:rsid w:val="D3FF2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125</Characters>
  <Lines>0</Lines>
  <Paragraphs>0</Paragraphs>
  <TotalTime>29</TotalTime>
  <ScaleCrop>false</ScaleCrop>
  <LinksUpToDate>false</LinksUpToDate>
  <CharactersWithSpaces>125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2022-03-15T17:44:00Z</dcterms:created>
  <dc:creator>Administrator</dc:creator>
  <cp:lastModifiedBy>zbcz</cp:lastModifiedBy>
  <dcterms:modified xsi:type="dcterms:W3CDTF">2026-02-27T10:16:08Z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32F9637F05654B7EBED1817A3BE79290</vt:lpwstr>
  </property>
</Properties>
</file>