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2025年兴国县政府性基金预算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收入执行数24.45亿元，比2024年决算数(下同)下降20.9%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国有土地使用权出让收入执行数下降58.3%，主要是2025年政府国有土地出让减少，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土地相关收入下降。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default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2.彩票公益金收入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执行数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下降24.7%。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3.城市基础设施配套费收入执行数下降18.1%。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4.污水处理费收入执行数增长2.3%。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5.专项债务对应项目专项收入执行数增长1.7%。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6.上级补助收入执行数下降62.9%。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7.地方债转贷专项收入执行数下降7.3%。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DFD72936"/>
    <w:rsid w:val="E3BB108B"/>
    <w:rsid w:val="E6ECAB70"/>
    <w:rsid w:val="EBD2888E"/>
    <w:rsid w:val="ECDFDB8A"/>
    <w:rsid w:val="F45FE7F6"/>
    <w:rsid w:val="F5FFDEC0"/>
    <w:rsid w:val="F8FF100D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