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2026年全县政府性基金预算支出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安排情况表(草案)说明</w:t>
      </w:r>
    </w:p>
    <w:p>
      <w:pPr>
        <w:pStyle w:val="7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2026年兴国县政府性基金预算支出安排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highlight w:val="none"/>
          <w:lang w:val="en-US" w:eastAsia="zh-CN"/>
        </w:rPr>
        <w:t>28亿元，比2025年执行数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none"/>
          <w:lang w:val="en-US" w:eastAsia="zh-CN"/>
        </w:rPr>
        <w:t>(下同)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highlight w:val="none"/>
          <w:lang w:val="en-US" w:eastAsia="zh-CN"/>
        </w:rPr>
        <w:t>增长14.5%。其中：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1.国有土地使用权出让收入安排的支出预算数增长164.6%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2.城市基础设施配套费安排的支出预算数增长29.4%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3.农林水支出预算数增长3%。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4.交通运输支出预算数下降25.9%。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5.资源勘探工业信息等支出预算数下降22.9%。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6.其他支出预算数增长105.2%。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7.债务付息支出预算数下降2.6%。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8.债务发行费用支出预算数下降11.1%。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9.债务还本支出预算数下降45.6%。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EB1265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A5EA97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