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2025年兴国县一般公共预算收入执行数11.65亿元，比2024年决算数(下同)增长3.8%。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1.增值税执行数增长24.8%。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2.企业所得税执行数下降4.5%。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3.资源税执行数下降13%。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4.房产税执行数增长51%。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5.印花税执行数下降10.5%。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6.城镇土地使用税执行数下降50.8%。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7.土地增值税执行数增长2.8%。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8.个人所得税执行数增长4.9%。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9.城市维护建设税执行数增长9.7%。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10.车船税执行数增长9.8%。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11.烟叶税执行数增长6.1%。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12.耕地占用税执行数下降23.3%。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13.契税执行数下降45.1%。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14.环境保护税执行数下降2%。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15.其他税收收入执行数下降94.8%。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16.罚没收入执行数增长82%。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17.行政事业性收费收入执行数下降31.2%。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18.专项收入执行数增长6.4%。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19.政府住房基金收入执行数下降87.5%。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20.国有资源(资产)有偿使用收入执行数下降8.9%。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DFF6ABA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D95FA392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