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  <w:t>2025年全县社会保险基金预算支出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全县社会保险基金支出2025年执行数比2024年决算数增长13.73%。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1.机关事业单位基本养老保险基金支出增长7.6%，主要是退休人数增加、养老金正常提标。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2.城乡居民基本养老保险基金支出增长21%，主要原因是基础养老金提标，基本养老保险待遇支出增长21.47%。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9F7493B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D3D70C6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