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2025年全县社会保险基金预算收入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bottom"/>
        <w:rPr>
          <w:rFonts w:ascii="Arial"/>
          <w:color w:val="auto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全县社会保险基金收入2025年执行数比2024年决算数增长11.82%。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1.机关事业单位基本养老保险基金收入增长12.76%，主要是缴费基数增加、补发退休人员待遇改办资金，财政补贴相应增加。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2.城乡居民基本养老保险基金收入增长11.03%，主要是集体补助个人资助办理人数增加，财政补贴相应增加。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3DB581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  <w:rsid w:val="FFFDB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