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2026年全县一般公共预算收入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default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根据2026年全县主要经济指标安排情况，2026年一般公共预算收入安排11.88亿元，比2025年执行数（下同）增长2%。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1.一般公共预算税收收入预算数增长4.7%，主要是积极的财政政策加力提效，预计2026年带动一般公共预算税收收入增长。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（1）增值税预算数增长4.3%。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（2）企业所得税预算数增长4%。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（3）资源税预算数增长23.5%。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（4）房产税预算数增长4.9%。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（5）城镇土地使用税预算数增长10.2%。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（6）土地增值税预算数增长13.8%。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（7）个人所得税预算数增长6.9%。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（8）城市维护建设税预算数下降7%。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（9）烟叶税预算数增长12.1%。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（10）车船税预算数增长7.4%。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（11）耕地占用税预算数增长15.8%。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（12）契税预算数增长8.5%。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2.一般公共预算非税收入预算数下降1.8%。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（1）罚没收入预算数增长0.9%。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（2）行政事业性收费收入预算数下降1%。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（3）国有资源(资产)有偿使用收入预算数下降6.9%。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（4）专项收入预算数下降5.3%。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（5）政府住房基金收入预算数增长53.2%。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7F0DD9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DD87B9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