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2026年全县国有资本经营预算支出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pStyle w:val="7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年全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支出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安排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7.55亿元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，比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年执行数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下降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15.7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%。主要是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国有企业资本金注入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5.57亿元，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国有资本经营预算调出资金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1.98亿元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5CE7ACC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AF029C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