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2025年兴国县政府性基金预算支出执行数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24.45亿元，比2024年决算数(下同)下降20.9%。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1.国有土地使用权出让收入安排的支出执行数下降62.4%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2.城市基础设施配套费及对应专项债务收入安排的支出执行数增长103.3%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3.农林水支出执行数增长33.8%。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4.交通运输支出执行数增长65.8%。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5.资源勘探工业信息等支出执行数增长402.9%。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6.其他支出执行数下降32.2%。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7.债务付息支出执行数增长18.2%。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8.债务发行费用支出执行数下降6.9%。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9.债务还本支出执行数下降19.8%。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3D1566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7FFF4883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