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03F0F3">
      <w:pPr>
        <w:pStyle w:val="16"/>
        <w:bidi w:val="0"/>
        <w:rPr>
          <w:rFonts w:hint="eastAsia"/>
        </w:rPr>
      </w:pPr>
      <w:r>
        <w:rPr>
          <w:rFonts w:hint="eastAsia"/>
          <w:lang w:eastAsia="zh-CN"/>
        </w:rPr>
        <w:t>兴国县第十二幼儿园2026</w:t>
      </w:r>
      <w:r>
        <w:rPr>
          <w:rFonts w:hint="eastAsia"/>
        </w:rPr>
        <w:t>年</w:t>
      </w:r>
      <w:r>
        <w:rPr>
          <w:rFonts w:hint="eastAsia"/>
          <w:lang w:val="en-US" w:eastAsia="zh-CN"/>
        </w:rPr>
        <w:t>单位</w:t>
      </w:r>
      <w:r>
        <w:rPr>
          <w:rFonts w:hint="eastAsia"/>
        </w:rPr>
        <w:t>预算</w:t>
      </w:r>
    </w:p>
    <w:p w14:paraId="4373A546">
      <w:pPr>
        <w:pStyle w:val="13"/>
        <w:spacing w:line="600" w:lineRule="atLeast"/>
        <w:jc w:val="center"/>
        <w:rPr>
          <w:rFonts w:ascii="黑体" w:hAnsi="黑体" w:eastAsia="黑体"/>
          <w:color w:val="000000"/>
          <w:sz w:val="32"/>
          <w:szCs w:val="32"/>
        </w:rPr>
      </w:pPr>
    </w:p>
    <w:p w14:paraId="6F79D7C4">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21EC9C6F">
      <w:pPr>
        <w:pStyle w:val="13"/>
        <w:rPr>
          <w:rFonts w:ascii="宋体" w:hAnsi="宋体"/>
          <w:color w:val="000000"/>
        </w:rPr>
      </w:pPr>
    </w:p>
    <w:p w14:paraId="4C6C1E1C">
      <w:pPr>
        <w:pStyle w:val="17"/>
        <w:numPr>
          <w:ilvl w:val="0"/>
          <w:numId w:val="0"/>
        </w:numPr>
        <w:bidi w:val="0"/>
        <w:ind w:left="420" w:leftChars="200"/>
        <w:jc w:val="left"/>
        <w:rPr>
          <w:rFonts w:hint="eastAsia"/>
          <w:lang w:eastAsia="zh-CN"/>
        </w:rPr>
      </w:pPr>
      <w:r>
        <w:rPr>
          <w:rFonts w:hint="eastAsia"/>
          <w:lang w:val="en-US" w:eastAsia="zh-CN"/>
        </w:rPr>
        <w:t>第一部分  兴国县第十二幼儿园概况</w:t>
      </w:r>
    </w:p>
    <w:p w14:paraId="64138DE3">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3D29ABC9">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8C7A854">
      <w:pPr>
        <w:pStyle w:val="18"/>
        <w:bidi w:val="0"/>
        <w:rPr>
          <w:rFonts w:hint="eastAsia" w:ascii="仿宋_GB2312" w:hAnsi="仿宋_GB2312" w:eastAsia="仿宋_GB2312" w:cs="仿宋_GB2312"/>
        </w:rPr>
      </w:pPr>
    </w:p>
    <w:p w14:paraId="34281AF0">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兴国县第十二幼儿园2026</w:t>
      </w:r>
      <w:r>
        <w:rPr>
          <w:rFonts w:hint="eastAsia"/>
        </w:rPr>
        <w:t>年</w:t>
      </w:r>
      <w:r>
        <w:rPr>
          <w:rFonts w:hint="eastAsia"/>
          <w:lang w:val="en-US" w:eastAsia="zh-CN"/>
        </w:rPr>
        <w:t>单位</w:t>
      </w:r>
      <w:r>
        <w:rPr>
          <w:rFonts w:hint="eastAsia"/>
        </w:rPr>
        <w:t>预算表</w:t>
      </w:r>
    </w:p>
    <w:p w14:paraId="0F061B03">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6C0960B3">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3BC5CEC1">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67151088">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56858C9">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3A090950">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61487671">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06D0AB80">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432951BB">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2C1A5AF3">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0BE1672">
      <w:pPr>
        <w:pStyle w:val="18"/>
        <w:bidi w:val="0"/>
        <w:ind w:left="0" w:leftChars="0" w:firstLine="0" w:firstLineChars="0"/>
        <w:rPr>
          <w:rFonts w:hint="eastAsia" w:ascii="仿宋_GB2312" w:hAnsi="仿宋_GB2312" w:eastAsia="仿宋_GB2312" w:cs="仿宋_GB2312"/>
        </w:rPr>
      </w:pPr>
    </w:p>
    <w:p w14:paraId="7BD08921">
      <w:pPr>
        <w:pStyle w:val="17"/>
        <w:numPr>
          <w:ilvl w:val="0"/>
          <w:numId w:val="0"/>
        </w:numPr>
        <w:bidi w:val="0"/>
        <w:ind w:left="420" w:leftChars="200"/>
        <w:jc w:val="left"/>
        <w:rPr>
          <w:rFonts w:hint="eastAsia"/>
          <w:lang w:eastAsia="zh-CN"/>
        </w:rPr>
      </w:pPr>
      <w:r>
        <w:rPr>
          <w:rFonts w:hint="eastAsia"/>
          <w:lang w:eastAsia="zh-CN"/>
        </w:rPr>
        <w:t>第三部分 兴国县第十二幼儿园 2026年</w:t>
      </w:r>
      <w:r>
        <w:rPr>
          <w:rFonts w:hint="eastAsia"/>
          <w:lang w:val="en-US" w:eastAsia="zh-CN"/>
        </w:rPr>
        <w:t>单位</w:t>
      </w:r>
      <w:r>
        <w:rPr>
          <w:rFonts w:hint="eastAsia"/>
          <w:lang w:eastAsia="zh-CN"/>
        </w:rPr>
        <w:t>预算情况说明</w:t>
      </w:r>
    </w:p>
    <w:p w14:paraId="17ADF250">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A145678">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5660B306">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21933D74">
      <w:pPr>
        <w:pStyle w:val="17"/>
        <w:numPr>
          <w:ilvl w:val="0"/>
          <w:numId w:val="0"/>
        </w:numPr>
        <w:bidi w:val="0"/>
        <w:ind w:left="420" w:leftChars="200"/>
        <w:jc w:val="left"/>
        <w:rPr>
          <w:rFonts w:hint="eastAsia"/>
          <w:lang w:eastAsia="zh-CN"/>
        </w:rPr>
      </w:pPr>
      <w:r>
        <w:rPr>
          <w:rFonts w:hint="eastAsia"/>
          <w:lang w:eastAsia="zh-CN"/>
        </w:rPr>
        <w:t>第四部分  名词解释</w:t>
      </w:r>
    </w:p>
    <w:p w14:paraId="373DC472">
      <w:pPr>
        <w:widowControl/>
        <w:spacing w:line="580" w:lineRule="exact"/>
        <w:jc w:val="center"/>
        <w:rPr>
          <w:rFonts w:ascii="仿宋_GB2312" w:eastAsia="仿宋_GB2312"/>
          <w:b/>
          <w:sz w:val="32"/>
          <w:szCs w:val="30"/>
        </w:rPr>
      </w:pPr>
    </w:p>
    <w:p w14:paraId="07D1F33D">
      <w:pPr>
        <w:widowControl/>
        <w:spacing w:line="580" w:lineRule="exact"/>
        <w:jc w:val="center"/>
        <w:rPr>
          <w:rFonts w:ascii="仿宋_GB2312" w:eastAsia="仿宋_GB2312"/>
          <w:b/>
          <w:sz w:val="32"/>
          <w:szCs w:val="30"/>
        </w:rPr>
      </w:pPr>
    </w:p>
    <w:p w14:paraId="3050F9EA">
      <w:pPr>
        <w:pStyle w:val="17"/>
        <w:numPr>
          <w:ilvl w:val="0"/>
          <w:numId w:val="0"/>
        </w:numPr>
        <w:bidi w:val="0"/>
        <w:ind w:left="420" w:leftChars="200"/>
        <w:jc w:val="center"/>
        <w:rPr>
          <w:rFonts w:hint="eastAsia"/>
          <w:lang w:eastAsia="zh-CN"/>
        </w:rPr>
      </w:pPr>
      <w:r>
        <w:rPr>
          <w:rFonts w:hint="eastAsia"/>
          <w:lang w:eastAsia="zh-CN"/>
        </w:rPr>
        <w:t>第一部分  兴国县第十二幼儿园概况</w:t>
      </w:r>
    </w:p>
    <w:p w14:paraId="2EF6DD19">
      <w:pPr>
        <w:widowControl/>
        <w:spacing w:line="580" w:lineRule="exact"/>
        <w:jc w:val="left"/>
        <w:rPr>
          <w:rFonts w:asciiTheme="minorEastAsia" w:hAnsiTheme="minorEastAsia"/>
          <w:b/>
          <w:sz w:val="36"/>
          <w:szCs w:val="36"/>
        </w:rPr>
      </w:pPr>
    </w:p>
    <w:p w14:paraId="21F7F49A">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F498B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实施学前教育，促进学前教育发展，负责学前教育及相关服务。具体是：</w:t>
      </w:r>
    </w:p>
    <w:p w14:paraId="09EB12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（一）对3－6周岁幼儿实施保育和教育，促进幼儿体、智、德、美和谐发展。</w:t>
      </w:r>
    </w:p>
    <w:p w14:paraId="5C8F7A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（二）根据上级教育部门的要求和幼儿园的实际，制定幼儿园的发展规划、年度计划、教育教学、安全保健卫生等计划。</w:t>
      </w:r>
    </w:p>
    <w:p w14:paraId="32FEFF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（三）开展教研活动和课题研究，进行教育改革，推广新的幼儿教育训练方案、教材等科研成果，提高教育质量。</w:t>
      </w:r>
    </w:p>
    <w:p w14:paraId="1CDE2F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（四）开展多项活动，有计划、有组织地</w:t>
      </w:r>
      <w:r>
        <w:rPr>
          <w:rFonts w:hint="eastAsia" w:ascii="仿宋" w:hAnsi="仿宋" w:eastAsia="仿宋" w:cs="仿宋"/>
          <w:color w:val="auto"/>
          <w:sz w:val="32"/>
          <w:szCs w:val="32"/>
          <w:lang w:eastAsia="zh-CN"/>
        </w:rPr>
        <w:t>提升</w:t>
      </w:r>
      <w:r>
        <w:rPr>
          <w:rFonts w:hint="eastAsia" w:ascii="仿宋" w:hAnsi="仿宋" w:eastAsia="仿宋" w:cs="仿宋"/>
          <w:color w:val="auto"/>
          <w:sz w:val="32"/>
          <w:szCs w:val="32"/>
        </w:rPr>
        <w:t>提高教师的业务水平和教学能力。</w:t>
      </w:r>
    </w:p>
    <w:p w14:paraId="13AC02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（五）负责幼儿的体检、卫生保健、安全工作</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预防传染病的发生。</w:t>
      </w:r>
    </w:p>
    <w:p w14:paraId="72C52C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（六）保障幼儿</w:t>
      </w:r>
      <w:r>
        <w:rPr>
          <w:rFonts w:hint="eastAsia" w:ascii="仿宋" w:hAnsi="仿宋" w:eastAsia="仿宋" w:cs="仿宋"/>
          <w:color w:val="auto"/>
          <w:sz w:val="32"/>
          <w:szCs w:val="32"/>
          <w:lang w:val="en-US" w:eastAsia="zh-CN"/>
        </w:rPr>
        <w:t>在园</w:t>
      </w:r>
      <w:r>
        <w:rPr>
          <w:rFonts w:hint="eastAsia" w:ascii="仿宋" w:hAnsi="仿宋" w:eastAsia="仿宋" w:cs="仿宋"/>
          <w:color w:val="auto"/>
          <w:sz w:val="32"/>
          <w:szCs w:val="32"/>
        </w:rPr>
        <w:t>饮食的科学营养，合理安排。</w:t>
      </w:r>
    </w:p>
    <w:p w14:paraId="0B4578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24"/>
          <w:szCs w:val="24"/>
        </w:rPr>
      </w:pPr>
      <w:r>
        <w:rPr>
          <w:rFonts w:hint="eastAsia" w:ascii="仿宋" w:hAnsi="仿宋" w:eastAsia="仿宋" w:cs="仿宋"/>
          <w:color w:val="auto"/>
          <w:sz w:val="32"/>
          <w:szCs w:val="32"/>
        </w:rPr>
        <w:t>（七）建立家园联系制度，采取适当的形式与家长沟通，研究幼儿教育对策，实现家园共育。</w:t>
      </w:r>
    </w:p>
    <w:p w14:paraId="02BE1EDB">
      <w:pPr>
        <w:pStyle w:val="18"/>
        <w:bidi w:val="0"/>
        <w:rPr>
          <w:rFonts w:hint="eastAsia" w:ascii="仿宋_GB2312" w:hAnsi="仿宋_GB2312" w:eastAsia="仿宋_GB2312" w:cs="仿宋_GB2312"/>
        </w:rPr>
      </w:pPr>
    </w:p>
    <w:p w14:paraId="3B15FFA4">
      <w:pPr>
        <w:pStyle w:val="17"/>
        <w:numPr>
          <w:ilvl w:val="0"/>
          <w:numId w:val="0"/>
        </w:numPr>
        <w:bidi w:val="0"/>
        <w:ind w:left="420" w:leftChars="200" w:firstLine="320" w:firstLineChars="100"/>
        <w:rPr>
          <w:rFonts w:hint="eastAsia"/>
        </w:rPr>
      </w:pPr>
      <w:r>
        <w:rPr>
          <w:rFonts w:hint="eastAsia"/>
        </w:rPr>
        <w:t>二、机构设置及人员情况</w:t>
      </w:r>
    </w:p>
    <w:p w14:paraId="11A76165">
      <w:pPr>
        <w:ind w:firstLine="640" w:firstLineChars="200"/>
        <w:rPr>
          <w:rFonts w:hint="eastAsia" w:ascii="楷体" w:hAnsi="楷体" w:eastAsia="楷体" w:cs="楷体"/>
          <w:color w:val="FF0000"/>
          <w:sz w:val="28"/>
          <w:szCs w:val="28"/>
          <w:u w:val="none"/>
          <w:lang w:eastAsia="zh-CN"/>
        </w:rPr>
      </w:pPr>
      <w:r>
        <w:rPr>
          <w:rFonts w:hint="eastAsia" w:ascii="仿宋" w:hAnsi="仿宋" w:eastAsia="仿宋"/>
          <w:color w:val="auto"/>
          <w:sz w:val="32"/>
          <w:szCs w:val="32"/>
          <w:u w:val="none"/>
          <w:lang w:val="en-US" w:eastAsia="zh-CN"/>
        </w:rPr>
        <w:t>2026年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内设处室2个，分别为：</w:t>
      </w:r>
      <w:r>
        <w:rPr>
          <w:rFonts w:hint="eastAsia" w:ascii="仿宋" w:hAnsi="仿宋" w:eastAsia="仿宋"/>
          <w:color w:val="auto"/>
          <w:sz w:val="32"/>
          <w:szCs w:val="32"/>
          <w:u w:val="none"/>
          <w:lang w:val="en-US" w:eastAsia="zh-CN"/>
        </w:rPr>
        <w:t>保教处、后勤处</w:t>
      </w:r>
      <w:r>
        <w:rPr>
          <w:rFonts w:hint="eastAsia" w:ascii="仿宋" w:hAnsi="仿宋" w:eastAsia="仿宋"/>
          <w:color w:val="auto"/>
          <w:sz w:val="32"/>
          <w:szCs w:val="32"/>
          <w:u w:val="none"/>
        </w:rPr>
        <w:t>。</w:t>
      </w:r>
    </w:p>
    <w:p w14:paraId="5AF7CDBE">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sz w:val="32"/>
          <w:szCs w:val="32"/>
          <w:u w:val="none"/>
          <w:lang w:eastAsia="zh-CN"/>
        </w:rPr>
      </w:pPr>
      <w:r>
        <w:rPr>
          <w:rFonts w:hint="eastAsia" w:ascii="仿宋" w:hAnsi="仿宋" w:eastAsia="仿宋"/>
          <w:sz w:val="32"/>
          <w:szCs w:val="32"/>
          <w:u w:val="none"/>
          <w:lang w:val="en-US" w:eastAsia="zh-CN"/>
        </w:rPr>
        <w:t>2026年</w:t>
      </w:r>
      <w:r>
        <w:rPr>
          <w:rFonts w:hint="eastAsia" w:ascii="仿宋" w:hAnsi="仿宋" w:eastAsia="仿宋"/>
          <w:sz w:val="32"/>
          <w:szCs w:val="32"/>
          <w:u w:val="none"/>
          <w:lang w:eastAsia="zh-CN"/>
        </w:rPr>
        <w:t>本单位</w:t>
      </w: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4</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其中：行政编制人数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参照公务员管理的事业编制人数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全部补助事业编制人数</w:t>
      </w:r>
      <w:r>
        <w:rPr>
          <w:rFonts w:hint="eastAsia" w:ascii="仿宋" w:hAnsi="仿宋" w:eastAsia="仿宋"/>
          <w:sz w:val="32"/>
          <w:szCs w:val="32"/>
          <w:u w:val="none"/>
          <w:lang w:val="en-US" w:eastAsia="zh-CN"/>
        </w:rPr>
        <w:t>4</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自收自支编制人数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4</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其中：在职人数小计</w:t>
      </w:r>
      <w:r>
        <w:rPr>
          <w:rFonts w:hint="eastAsia" w:ascii="仿宋" w:hAnsi="仿宋" w:eastAsia="仿宋"/>
          <w:sz w:val="32"/>
          <w:szCs w:val="32"/>
          <w:u w:val="none"/>
          <w:lang w:val="en-US" w:eastAsia="zh-CN"/>
        </w:rPr>
        <w:t>4</w:t>
      </w:r>
      <w:r>
        <w:rPr>
          <w:rFonts w:hint="eastAsia" w:ascii="仿宋" w:hAnsi="仿宋" w:eastAsia="仿宋"/>
          <w:sz w:val="32"/>
          <w:szCs w:val="32"/>
          <w:u w:val="none"/>
        </w:rPr>
        <w:t>人（行政在职人数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参照公务员管理的事业单位在职人数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全部补助事业在职人数</w:t>
      </w:r>
      <w:r>
        <w:rPr>
          <w:rFonts w:hint="eastAsia" w:ascii="仿宋" w:hAnsi="仿宋" w:eastAsia="仿宋"/>
          <w:sz w:val="32"/>
          <w:szCs w:val="32"/>
          <w:u w:val="none"/>
          <w:lang w:val="en-US" w:eastAsia="zh-CN"/>
        </w:rPr>
        <w:t>4</w:t>
      </w:r>
      <w:r>
        <w:rPr>
          <w:rFonts w:hint="eastAsia" w:ascii="仿宋" w:hAnsi="仿宋" w:eastAsia="仿宋"/>
          <w:sz w:val="32"/>
          <w:szCs w:val="32"/>
          <w:u w:val="none"/>
        </w:rPr>
        <w:t>人）；离休人数小计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w:t>
      </w:r>
    </w:p>
    <w:p w14:paraId="244DF3F1">
      <w:pPr>
        <w:spacing w:line="560" w:lineRule="exact"/>
        <w:ind w:firstLine="640" w:firstLineChars="200"/>
        <w:rPr>
          <w:rFonts w:hint="eastAsia" w:ascii="仿宋_GB2312" w:hAnsi="仿宋_GB2312" w:eastAsia="仿宋_GB2312" w:cs="仿宋_GB2312"/>
          <w:highlight w:val="none"/>
        </w:rPr>
      </w:pPr>
      <w:r>
        <w:rPr>
          <w:rFonts w:hint="eastAsia" w:ascii="仿宋" w:hAnsi="仿宋" w:eastAsia="仿宋"/>
          <w:color w:val="auto"/>
          <w:sz w:val="32"/>
          <w:szCs w:val="32"/>
          <w:highlight w:val="none"/>
          <w:u w:val="none"/>
          <w:lang w:val="en-US" w:eastAsia="zh-CN"/>
        </w:rPr>
        <w:t>2026年</w:t>
      </w:r>
      <w:r>
        <w:rPr>
          <w:rFonts w:hint="eastAsia" w:ascii="仿宋" w:hAnsi="仿宋" w:eastAsia="仿宋"/>
          <w:color w:val="auto"/>
          <w:sz w:val="32"/>
          <w:szCs w:val="32"/>
          <w:highlight w:val="none"/>
          <w:u w:val="none"/>
          <w:lang w:eastAsia="zh-CN"/>
        </w:rPr>
        <w:t>本单位</w:t>
      </w:r>
      <w:r>
        <w:rPr>
          <w:rFonts w:hint="eastAsia" w:ascii="仿宋" w:hAnsi="仿宋" w:eastAsia="仿宋"/>
          <w:color w:val="auto"/>
          <w:sz w:val="32"/>
          <w:szCs w:val="32"/>
          <w:highlight w:val="none"/>
          <w:u w:val="none"/>
        </w:rPr>
        <w:t>在校学生</w:t>
      </w:r>
      <w:r>
        <w:rPr>
          <w:rFonts w:hint="eastAsia" w:ascii="仿宋" w:hAnsi="仿宋" w:eastAsia="仿宋"/>
          <w:color w:val="auto"/>
          <w:sz w:val="32"/>
          <w:szCs w:val="32"/>
          <w:highlight w:val="none"/>
          <w:u w:val="none"/>
          <w:lang w:val="en-US" w:eastAsia="zh-CN"/>
        </w:rPr>
        <w:t>490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r>
        <w:rPr>
          <w:rFonts w:hint="eastAsia" w:ascii="仿宋" w:hAnsi="仿宋" w:eastAsia="仿宋"/>
          <w:color w:val="auto"/>
          <w:sz w:val="32"/>
          <w:szCs w:val="32"/>
          <w:highlight w:val="none"/>
          <w:u w:val="none"/>
        </w:rPr>
        <w:t>其中：本科生人数</w:t>
      </w:r>
      <w:r>
        <w:rPr>
          <w:rFonts w:hint="eastAsia" w:ascii="仿宋" w:hAnsi="仿宋" w:eastAsia="仿宋"/>
          <w:color w:val="auto"/>
          <w:sz w:val="32"/>
          <w:szCs w:val="32"/>
          <w:highlight w:val="none"/>
          <w:u w:val="none"/>
          <w:lang w:val="en-US" w:eastAsia="zh-CN"/>
        </w:rPr>
        <w:t>0</w:t>
      </w:r>
      <w:r>
        <w:rPr>
          <w:rFonts w:hint="eastAsia" w:ascii="仿宋" w:hAnsi="仿宋" w:eastAsia="仿宋"/>
          <w:color w:val="auto"/>
          <w:sz w:val="32"/>
          <w:szCs w:val="32"/>
          <w:highlight w:val="none"/>
          <w:u w:val="none"/>
        </w:rPr>
        <w:t>人，专科生人数</w:t>
      </w:r>
      <w:r>
        <w:rPr>
          <w:rFonts w:hint="eastAsia" w:ascii="仿宋" w:hAnsi="仿宋" w:eastAsia="仿宋"/>
          <w:color w:val="auto"/>
          <w:sz w:val="32"/>
          <w:szCs w:val="32"/>
          <w:highlight w:val="none"/>
          <w:u w:val="none"/>
          <w:lang w:val="en-US" w:eastAsia="zh-CN"/>
        </w:rPr>
        <w:t>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，高中人数</w:t>
      </w:r>
      <w:r>
        <w:rPr>
          <w:rFonts w:hint="eastAsia" w:ascii="仿宋" w:hAnsi="仿宋" w:eastAsia="仿宋"/>
          <w:color w:val="auto"/>
          <w:sz w:val="32"/>
          <w:szCs w:val="32"/>
          <w:highlight w:val="none"/>
          <w:u w:val="none"/>
          <w:lang w:val="en-US" w:eastAsia="zh-CN"/>
        </w:rPr>
        <w:t>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，初中人数</w:t>
      </w:r>
      <w:r>
        <w:rPr>
          <w:rFonts w:hint="eastAsia" w:ascii="仿宋" w:hAnsi="仿宋" w:eastAsia="仿宋"/>
          <w:color w:val="auto"/>
          <w:sz w:val="32"/>
          <w:szCs w:val="32"/>
          <w:highlight w:val="none"/>
          <w:u w:val="none"/>
          <w:lang w:val="en-US" w:eastAsia="zh-CN"/>
        </w:rPr>
        <w:t>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，小学人数</w:t>
      </w:r>
      <w:r>
        <w:rPr>
          <w:rFonts w:hint="eastAsia" w:ascii="仿宋" w:hAnsi="仿宋" w:eastAsia="仿宋"/>
          <w:color w:val="auto"/>
          <w:sz w:val="32"/>
          <w:szCs w:val="32"/>
          <w:highlight w:val="none"/>
          <w:u w:val="none"/>
          <w:lang w:val="en-US" w:eastAsia="zh-CN"/>
        </w:rPr>
        <w:t>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，幼儿园人数</w:t>
      </w:r>
      <w:r>
        <w:rPr>
          <w:rFonts w:hint="eastAsia" w:ascii="仿宋" w:hAnsi="仿宋" w:eastAsia="仿宋"/>
          <w:color w:val="auto"/>
          <w:sz w:val="32"/>
          <w:szCs w:val="32"/>
          <w:highlight w:val="none"/>
          <w:u w:val="none"/>
          <w:lang w:val="en-US" w:eastAsia="zh-CN"/>
        </w:rPr>
        <w:t>490</w:t>
      </w:r>
      <w:r>
        <w:rPr>
          <w:rFonts w:hint="eastAsia" w:ascii="仿宋" w:hAnsi="仿宋" w:eastAsia="仿宋"/>
          <w:color w:val="auto"/>
          <w:sz w:val="32"/>
          <w:szCs w:val="32"/>
          <w:highlight w:val="none"/>
          <w:u w:val="none"/>
        </w:rPr>
        <w:t>人</w:t>
      </w:r>
      <w:r>
        <w:rPr>
          <w:rFonts w:hint="eastAsia" w:ascii="仿宋" w:hAnsi="仿宋" w:eastAsia="仿宋"/>
          <w:color w:val="auto"/>
          <w:sz w:val="32"/>
          <w:szCs w:val="32"/>
          <w:highlight w:val="none"/>
          <w:u w:val="none"/>
          <w:lang w:eastAsia="zh-CN"/>
        </w:rPr>
        <w:t>。</w:t>
      </w:r>
    </w:p>
    <w:p w14:paraId="4A01B192">
      <w:pPr>
        <w:widowControl/>
        <w:spacing w:line="580" w:lineRule="exact"/>
        <w:jc w:val="center"/>
        <w:rPr>
          <w:rFonts w:ascii="仿宋_GB2312" w:eastAsia="仿宋_GB2312"/>
          <w:b/>
          <w:szCs w:val="30"/>
        </w:rPr>
      </w:pPr>
    </w:p>
    <w:p w14:paraId="4A3DBEB7">
      <w:pPr>
        <w:pStyle w:val="17"/>
        <w:numPr>
          <w:ilvl w:val="0"/>
          <w:numId w:val="0"/>
        </w:numPr>
        <w:bidi w:val="0"/>
        <w:ind w:left="420" w:leftChars="200"/>
        <w:jc w:val="center"/>
        <w:rPr>
          <w:rFonts w:hint="eastAsia"/>
          <w:lang w:eastAsia="zh-CN"/>
        </w:rPr>
      </w:pPr>
      <w:r>
        <w:rPr>
          <w:rFonts w:hint="eastAsia"/>
          <w:lang w:eastAsia="zh-CN"/>
        </w:rPr>
        <w:t>第二部分  兴国县第十二幼儿园2026年</w:t>
      </w:r>
      <w:r>
        <w:rPr>
          <w:rFonts w:hint="eastAsia"/>
          <w:lang w:val="en-US" w:eastAsia="zh-CN"/>
        </w:rPr>
        <w:t>单位</w:t>
      </w:r>
      <w:r>
        <w:rPr>
          <w:rFonts w:hint="eastAsia"/>
          <w:lang w:eastAsia="zh-CN"/>
        </w:rPr>
        <w:t>预算表</w:t>
      </w:r>
    </w:p>
    <w:p w14:paraId="63DF6FFC">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74E17864">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A7F2ECF">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06D9F567">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586E20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201108兴国县第十二幼儿园</w:t>
            </w:r>
          </w:p>
        </w:tc>
        <w:tc>
          <w:tcPr>
            <w:tcW w:w="1655" w:type="pct"/>
            <w:noWrap/>
            <w:vAlign w:val="bottom"/>
          </w:tcPr>
          <w:p w14:paraId="1F9869C8">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7F8C961D">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4D67F590">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280265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6CB67A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C4E57FD">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A8B63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C3CBC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776236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629275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DFBB4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A5323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03940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277.89</w:t>
            </w:r>
          </w:p>
        </w:tc>
        <w:tc>
          <w:tcPr>
            <w:tcW w:w="1655" w:type="pct"/>
            <w:tcBorders>
              <w:top w:val="nil"/>
              <w:left w:val="nil"/>
              <w:bottom w:val="single" w:color="000000" w:sz="4" w:space="0"/>
              <w:right w:val="single" w:color="000000" w:sz="4" w:space="0"/>
            </w:tcBorders>
            <w:noWrap/>
            <w:vAlign w:val="center"/>
          </w:tcPr>
          <w:p w14:paraId="20CACB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7E2E30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428.54</w:t>
            </w:r>
          </w:p>
        </w:tc>
      </w:tr>
      <w:tr w14:paraId="33C45C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8EC60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678A05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277.89</w:t>
            </w:r>
          </w:p>
        </w:tc>
        <w:tc>
          <w:tcPr>
            <w:tcW w:w="1655" w:type="pct"/>
            <w:tcBorders>
              <w:top w:val="nil"/>
              <w:left w:val="nil"/>
              <w:bottom w:val="single" w:color="000000" w:sz="4" w:space="0"/>
              <w:right w:val="single" w:color="000000" w:sz="4" w:space="0"/>
            </w:tcBorders>
            <w:noWrap/>
            <w:vAlign w:val="center"/>
          </w:tcPr>
          <w:p w14:paraId="5FEA6C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6964BE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5.85</w:t>
            </w:r>
          </w:p>
        </w:tc>
      </w:tr>
      <w:tr w14:paraId="79B5849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638534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867E9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21AA2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2D7EB6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3.75</w:t>
            </w:r>
          </w:p>
        </w:tc>
      </w:tr>
      <w:tr w14:paraId="23033B4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142D9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58E75F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DB46B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44FBF1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300.00</w:t>
            </w:r>
          </w:p>
        </w:tc>
      </w:tr>
      <w:tr w14:paraId="49EF0C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9F033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33F953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160.00</w:t>
            </w:r>
          </w:p>
        </w:tc>
        <w:tc>
          <w:tcPr>
            <w:tcW w:w="1655" w:type="pct"/>
            <w:tcBorders>
              <w:top w:val="nil"/>
              <w:left w:val="nil"/>
              <w:bottom w:val="single" w:color="000000" w:sz="4" w:space="0"/>
              <w:right w:val="single" w:color="000000" w:sz="4" w:space="0"/>
            </w:tcBorders>
            <w:noWrap/>
            <w:vAlign w:val="center"/>
          </w:tcPr>
          <w:p w14:paraId="685918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22F31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A6414A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CFA15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582E0E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609B0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31FE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D2B4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1763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FBEFA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407E5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5492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691A3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86A37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09CD9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50D3B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D014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63A8E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8FC9DA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2FE466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680AE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07D7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9550E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BABE0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15DD37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300.00</w:t>
            </w:r>
          </w:p>
        </w:tc>
        <w:tc>
          <w:tcPr>
            <w:tcW w:w="1655" w:type="pct"/>
            <w:tcBorders>
              <w:top w:val="nil"/>
              <w:left w:val="nil"/>
              <w:bottom w:val="single" w:color="000000" w:sz="4" w:space="0"/>
              <w:right w:val="single" w:color="000000" w:sz="4" w:space="0"/>
            </w:tcBorders>
            <w:noWrap/>
            <w:vAlign w:val="center"/>
          </w:tcPr>
          <w:p w14:paraId="165CB7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F4AA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4931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B9175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266F4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D584C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C8480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731EA6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2202C3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14117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0C05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FD35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5551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0D15C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C6A8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134A7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C044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B06D2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370DA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0DB2C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1B47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E96C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7D6F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E8B8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143C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4D9A0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1CF80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2FED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AACC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3878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6858E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535A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4222D1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836A4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6D07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E259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F854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63231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64D2F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DA2E2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CD1C3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8C80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4750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1767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86040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6510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BDDE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50C1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B9F6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DF4D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17BE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9BE5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6E195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817AE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5D096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4EBC7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D9F6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8DD8B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65C3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DF5A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C6B29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37FA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8C1D9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2095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63B01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1FA8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5E90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97979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074C1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9EED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7E41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E915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8E64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D8C9C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EDC8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B567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0442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8291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59D0F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22CF7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330DD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53D1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4D07A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95D2AA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456E4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10AB3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655A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CBFEE8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3C6DE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53CA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F37D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8FF69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08DB3B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F5B213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65B9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24DD8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388D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F9BA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B251B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013B2E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737.89</w:t>
            </w:r>
          </w:p>
        </w:tc>
        <w:tc>
          <w:tcPr>
            <w:tcW w:w="1655" w:type="pct"/>
            <w:tcBorders>
              <w:top w:val="nil"/>
              <w:left w:val="nil"/>
              <w:bottom w:val="single" w:color="auto" w:sz="4" w:space="0"/>
              <w:right w:val="single" w:color="000000" w:sz="4" w:space="0"/>
            </w:tcBorders>
            <w:noWrap/>
            <w:vAlign w:val="center"/>
          </w:tcPr>
          <w:p w14:paraId="70D0E8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3D6FF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738.14</w:t>
            </w:r>
          </w:p>
        </w:tc>
      </w:tr>
      <w:tr w14:paraId="380673F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092B1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261EB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0DC2FD5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6ADF41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5905E18">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628B59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330142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0.25</w:t>
            </w:r>
          </w:p>
        </w:tc>
        <w:tc>
          <w:tcPr>
            <w:tcW w:w="1655" w:type="pct"/>
            <w:tcBorders>
              <w:top w:val="single" w:color="auto" w:sz="4" w:space="0"/>
              <w:left w:val="nil"/>
              <w:bottom w:val="single" w:color="auto" w:sz="4" w:space="0"/>
              <w:right w:val="single" w:color="000000" w:sz="4" w:space="0"/>
            </w:tcBorders>
            <w:noWrap/>
            <w:vAlign w:val="bottom"/>
          </w:tcPr>
          <w:p w14:paraId="7909A3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14358D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771F41">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B2354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CC239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738.14</w:t>
            </w:r>
          </w:p>
        </w:tc>
        <w:tc>
          <w:tcPr>
            <w:tcW w:w="1655" w:type="pct"/>
            <w:tcBorders>
              <w:top w:val="single" w:color="auto" w:sz="4" w:space="0"/>
              <w:left w:val="single" w:color="auto" w:sz="4" w:space="0"/>
              <w:bottom w:val="single" w:color="auto" w:sz="4" w:space="0"/>
              <w:right w:val="single" w:color="auto" w:sz="4" w:space="0"/>
            </w:tcBorders>
            <w:noWrap/>
            <w:vAlign w:val="center"/>
          </w:tcPr>
          <w:p w14:paraId="65ACDA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06895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738.14</w:t>
            </w:r>
          </w:p>
        </w:tc>
      </w:tr>
    </w:tbl>
    <w:p w14:paraId="6836709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18D1202B">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E8CA522">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2CA65926">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833D69F">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填报单位：201108兴国县第十二幼儿园</w:t>
            </w:r>
          </w:p>
        </w:tc>
        <w:tc>
          <w:tcPr>
            <w:tcW w:w="366" w:type="pct"/>
            <w:tcBorders>
              <w:top w:val="nil"/>
              <w:left w:val="nil"/>
              <w:bottom w:val="single" w:color="auto" w:sz="4" w:space="0"/>
              <w:right w:val="nil"/>
            </w:tcBorders>
            <w:shd w:val="clear" w:color="auto" w:fill="auto"/>
            <w:noWrap/>
            <w:vAlign w:val="bottom"/>
          </w:tcPr>
          <w:p w14:paraId="7CA6708A">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4DF690D8">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7C28F245">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483CA35">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601FC080">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5A15B4BA">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2B29B25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A21ED18">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6CFF84FC">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3392427">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5DDA979">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E7F740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E178C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5ADDB3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B2ADC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BCC6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F425B3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0F841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BFF25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787885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30824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4A0CF686">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7C2DD904">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E5B5021">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541AF869">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906FC8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B74B9E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2CA1C4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38D8872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005D432">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73B02BB5">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521A51A">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03FF756">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BABD636">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379D6FB">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44B90D56">
            <w:pPr>
              <w:widowControl/>
              <w:jc w:val="left"/>
              <w:rPr>
                <w:rFonts w:ascii="宋体" w:hAnsi="宋体" w:eastAsia="宋体" w:cs="Arial"/>
                <w:color w:val="000000"/>
                <w:kern w:val="0"/>
                <w:sz w:val="13"/>
                <w:szCs w:val="13"/>
              </w:rPr>
            </w:pPr>
          </w:p>
        </w:tc>
      </w:tr>
      <w:tr w14:paraId="1D5F201D">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B2CAE6">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8162E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866AE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F337F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CC060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5259A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6CB7E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6104C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AC5B6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AF7F4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2F6C5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69313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B2DE65">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82881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3E1BD1C9">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22888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兴国县第十二幼儿园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5A4E6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738.14</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5585C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0.25</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16DC8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277.89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C4AB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277.89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24F5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312B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DCB92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F27BB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C4B28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16A9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B153B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CD919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C50943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01EF334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481D0AC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664BB26">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A25F9A9">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95A8868">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：201108兴国县第十二幼儿园</w:t>
            </w:r>
          </w:p>
        </w:tc>
        <w:tc>
          <w:tcPr>
            <w:tcW w:w="914" w:type="pct"/>
            <w:tcBorders>
              <w:top w:val="nil"/>
              <w:left w:val="nil"/>
              <w:bottom w:val="nil"/>
              <w:right w:val="nil"/>
            </w:tcBorders>
            <w:shd w:val="clear" w:color="auto" w:fill="auto"/>
            <w:noWrap/>
            <w:vAlign w:val="bottom"/>
          </w:tcPr>
          <w:p w14:paraId="4AB8738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17CD9AC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465AD7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BCFC231">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D99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BA14E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D1952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A2A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64959B2">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B37A8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88E21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1FCEEFF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506D4FD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09903C9D">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0098447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128ED3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43FDBC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357ADB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00C9A8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750F23D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376D5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150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AEF4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8433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738.14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2903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408.49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D54ED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329.65</w:t>
            </w:r>
          </w:p>
        </w:tc>
      </w:tr>
      <w:tr w14:paraId="375795A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48D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691E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9301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428.54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DE27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DAD8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29.65</w:t>
            </w:r>
          </w:p>
        </w:tc>
      </w:tr>
      <w:tr w14:paraId="430F546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E48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AC94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CAB9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428.54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6AD1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398.89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5237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29.65</w:t>
            </w:r>
          </w:p>
        </w:tc>
      </w:tr>
      <w:tr w14:paraId="2FC15BE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E4E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0179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2375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428.54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981A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398.89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AD5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29.65</w:t>
            </w:r>
          </w:p>
        </w:tc>
      </w:tr>
      <w:tr w14:paraId="0735E50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23B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48F2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3268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2F9C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75F1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69CD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AE0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CA92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3DD2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BC40F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80329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CAA7E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4C7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2442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AF23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9365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3732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DC0C5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740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4C76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268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9A4B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D52EA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A29776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C32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AF72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DF01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D154D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8809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47BC2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182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A4547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2E6D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74214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9629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F2BFAC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042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68FD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110B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010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F8F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D8D214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BFC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8B50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37C2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448C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17D2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5C457B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712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ABDF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BDBC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C939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1DC6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53B0BB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215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75D1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0DB35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C5FC1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ECED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r>
      <w:tr w14:paraId="402D61E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86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73E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3D5A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D271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7944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300.00</w:t>
            </w:r>
          </w:p>
        </w:tc>
      </w:tr>
      <w:tr w14:paraId="7ECDF88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764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4102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E6F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30AC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509A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300.00</w:t>
            </w:r>
          </w:p>
        </w:tc>
      </w:tr>
    </w:tbl>
    <w:p w14:paraId="202D0820">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78AC46F1">
        <w:tblPrEx>
          <w:tblCellMar>
            <w:top w:w="0" w:type="dxa"/>
            <w:left w:w="108" w:type="dxa"/>
            <w:bottom w:w="0" w:type="dxa"/>
            <w:right w:w="108" w:type="dxa"/>
          </w:tblCellMar>
        </w:tblPrEx>
        <w:trPr>
          <w:trHeight w:val="585" w:hRule="atLeast"/>
          <w:tblHeader/>
        </w:trPr>
        <w:tc>
          <w:tcPr>
            <w:tcW w:w="5000" w:type="pct"/>
            <w:gridSpan w:val="7"/>
            <w:noWrap/>
            <w:vAlign w:val="center"/>
          </w:tcPr>
          <w:p w14:paraId="6072C11F">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E521633">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5138A303">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201108兴国县第十二幼儿园</w:t>
            </w:r>
          </w:p>
        </w:tc>
        <w:tc>
          <w:tcPr>
            <w:tcW w:w="577" w:type="pct"/>
            <w:noWrap/>
            <w:vAlign w:val="bottom"/>
          </w:tcPr>
          <w:p w14:paraId="6ABB925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3D8614D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6A9B82E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5F5E2AD3">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0EDAB03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48F80FA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D43F063">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5FEE32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5F1D44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4BC50B5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02A8F70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359044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42D3C4A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01318AA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727B7E6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B3990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4CD43D3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277.89</w:t>
            </w:r>
          </w:p>
        </w:tc>
        <w:tc>
          <w:tcPr>
            <w:tcW w:w="948" w:type="pct"/>
            <w:tcBorders>
              <w:top w:val="nil"/>
              <w:left w:val="nil"/>
              <w:bottom w:val="single" w:color="000000" w:sz="4" w:space="0"/>
              <w:right w:val="single" w:color="000000" w:sz="4" w:space="0"/>
            </w:tcBorders>
            <w:noWrap/>
            <w:vAlign w:val="center"/>
          </w:tcPr>
          <w:p w14:paraId="3DE48A1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66BAAB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268.54</w:t>
            </w:r>
          </w:p>
        </w:tc>
        <w:tc>
          <w:tcPr>
            <w:tcW w:w="612" w:type="pct"/>
            <w:tcBorders>
              <w:top w:val="nil"/>
              <w:left w:val="nil"/>
              <w:bottom w:val="single" w:color="000000" w:sz="4" w:space="0"/>
              <w:right w:val="single" w:color="000000" w:sz="4" w:space="0"/>
            </w:tcBorders>
            <w:noWrap/>
            <w:vAlign w:val="center"/>
          </w:tcPr>
          <w:p w14:paraId="4A86271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268.54</w:t>
            </w:r>
          </w:p>
        </w:tc>
        <w:tc>
          <w:tcPr>
            <w:tcW w:w="602" w:type="pct"/>
            <w:tcBorders>
              <w:top w:val="nil"/>
              <w:left w:val="nil"/>
              <w:bottom w:val="single" w:color="000000" w:sz="4" w:space="0"/>
              <w:right w:val="single" w:color="000000" w:sz="4" w:space="0"/>
            </w:tcBorders>
            <w:noWrap/>
            <w:vAlign w:val="center"/>
          </w:tcPr>
          <w:p w14:paraId="0BF1D6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21C0FBF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285DF5A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E0980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6B9C184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277.89</w:t>
            </w:r>
          </w:p>
        </w:tc>
        <w:tc>
          <w:tcPr>
            <w:tcW w:w="948" w:type="pct"/>
            <w:tcBorders>
              <w:top w:val="nil"/>
              <w:left w:val="single" w:color="000000" w:sz="4" w:space="0"/>
              <w:bottom w:val="single" w:color="000000" w:sz="4" w:space="0"/>
              <w:right w:val="single" w:color="000000" w:sz="4" w:space="0"/>
            </w:tcBorders>
            <w:noWrap/>
            <w:vAlign w:val="center"/>
          </w:tcPr>
          <w:p w14:paraId="75AA1525">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67A8AE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5.85</w:t>
            </w:r>
          </w:p>
        </w:tc>
        <w:tc>
          <w:tcPr>
            <w:tcW w:w="612" w:type="pct"/>
            <w:tcBorders>
              <w:top w:val="nil"/>
              <w:left w:val="nil"/>
              <w:bottom w:val="single" w:color="000000" w:sz="4" w:space="0"/>
              <w:right w:val="single" w:color="000000" w:sz="4" w:space="0"/>
            </w:tcBorders>
            <w:noWrap/>
            <w:vAlign w:val="center"/>
          </w:tcPr>
          <w:p w14:paraId="1D0431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5.85</w:t>
            </w:r>
          </w:p>
        </w:tc>
        <w:tc>
          <w:tcPr>
            <w:tcW w:w="602" w:type="pct"/>
            <w:tcBorders>
              <w:top w:val="nil"/>
              <w:left w:val="nil"/>
              <w:bottom w:val="single" w:color="000000" w:sz="4" w:space="0"/>
              <w:right w:val="single" w:color="000000" w:sz="4" w:space="0"/>
            </w:tcBorders>
            <w:noWrap/>
            <w:vAlign w:val="center"/>
          </w:tcPr>
          <w:p w14:paraId="390C32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90AE8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135B50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9DF63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808C15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1ECD3607">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034074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3.75</w:t>
            </w:r>
          </w:p>
        </w:tc>
        <w:tc>
          <w:tcPr>
            <w:tcW w:w="612" w:type="pct"/>
            <w:tcBorders>
              <w:top w:val="nil"/>
              <w:left w:val="nil"/>
              <w:bottom w:val="single" w:color="000000" w:sz="4" w:space="0"/>
              <w:right w:val="single" w:color="000000" w:sz="4" w:space="0"/>
            </w:tcBorders>
            <w:noWrap/>
            <w:vAlign w:val="center"/>
          </w:tcPr>
          <w:p w14:paraId="587E01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3.75</w:t>
            </w:r>
          </w:p>
        </w:tc>
        <w:tc>
          <w:tcPr>
            <w:tcW w:w="602" w:type="pct"/>
            <w:tcBorders>
              <w:top w:val="nil"/>
              <w:left w:val="nil"/>
              <w:bottom w:val="single" w:color="000000" w:sz="4" w:space="0"/>
              <w:right w:val="single" w:color="000000" w:sz="4" w:space="0"/>
            </w:tcBorders>
            <w:noWrap/>
            <w:vAlign w:val="center"/>
          </w:tcPr>
          <w:p w14:paraId="75E50A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133F0C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D6129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DADF93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5C3D1F0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05FD45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49D2E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7B43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FAE7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70C7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0A61B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76E0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349972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95AD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192E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219AE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E621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B966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DA48B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892A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01587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44DD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F1699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685C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5115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8CF6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FF15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B950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F8AA7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128B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BA0B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6835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4254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6B74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A098B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ACDF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E475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221A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923A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A086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A4E3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EE99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A9D6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3B71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D604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598C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CB97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E538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FB64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CDD0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D3E75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162F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9AEA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DDAA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E8AE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BB5A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F0D4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DF16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AAD9F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1570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143EA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53464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AE7F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296B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9F44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350B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E2C6D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40DE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73AF1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4B4A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6173E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FAED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0D18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DBC3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B7CDA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5DCF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FB0B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C5BC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C469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B38B3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9571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165C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9A71E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9401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8719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FB85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1BBB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C80B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FD9F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571D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E2462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BF9E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2E954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8062F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1AB4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8E14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0328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6049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529E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EDE5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CCC22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5F7F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241E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AC11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BB92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9BC1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6A3B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18DF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4F10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A995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F901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F28D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BB8C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72BB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6E484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FF49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ED65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928E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B4DD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E56B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F394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9C78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2B5A3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7D0F1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39D8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32B4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49FE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795B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038C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A07B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6CFBF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F36EF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FF227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2A75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71FD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C93D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3E50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8AC98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A004D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59DA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4534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1974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798A8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606E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6C285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57B1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318B1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1FCE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4E0D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BA0B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BD09F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CF70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4FB1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9DB7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8FA9F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AA86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DF6D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3662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BAF87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DF33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00D8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843C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60EE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CF83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2F08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171C4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E36A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78FE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5F3F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915B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0BE8C1">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4CDBD1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26D669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71CF4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FD382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96B5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1491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77BE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DCCBE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7340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881E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66E3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F59CD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76B0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FD9C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8D51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87D9C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D888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A512D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E469A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3541A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2F59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5B37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11E2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0D21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D43E8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76F6B69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FBF63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80131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EF8D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DC99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58B7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DC91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B942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1FE1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35A2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61A16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BF34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C07D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2B34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69A73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5BFD3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38F7716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0.25　</w:t>
            </w:r>
          </w:p>
        </w:tc>
        <w:tc>
          <w:tcPr>
            <w:tcW w:w="948" w:type="pct"/>
            <w:tcBorders>
              <w:top w:val="nil"/>
              <w:left w:val="nil"/>
              <w:bottom w:val="single" w:color="auto" w:sz="4" w:space="0"/>
              <w:right w:val="single" w:color="000000" w:sz="4" w:space="0"/>
            </w:tcBorders>
            <w:noWrap/>
            <w:vAlign w:val="center"/>
          </w:tcPr>
          <w:p w14:paraId="3B2BD674">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091129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19F4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7A9C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CA054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C9447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4933917">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22EB9B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0.25　</w:t>
            </w:r>
          </w:p>
        </w:tc>
        <w:tc>
          <w:tcPr>
            <w:tcW w:w="948" w:type="pct"/>
            <w:tcBorders>
              <w:top w:val="single" w:color="auto" w:sz="4" w:space="0"/>
              <w:left w:val="single" w:color="auto" w:sz="4" w:space="0"/>
              <w:bottom w:val="single" w:color="auto" w:sz="4" w:space="0"/>
              <w:right w:val="single" w:color="auto" w:sz="4" w:space="0"/>
            </w:tcBorders>
            <w:noWrap/>
            <w:vAlign w:val="center"/>
          </w:tcPr>
          <w:p w14:paraId="68382E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7ABBB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58039D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2CE4D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087FC208">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2350979">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9CFD03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E6A593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29B3784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4F9BB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A38E5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DBD46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AAA0CC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B40AF2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2F7D04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A1857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278.14</w:t>
            </w:r>
          </w:p>
        </w:tc>
        <w:tc>
          <w:tcPr>
            <w:tcW w:w="948" w:type="pct"/>
            <w:tcBorders>
              <w:top w:val="single" w:color="auto" w:sz="4" w:space="0"/>
              <w:left w:val="single" w:color="auto" w:sz="4" w:space="0"/>
              <w:bottom w:val="single" w:color="auto" w:sz="4" w:space="0"/>
              <w:right w:val="single" w:color="auto" w:sz="4" w:space="0"/>
            </w:tcBorders>
            <w:noWrap/>
            <w:vAlign w:val="center"/>
          </w:tcPr>
          <w:p w14:paraId="772B9DF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AC63D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278.14</w:t>
            </w:r>
          </w:p>
        </w:tc>
        <w:tc>
          <w:tcPr>
            <w:tcW w:w="612" w:type="pct"/>
            <w:tcBorders>
              <w:top w:val="single" w:color="auto" w:sz="4" w:space="0"/>
              <w:left w:val="single" w:color="auto" w:sz="4" w:space="0"/>
              <w:bottom w:val="single" w:color="auto" w:sz="4" w:space="0"/>
              <w:right w:val="single" w:color="auto" w:sz="4" w:space="0"/>
            </w:tcBorders>
            <w:noWrap/>
            <w:vAlign w:val="center"/>
          </w:tcPr>
          <w:p w14:paraId="571E06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278.14</w:t>
            </w:r>
          </w:p>
        </w:tc>
        <w:tc>
          <w:tcPr>
            <w:tcW w:w="602" w:type="pct"/>
            <w:tcBorders>
              <w:top w:val="single" w:color="auto" w:sz="4" w:space="0"/>
              <w:left w:val="single" w:color="auto" w:sz="4" w:space="0"/>
              <w:bottom w:val="single" w:color="auto" w:sz="4" w:space="0"/>
              <w:right w:val="single" w:color="auto" w:sz="4" w:space="0"/>
            </w:tcBorders>
            <w:noWrap/>
            <w:vAlign w:val="center"/>
          </w:tcPr>
          <w:p w14:paraId="35ECE4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097D44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9DED01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31FDD7A5">
        <w:tblPrEx>
          <w:tblCellMar>
            <w:top w:w="0" w:type="dxa"/>
            <w:left w:w="108" w:type="dxa"/>
            <w:bottom w:w="0" w:type="dxa"/>
            <w:right w:w="108" w:type="dxa"/>
          </w:tblCellMar>
        </w:tblPrEx>
        <w:trPr>
          <w:trHeight w:val="585" w:hRule="atLeast"/>
          <w:tblHeader/>
        </w:trPr>
        <w:tc>
          <w:tcPr>
            <w:tcW w:w="5000" w:type="pct"/>
            <w:gridSpan w:val="5"/>
            <w:noWrap/>
            <w:vAlign w:val="center"/>
          </w:tcPr>
          <w:p w14:paraId="7082AD1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7A3971E3">
        <w:tblPrEx>
          <w:tblCellMar>
            <w:top w:w="0" w:type="dxa"/>
            <w:left w:w="108" w:type="dxa"/>
            <w:bottom w:w="0" w:type="dxa"/>
            <w:right w:w="108" w:type="dxa"/>
          </w:tblCellMar>
        </w:tblPrEx>
        <w:trPr>
          <w:trHeight w:val="420" w:hRule="atLeast"/>
          <w:tblHeader/>
        </w:trPr>
        <w:tc>
          <w:tcPr>
            <w:tcW w:w="2433" w:type="pct"/>
            <w:gridSpan w:val="2"/>
            <w:noWrap/>
            <w:vAlign w:val="center"/>
          </w:tcPr>
          <w:p w14:paraId="61EF3D4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201108兴国县第十二幼儿园</w:t>
            </w:r>
          </w:p>
        </w:tc>
        <w:tc>
          <w:tcPr>
            <w:tcW w:w="1056" w:type="pct"/>
            <w:noWrap/>
            <w:vAlign w:val="bottom"/>
          </w:tcPr>
          <w:p w14:paraId="3735B52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9E0468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243D20E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5D5874B">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1FD2EE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47833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DAA602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603901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22FB43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01E762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5FAA3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F86F5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BC43E57">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4B35F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136E03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02B4F4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5FFE32E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E952E9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DFAF10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ACFED2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21ADB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05BE0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277.89</w:t>
            </w:r>
          </w:p>
        </w:tc>
        <w:tc>
          <w:tcPr>
            <w:tcW w:w="684" w:type="pct"/>
            <w:tcBorders>
              <w:top w:val="single" w:color="000000" w:sz="4" w:space="0"/>
              <w:left w:val="nil"/>
              <w:bottom w:val="single" w:color="000000" w:sz="4" w:space="0"/>
              <w:right w:val="single" w:color="000000" w:sz="4" w:space="0"/>
            </w:tcBorders>
            <w:noWrap/>
            <w:vAlign w:val="center"/>
          </w:tcPr>
          <w:p w14:paraId="4722E7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248.49</w:t>
            </w:r>
          </w:p>
        </w:tc>
        <w:tc>
          <w:tcPr>
            <w:tcW w:w="825" w:type="pct"/>
            <w:tcBorders>
              <w:top w:val="single" w:color="000000" w:sz="4" w:space="0"/>
              <w:left w:val="nil"/>
              <w:bottom w:val="single" w:color="000000" w:sz="4" w:space="0"/>
              <w:right w:val="single" w:color="000000" w:sz="4" w:space="0"/>
            </w:tcBorders>
            <w:noWrap/>
            <w:vAlign w:val="center"/>
          </w:tcPr>
          <w:p w14:paraId="56BE58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29.40</w:t>
            </w:r>
          </w:p>
        </w:tc>
      </w:tr>
      <w:tr w14:paraId="6163141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ABCE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17242B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1FC660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268.29</w:t>
            </w:r>
          </w:p>
        </w:tc>
        <w:tc>
          <w:tcPr>
            <w:tcW w:w="684" w:type="pct"/>
            <w:tcBorders>
              <w:top w:val="single" w:color="000000" w:sz="4" w:space="0"/>
              <w:left w:val="nil"/>
              <w:bottom w:val="single" w:color="000000" w:sz="4" w:space="0"/>
              <w:right w:val="single" w:color="000000" w:sz="4" w:space="0"/>
            </w:tcBorders>
            <w:noWrap/>
            <w:vAlign w:val="center"/>
          </w:tcPr>
          <w:p w14:paraId="0F26CE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238.89</w:t>
            </w:r>
          </w:p>
        </w:tc>
        <w:tc>
          <w:tcPr>
            <w:tcW w:w="825" w:type="pct"/>
            <w:tcBorders>
              <w:top w:val="single" w:color="000000" w:sz="4" w:space="0"/>
              <w:left w:val="nil"/>
              <w:bottom w:val="single" w:color="000000" w:sz="4" w:space="0"/>
              <w:right w:val="single" w:color="000000" w:sz="4" w:space="0"/>
            </w:tcBorders>
            <w:noWrap/>
            <w:vAlign w:val="center"/>
          </w:tcPr>
          <w:p w14:paraId="263E83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29.40</w:t>
            </w:r>
          </w:p>
        </w:tc>
      </w:tr>
      <w:tr w14:paraId="5AD5C9F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2485C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29A5A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758B60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268.29</w:t>
            </w:r>
          </w:p>
        </w:tc>
        <w:tc>
          <w:tcPr>
            <w:tcW w:w="684" w:type="pct"/>
            <w:tcBorders>
              <w:top w:val="single" w:color="000000" w:sz="4" w:space="0"/>
              <w:left w:val="nil"/>
              <w:bottom w:val="single" w:color="000000" w:sz="4" w:space="0"/>
              <w:right w:val="single" w:color="000000" w:sz="4" w:space="0"/>
            </w:tcBorders>
            <w:noWrap/>
            <w:vAlign w:val="center"/>
          </w:tcPr>
          <w:p w14:paraId="613D4F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238.89</w:t>
            </w:r>
          </w:p>
        </w:tc>
        <w:tc>
          <w:tcPr>
            <w:tcW w:w="825" w:type="pct"/>
            <w:tcBorders>
              <w:top w:val="single" w:color="000000" w:sz="4" w:space="0"/>
              <w:left w:val="nil"/>
              <w:bottom w:val="single" w:color="000000" w:sz="4" w:space="0"/>
              <w:right w:val="single" w:color="000000" w:sz="4" w:space="0"/>
            </w:tcBorders>
            <w:noWrap/>
            <w:vAlign w:val="center"/>
          </w:tcPr>
          <w:p w14:paraId="1C638C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29.40</w:t>
            </w:r>
          </w:p>
        </w:tc>
      </w:tr>
      <w:tr w14:paraId="6F52386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0A31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6912BF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72E0A1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268.29</w:t>
            </w:r>
          </w:p>
        </w:tc>
        <w:tc>
          <w:tcPr>
            <w:tcW w:w="684" w:type="pct"/>
            <w:tcBorders>
              <w:top w:val="single" w:color="000000" w:sz="4" w:space="0"/>
              <w:left w:val="nil"/>
              <w:bottom w:val="single" w:color="000000" w:sz="4" w:space="0"/>
              <w:right w:val="single" w:color="000000" w:sz="4" w:space="0"/>
            </w:tcBorders>
            <w:noWrap/>
            <w:vAlign w:val="center"/>
          </w:tcPr>
          <w:p w14:paraId="5D30FF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238.89</w:t>
            </w:r>
          </w:p>
        </w:tc>
        <w:tc>
          <w:tcPr>
            <w:tcW w:w="825" w:type="pct"/>
            <w:tcBorders>
              <w:top w:val="single" w:color="000000" w:sz="4" w:space="0"/>
              <w:left w:val="nil"/>
              <w:bottom w:val="single" w:color="000000" w:sz="4" w:space="0"/>
              <w:right w:val="single" w:color="000000" w:sz="4" w:space="0"/>
            </w:tcBorders>
            <w:noWrap/>
            <w:vAlign w:val="center"/>
          </w:tcPr>
          <w:p w14:paraId="199A48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29.40</w:t>
            </w:r>
          </w:p>
        </w:tc>
      </w:tr>
      <w:tr w14:paraId="5DFEF2A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2307B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83E44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3ABF4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5.85</w:t>
            </w:r>
          </w:p>
        </w:tc>
        <w:tc>
          <w:tcPr>
            <w:tcW w:w="684" w:type="pct"/>
            <w:tcBorders>
              <w:top w:val="single" w:color="000000" w:sz="4" w:space="0"/>
              <w:left w:val="nil"/>
              <w:bottom w:val="single" w:color="000000" w:sz="4" w:space="0"/>
              <w:right w:val="single" w:color="000000" w:sz="4" w:space="0"/>
            </w:tcBorders>
            <w:noWrap/>
            <w:vAlign w:val="center"/>
          </w:tcPr>
          <w:p w14:paraId="6F6C47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5.85</w:t>
            </w:r>
          </w:p>
        </w:tc>
        <w:tc>
          <w:tcPr>
            <w:tcW w:w="825" w:type="pct"/>
            <w:tcBorders>
              <w:top w:val="single" w:color="000000" w:sz="4" w:space="0"/>
              <w:left w:val="nil"/>
              <w:bottom w:val="single" w:color="000000" w:sz="4" w:space="0"/>
              <w:right w:val="single" w:color="000000" w:sz="4" w:space="0"/>
            </w:tcBorders>
            <w:noWrap/>
            <w:vAlign w:val="center"/>
          </w:tcPr>
          <w:p w14:paraId="30A5DE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58FFAF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A3F5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D1400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64072B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5.55</w:t>
            </w:r>
          </w:p>
        </w:tc>
        <w:tc>
          <w:tcPr>
            <w:tcW w:w="684" w:type="pct"/>
            <w:tcBorders>
              <w:top w:val="single" w:color="000000" w:sz="4" w:space="0"/>
              <w:left w:val="nil"/>
              <w:bottom w:val="single" w:color="000000" w:sz="4" w:space="0"/>
              <w:right w:val="single" w:color="000000" w:sz="4" w:space="0"/>
            </w:tcBorders>
            <w:noWrap/>
            <w:vAlign w:val="center"/>
          </w:tcPr>
          <w:p w14:paraId="329A37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5.55</w:t>
            </w:r>
          </w:p>
        </w:tc>
        <w:tc>
          <w:tcPr>
            <w:tcW w:w="825" w:type="pct"/>
            <w:tcBorders>
              <w:top w:val="single" w:color="000000" w:sz="4" w:space="0"/>
              <w:left w:val="nil"/>
              <w:bottom w:val="single" w:color="000000" w:sz="4" w:space="0"/>
              <w:right w:val="single" w:color="000000" w:sz="4" w:space="0"/>
            </w:tcBorders>
            <w:noWrap/>
            <w:vAlign w:val="center"/>
          </w:tcPr>
          <w:p w14:paraId="484A47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819A4E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0D551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42880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B0698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5.55</w:t>
            </w:r>
          </w:p>
        </w:tc>
        <w:tc>
          <w:tcPr>
            <w:tcW w:w="684" w:type="pct"/>
            <w:tcBorders>
              <w:top w:val="single" w:color="000000" w:sz="4" w:space="0"/>
              <w:left w:val="nil"/>
              <w:bottom w:val="single" w:color="000000" w:sz="4" w:space="0"/>
              <w:right w:val="single" w:color="000000" w:sz="4" w:space="0"/>
            </w:tcBorders>
            <w:noWrap/>
            <w:vAlign w:val="center"/>
          </w:tcPr>
          <w:p w14:paraId="481421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5.55</w:t>
            </w:r>
          </w:p>
        </w:tc>
        <w:tc>
          <w:tcPr>
            <w:tcW w:w="825" w:type="pct"/>
            <w:tcBorders>
              <w:top w:val="single" w:color="000000" w:sz="4" w:space="0"/>
              <w:left w:val="nil"/>
              <w:bottom w:val="single" w:color="000000" w:sz="4" w:space="0"/>
              <w:right w:val="single" w:color="000000" w:sz="4" w:space="0"/>
            </w:tcBorders>
            <w:noWrap/>
            <w:vAlign w:val="center"/>
          </w:tcPr>
          <w:p w14:paraId="09C68E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F7FE4E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8C8C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2FE71F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157C1F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0.30</w:t>
            </w:r>
          </w:p>
        </w:tc>
        <w:tc>
          <w:tcPr>
            <w:tcW w:w="684" w:type="pct"/>
            <w:tcBorders>
              <w:top w:val="single" w:color="000000" w:sz="4" w:space="0"/>
              <w:left w:val="nil"/>
              <w:bottom w:val="single" w:color="000000" w:sz="4" w:space="0"/>
              <w:right w:val="single" w:color="000000" w:sz="4" w:space="0"/>
            </w:tcBorders>
            <w:noWrap/>
            <w:vAlign w:val="center"/>
          </w:tcPr>
          <w:p w14:paraId="543491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0.30</w:t>
            </w:r>
          </w:p>
        </w:tc>
        <w:tc>
          <w:tcPr>
            <w:tcW w:w="825" w:type="pct"/>
            <w:tcBorders>
              <w:top w:val="single" w:color="000000" w:sz="4" w:space="0"/>
              <w:left w:val="nil"/>
              <w:bottom w:val="single" w:color="000000" w:sz="4" w:space="0"/>
              <w:right w:val="single" w:color="000000" w:sz="4" w:space="0"/>
            </w:tcBorders>
            <w:noWrap/>
            <w:vAlign w:val="center"/>
          </w:tcPr>
          <w:p w14:paraId="2D1B2F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4FA7F7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358F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48086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2C4D2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684" w:type="pct"/>
            <w:tcBorders>
              <w:top w:val="single" w:color="000000" w:sz="4" w:space="0"/>
              <w:left w:val="nil"/>
              <w:bottom w:val="single" w:color="000000" w:sz="4" w:space="0"/>
              <w:right w:val="single" w:color="000000" w:sz="4" w:space="0"/>
            </w:tcBorders>
            <w:noWrap/>
            <w:vAlign w:val="center"/>
          </w:tcPr>
          <w:p w14:paraId="0B5569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825" w:type="pct"/>
            <w:tcBorders>
              <w:top w:val="single" w:color="000000" w:sz="4" w:space="0"/>
              <w:left w:val="nil"/>
              <w:bottom w:val="single" w:color="000000" w:sz="4" w:space="0"/>
              <w:right w:val="single" w:color="000000" w:sz="4" w:space="0"/>
            </w:tcBorders>
            <w:noWrap/>
            <w:vAlign w:val="center"/>
          </w:tcPr>
          <w:p w14:paraId="0AF5B4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1B30A0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5D32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1C76F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FC4CA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684" w:type="pct"/>
            <w:tcBorders>
              <w:top w:val="single" w:color="000000" w:sz="4" w:space="0"/>
              <w:left w:val="nil"/>
              <w:bottom w:val="single" w:color="000000" w:sz="4" w:space="0"/>
              <w:right w:val="single" w:color="000000" w:sz="4" w:space="0"/>
            </w:tcBorders>
            <w:noWrap/>
            <w:vAlign w:val="center"/>
          </w:tcPr>
          <w:p w14:paraId="3DFF9C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825" w:type="pct"/>
            <w:tcBorders>
              <w:top w:val="single" w:color="000000" w:sz="4" w:space="0"/>
              <w:left w:val="nil"/>
              <w:bottom w:val="single" w:color="000000" w:sz="4" w:space="0"/>
              <w:right w:val="single" w:color="000000" w:sz="4" w:space="0"/>
            </w:tcBorders>
            <w:noWrap/>
            <w:vAlign w:val="center"/>
          </w:tcPr>
          <w:p w14:paraId="344014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CBE0D8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4017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6E3C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3E1ED8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684" w:type="pct"/>
            <w:tcBorders>
              <w:top w:val="single" w:color="000000" w:sz="4" w:space="0"/>
              <w:left w:val="nil"/>
              <w:bottom w:val="single" w:color="000000" w:sz="4" w:space="0"/>
              <w:right w:val="single" w:color="000000" w:sz="4" w:space="0"/>
            </w:tcBorders>
            <w:noWrap/>
            <w:vAlign w:val="center"/>
          </w:tcPr>
          <w:p w14:paraId="695DB2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3.75</w:t>
            </w:r>
          </w:p>
        </w:tc>
        <w:tc>
          <w:tcPr>
            <w:tcW w:w="825" w:type="pct"/>
            <w:tcBorders>
              <w:top w:val="single" w:color="000000" w:sz="4" w:space="0"/>
              <w:left w:val="nil"/>
              <w:bottom w:val="single" w:color="000000" w:sz="4" w:space="0"/>
              <w:right w:val="single" w:color="000000" w:sz="4" w:space="0"/>
            </w:tcBorders>
            <w:noWrap/>
            <w:vAlign w:val="center"/>
          </w:tcPr>
          <w:p w14:paraId="199D11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C455C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C1096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25CB3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D29E9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2.36</w:t>
            </w:r>
          </w:p>
        </w:tc>
        <w:tc>
          <w:tcPr>
            <w:tcW w:w="684" w:type="pct"/>
            <w:tcBorders>
              <w:top w:val="single" w:color="000000" w:sz="4" w:space="0"/>
              <w:left w:val="nil"/>
              <w:bottom w:val="single" w:color="000000" w:sz="4" w:space="0"/>
              <w:right w:val="single" w:color="000000" w:sz="4" w:space="0"/>
            </w:tcBorders>
            <w:noWrap/>
            <w:vAlign w:val="center"/>
          </w:tcPr>
          <w:p w14:paraId="28CD24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2.36</w:t>
            </w:r>
          </w:p>
        </w:tc>
        <w:tc>
          <w:tcPr>
            <w:tcW w:w="825" w:type="pct"/>
            <w:tcBorders>
              <w:top w:val="single" w:color="000000" w:sz="4" w:space="0"/>
              <w:left w:val="nil"/>
              <w:bottom w:val="single" w:color="000000" w:sz="4" w:space="0"/>
              <w:right w:val="single" w:color="000000" w:sz="4" w:space="0"/>
            </w:tcBorders>
            <w:noWrap/>
            <w:vAlign w:val="center"/>
          </w:tcPr>
          <w:p w14:paraId="133810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57D35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3DE8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4D72CD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4818E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w:t>
            </w:r>
          </w:p>
        </w:tc>
        <w:tc>
          <w:tcPr>
            <w:tcW w:w="684" w:type="pct"/>
            <w:tcBorders>
              <w:top w:val="single" w:color="000000" w:sz="4" w:space="0"/>
              <w:left w:val="nil"/>
              <w:bottom w:val="single" w:color="000000" w:sz="4" w:space="0"/>
              <w:right w:val="single" w:color="000000" w:sz="4" w:space="0"/>
            </w:tcBorders>
            <w:noWrap/>
            <w:vAlign w:val="center"/>
          </w:tcPr>
          <w:p w14:paraId="3637A2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1.39</w:t>
            </w:r>
          </w:p>
        </w:tc>
        <w:tc>
          <w:tcPr>
            <w:tcW w:w="825" w:type="pct"/>
            <w:tcBorders>
              <w:top w:val="single" w:color="000000" w:sz="4" w:space="0"/>
              <w:left w:val="nil"/>
              <w:bottom w:val="single" w:color="000000" w:sz="4" w:space="0"/>
              <w:right w:val="single" w:color="000000" w:sz="4" w:space="0"/>
            </w:tcBorders>
            <w:noWrap/>
            <w:vAlign w:val="center"/>
          </w:tcPr>
          <w:p w14:paraId="32CD1B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325C21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45748E8">
        <w:tblPrEx>
          <w:tblCellMar>
            <w:top w:w="0" w:type="dxa"/>
            <w:left w:w="108" w:type="dxa"/>
            <w:bottom w:w="0" w:type="dxa"/>
            <w:right w:w="108" w:type="dxa"/>
          </w:tblCellMar>
        </w:tblPrEx>
        <w:trPr>
          <w:trHeight w:val="585" w:hRule="atLeast"/>
        </w:trPr>
        <w:tc>
          <w:tcPr>
            <w:tcW w:w="5000" w:type="pct"/>
            <w:gridSpan w:val="5"/>
            <w:noWrap/>
            <w:vAlign w:val="center"/>
          </w:tcPr>
          <w:p w14:paraId="43D115C2">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26FCBBED">
        <w:tblPrEx>
          <w:tblCellMar>
            <w:top w:w="0" w:type="dxa"/>
            <w:left w:w="108" w:type="dxa"/>
            <w:bottom w:w="0" w:type="dxa"/>
            <w:right w:w="108" w:type="dxa"/>
          </w:tblCellMar>
        </w:tblPrEx>
        <w:trPr>
          <w:trHeight w:val="420" w:hRule="atLeast"/>
        </w:trPr>
        <w:tc>
          <w:tcPr>
            <w:tcW w:w="2398" w:type="pct"/>
            <w:gridSpan w:val="2"/>
            <w:noWrap/>
            <w:vAlign w:val="center"/>
          </w:tcPr>
          <w:p w14:paraId="17E23548">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201108兴国县第十二幼儿园</w:t>
            </w:r>
          </w:p>
        </w:tc>
        <w:tc>
          <w:tcPr>
            <w:tcW w:w="891" w:type="pct"/>
            <w:noWrap/>
            <w:vAlign w:val="bottom"/>
          </w:tcPr>
          <w:p w14:paraId="7B4C494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6B36518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1EE1AC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1D735AF">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C5B9C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DF2E5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32568A85">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247C7A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BAAFD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2486A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63CAF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4E60A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2F036A5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99FD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B7773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AF4CF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72437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F328C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2A725C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CE243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76EB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6086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248.49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1EFB1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248.49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CFE1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D0725A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D189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F934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012B5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248.11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AD515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248.11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7C20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64EB9D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76348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C907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9888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D7DF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9BE8A2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FE2EF3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65EE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64A5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7C8F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9.61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6864E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9.61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081E5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99AC9A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64DC7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442D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31198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50250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D64D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29FA0F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40532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8BC41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5772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E0E8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C729F4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953B9D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A56F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425B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B05B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DF134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5.55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7100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2CFC16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ABCF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85CD7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FDE8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04F9D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3D5C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9C36A1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0FA17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29B5E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1E2C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8D8112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9CE32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E08639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F8188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BCA9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1CCE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CFDDE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0A63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365035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31D5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0F908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11F3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4.51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8C09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4.51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9F045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E543CD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BB95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24766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4A6BB3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197.84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82003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197.84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5882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174212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0B46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D07C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FF148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76873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95AB5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CBF7F9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6FFC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0F45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627CD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B2EB5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486BDD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7A7CE68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1042AD63">
        <w:tblPrEx>
          <w:tblCellMar>
            <w:top w:w="0" w:type="dxa"/>
            <w:left w:w="108" w:type="dxa"/>
            <w:bottom w:w="0" w:type="dxa"/>
            <w:right w:w="108" w:type="dxa"/>
          </w:tblCellMar>
        </w:tblPrEx>
        <w:trPr>
          <w:trHeight w:val="450" w:hRule="atLeast"/>
          <w:tblHeader/>
        </w:trPr>
        <w:tc>
          <w:tcPr>
            <w:tcW w:w="636" w:type="pct"/>
            <w:noWrap/>
            <w:vAlign w:val="bottom"/>
          </w:tcPr>
          <w:p w14:paraId="67AA4218">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4093B641">
            <w:pPr>
              <w:widowControl/>
              <w:jc w:val="left"/>
              <w:rPr>
                <w:rFonts w:ascii="Times New Roman" w:hAnsi="Times New Roman" w:eastAsia="宋体"/>
                <w:kern w:val="0"/>
                <w:sz w:val="20"/>
                <w:szCs w:val="20"/>
              </w:rPr>
            </w:pPr>
          </w:p>
        </w:tc>
        <w:tc>
          <w:tcPr>
            <w:tcW w:w="684" w:type="pct"/>
            <w:noWrap/>
            <w:vAlign w:val="bottom"/>
          </w:tcPr>
          <w:p w14:paraId="54BBF0DD">
            <w:pPr>
              <w:widowControl/>
              <w:jc w:val="left"/>
              <w:rPr>
                <w:rFonts w:ascii="Times New Roman" w:hAnsi="Times New Roman" w:eastAsia="宋体"/>
                <w:kern w:val="0"/>
                <w:sz w:val="20"/>
                <w:szCs w:val="20"/>
              </w:rPr>
            </w:pPr>
          </w:p>
        </w:tc>
        <w:tc>
          <w:tcPr>
            <w:tcW w:w="538" w:type="pct"/>
            <w:noWrap/>
            <w:vAlign w:val="bottom"/>
          </w:tcPr>
          <w:p w14:paraId="228184CA">
            <w:pPr>
              <w:widowControl/>
              <w:jc w:val="left"/>
              <w:rPr>
                <w:rFonts w:ascii="Times New Roman" w:hAnsi="Times New Roman" w:eastAsia="宋体"/>
                <w:kern w:val="0"/>
                <w:sz w:val="20"/>
                <w:szCs w:val="20"/>
              </w:rPr>
            </w:pPr>
          </w:p>
        </w:tc>
        <w:tc>
          <w:tcPr>
            <w:tcW w:w="2836" w:type="pct"/>
            <w:gridSpan w:val="5"/>
            <w:noWrap/>
            <w:vAlign w:val="center"/>
          </w:tcPr>
          <w:p w14:paraId="5CD258FD">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33D437EC">
        <w:tblPrEx>
          <w:tblCellMar>
            <w:top w:w="0" w:type="dxa"/>
            <w:left w:w="108" w:type="dxa"/>
            <w:bottom w:w="0" w:type="dxa"/>
            <w:right w:w="108" w:type="dxa"/>
          </w:tblCellMar>
        </w:tblPrEx>
        <w:trPr>
          <w:trHeight w:val="485" w:hRule="atLeast"/>
          <w:tblHeader/>
        </w:trPr>
        <w:tc>
          <w:tcPr>
            <w:tcW w:w="5000" w:type="pct"/>
            <w:gridSpan w:val="9"/>
            <w:noWrap/>
            <w:vAlign w:val="center"/>
          </w:tcPr>
          <w:p w14:paraId="366B983B">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8250A70">
        <w:tblPrEx>
          <w:tblCellMar>
            <w:top w:w="0" w:type="dxa"/>
            <w:left w:w="108" w:type="dxa"/>
            <w:bottom w:w="0" w:type="dxa"/>
            <w:right w:w="108" w:type="dxa"/>
          </w:tblCellMar>
        </w:tblPrEx>
        <w:trPr>
          <w:trHeight w:val="340" w:hRule="atLeast"/>
          <w:tblHeader/>
        </w:trPr>
        <w:tc>
          <w:tcPr>
            <w:tcW w:w="2163" w:type="pct"/>
            <w:gridSpan w:val="4"/>
            <w:noWrap/>
            <w:vAlign w:val="center"/>
          </w:tcPr>
          <w:p w14:paraId="349C8C00">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201108兴国县第十二幼儿园</w:t>
            </w:r>
          </w:p>
        </w:tc>
        <w:tc>
          <w:tcPr>
            <w:tcW w:w="742" w:type="pct"/>
            <w:noWrap/>
            <w:vAlign w:val="bottom"/>
          </w:tcPr>
          <w:p w14:paraId="3BAB53E1">
            <w:pPr>
              <w:widowControl/>
              <w:jc w:val="left"/>
              <w:rPr>
                <w:rFonts w:ascii="Times New Roman" w:hAnsi="Times New Roman" w:eastAsia="宋体"/>
                <w:kern w:val="0"/>
                <w:sz w:val="20"/>
                <w:szCs w:val="20"/>
              </w:rPr>
            </w:pPr>
          </w:p>
        </w:tc>
        <w:tc>
          <w:tcPr>
            <w:tcW w:w="474" w:type="pct"/>
            <w:noWrap/>
            <w:vAlign w:val="bottom"/>
          </w:tcPr>
          <w:p w14:paraId="6119EA6B">
            <w:pPr>
              <w:widowControl/>
              <w:jc w:val="left"/>
              <w:rPr>
                <w:rFonts w:ascii="Times New Roman" w:hAnsi="Times New Roman" w:eastAsia="宋体"/>
                <w:kern w:val="0"/>
                <w:sz w:val="20"/>
                <w:szCs w:val="20"/>
              </w:rPr>
            </w:pPr>
          </w:p>
        </w:tc>
        <w:tc>
          <w:tcPr>
            <w:tcW w:w="596" w:type="pct"/>
            <w:noWrap/>
            <w:vAlign w:val="bottom"/>
          </w:tcPr>
          <w:p w14:paraId="623A21E7">
            <w:pPr>
              <w:widowControl/>
              <w:jc w:val="left"/>
              <w:rPr>
                <w:rFonts w:ascii="Times New Roman" w:hAnsi="Times New Roman" w:eastAsia="宋体"/>
                <w:kern w:val="0"/>
                <w:sz w:val="20"/>
                <w:szCs w:val="20"/>
              </w:rPr>
            </w:pPr>
          </w:p>
        </w:tc>
        <w:tc>
          <w:tcPr>
            <w:tcW w:w="1023" w:type="pct"/>
            <w:gridSpan w:val="2"/>
            <w:noWrap/>
            <w:vAlign w:val="bottom"/>
          </w:tcPr>
          <w:p w14:paraId="512038C5">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69F4CD7A">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C5A1A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31F03F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272E3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175A71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0A43C8E0">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7E4BC2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D58A4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D14D8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896E1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18DCEC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69D672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21D3F9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82C3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2E25BC7">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32D2B631">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DBFC7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686139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270424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10306B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E5EE7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A7E8B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67CF94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074BC64">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29B3C9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684" w:type="pct"/>
            <w:tcBorders>
              <w:top w:val="single" w:color="000000" w:sz="4" w:space="0"/>
              <w:left w:val="nil"/>
              <w:bottom w:val="single" w:color="000000" w:sz="4" w:space="0"/>
              <w:right w:val="single" w:color="000000" w:sz="4" w:space="0"/>
            </w:tcBorders>
            <w:vAlign w:val="center"/>
          </w:tcPr>
          <w:p w14:paraId="13EA5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40011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4C377B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137C2E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0.30</w:t>
            </w:r>
          </w:p>
        </w:tc>
        <w:tc>
          <w:tcPr>
            <w:tcW w:w="596" w:type="pct"/>
            <w:tcBorders>
              <w:top w:val="single" w:color="000000" w:sz="4" w:space="0"/>
              <w:left w:val="single" w:color="000000" w:sz="4" w:space="0"/>
              <w:bottom w:val="single" w:color="000000" w:sz="4" w:space="0"/>
              <w:right w:val="nil"/>
            </w:tcBorders>
            <w:vAlign w:val="center"/>
          </w:tcPr>
          <w:p w14:paraId="3601A8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01F2E7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0F7482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48CD248E">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7753A7CA">
        <w:tblPrEx>
          <w:tblCellMar>
            <w:top w:w="0" w:type="dxa"/>
            <w:left w:w="108" w:type="dxa"/>
            <w:bottom w:w="0" w:type="dxa"/>
            <w:right w:w="108" w:type="dxa"/>
          </w:tblCellMar>
        </w:tblPrEx>
        <w:trPr>
          <w:trHeight w:val="507" w:hRule="atLeast"/>
          <w:tblHeader/>
        </w:trPr>
        <w:tc>
          <w:tcPr>
            <w:tcW w:w="976" w:type="pct"/>
            <w:noWrap/>
            <w:vAlign w:val="bottom"/>
          </w:tcPr>
          <w:p w14:paraId="30C7CE6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7D992901">
            <w:pPr>
              <w:widowControl/>
              <w:jc w:val="left"/>
              <w:rPr>
                <w:rFonts w:ascii="Times New Roman" w:hAnsi="Times New Roman" w:eastAsia="宋体"/>
                <w:kern w:val="0"/>
                <w:sz w:val="20"/>
                <w:szCs w:val="20"/>
              </w:rPr>
            </w:pPr>
          </w:p>
        </w:tc>
        <w:tc>
          <w:tcPr>
            <w:tcW w:w="2801" w:type="pct"/>
            <w:gridSpan w:val="3"/>
            <w:noWrap/>
            <w:vAlign w:val="center"/>
          </w:tcPr>
          <w:p w14:paraId="6800A7E7">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065EE99">
        <w:tblPrEx>
          <w:tblCellMar>
            <w:top w:w="0" w:type="dxa"/>
            <w:left w:w="108" w:type="dxa"/>
            <w:bottom w:w="0" w:type="dxa"/>
            <w:right w:w="108" w:type="dxa"/>
          </w:tblCellMar>
        </w:tblPrEx>
        <w:trPr>
          <w:trHeight w:val="564" w:hRule="atLeast"/>
          <w:tblHeader/>
        </w:trPr>
        <w:tc>
          <w:tcPr>
            <w:tcW w:w="5000" w:type="pct"/>
            <w:gridSpan w:val="5"/>
            <w:noWrap/>
            <w:vAlign w:val="center"/>
          </w:tcPr>
          <w:p w14:paraId="44DF5161">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40F78769">
        <w:tblPrEx>
          <w:tblCellMar>
            <w:top w:w="0" w:type="dxa"/>
            <w:left w:w="108" w:type="dxa"/>
            <w:bottom w:w="0" w:type="dxa"/>
            <w:right w:w="108" w:type="dxa"/>
          </w:tblCellMar>
        </w:tblPrEx>
        <w:trPr>
          <w:trHeight w:val="405" w:hRule="atLeast"/>
          <w:tblHeader/>
        </w:trPr>
        <w:tc>
          <w:tcPr>
            <w:tcW w:w="2198" w:type="pct"/>
            <w:gridSpan w:val="2"/>
            <w:noWrap/>
            <w:vAlign w:val="center"/>
          </w:tcPr>
          <w:p w14:paraId="74F0469F">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201108兴国县第十二幼儿园</w:t>
            </w:r>
          </w:p>
        </w:tc>
        <w:tc>
          <w:tcPr>
            <w:tcW w:w="1099" w:type="pct"/>
            <w:noWrap/>
            <w:vAlign w:val="bottom"/>
          </w:tcPr>
          <w:p w14:paraId="46C93305">
            <w:pPr>
              <w:rPr>
                <w:rFonts w:hint="eastAsia" w:ascii="宋体" w:hAnsi="宋体" w:eastAsia="宋体" w:cs="Arial"/>
                <w:color w:val="000000"/>
                <w:kern w:val="0"/>
                <w:sz w:val="24"/>
                <w:szCs w:val="24"/>
              </w:rPr>
            </w:pPr>
          </w:p>
        </w:tc>
        <w:tc>
          <w:tcPr>
            <w:tcW w:w="766" w:type="pct"/>
            <w:noWrap/>
            <w:vAlign w:val="bottom"/>
          </w:tcPr>
          <w:p w14:paraId="7CA54618">
            <w:pPr>
              <w:widowControl/>
              <w:jc w:val="left"/>
              <w:rPr>
                <w:rFonts w:ascii="Times New Roman" w:hAnsi="Times New Roman" w:eastAsia="宋体"/>
                <w:kern w:val="0"/>
                <w:sz w:val="20"/>
                <w:szCs w:val="20"/>
              </w:rPr>
            </w:pPr>
          </w:p>
        </w:tc>
        <w:tc>
          <w:tcPr>
            <w:tcW w:w="935" w:type="pct"/>
            <w:noWrap/>
            <w:vAlign w:val="center"/>
          </w:tcPr>
          <w:p w14:paraId="1ED3029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03947D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62D9A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649211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49284EF">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76CC5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66BA23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320073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2649F7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2B06C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38A0F3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5D23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2D6D66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1C1A8F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77F39FB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58521B1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6FAF78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52F1DD6">
        <w:tblPrEx>
          <w:tblCellMar>
            <w:top w:w="0" w:type="dxa"/>
            <w:left w:w="108" w:type="dxa"/>
            <w:bottom w:w="0" w:type="dxa"/>
            <w:right w:w="108" w:type="dxa"/>
          </w:tblCellMar>
        </w:tblPrEx>
        <w:trPr>
          <w:trHeight w:val="619" w:hRule="atLeast"/>
          <w:tblHeader/>
        </w:trPr>
        <w:tc>
          <w:tcPr>
            <w:tcW w:w="960" w:type="pct"/>
            <w:noWrap/>
            <w:vAlign w:val="bottom"/>
          </w:tcPr>
          <w:p w14:paraId="0A35C90E">
            <w:pPr>
              <w:rPr>
                <w:rStyle w:val="12"/>
                <w:rFonts w:hint="eastAsia" w:ascii="仿宋" w:hAnsi="仿宋" w:eastAsia="仿宋"/>
                <w:bCs/>
                <w:sz w:val="32"/>
                <w:szCs w:val="32"/>
              </w:rPr>
            </w:pPr>
          </w:p>
        </w:tc>
        <w:tc>
          <w:tcPr>
            <w:tcW w:w="1233" w:type="pct"/>
            <w:noWrap/>
            <w:vAlign w:val="bottom"/>
          </w:tcPr>
          <w:p w14:paraId="647B08D1">
            <w:pPr>
              <w:widowControl/>
              <w:jc w:val="left"/>
              <w:rPr>
                <w:rFonts w:ascii="Times New Roman" w:hAnsi="Times New Roman" w:eastAsia="宋体"/>
                <w:kern w:val="0"/>
                <w:sz w:val="20"/>
                <w:szCs w:val="20"/>
              </w:rPr>
            </w:pPr>
          </w:p>
        </w:tc>
        <w:tc>
          <w:tcPr>
            <w:tcW w:w="2805" w:type="pct"/>
            <w:gridSpan w:val="3"/>
            <w:noWrap/>
            <w:vAlign w:val="center"/>
          </w:tcPr>
          <w:p w14:paraId="222904A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E817308">
        <w:tblPrEx>
          <w:tblCellMar>
            <w:top w:w="0" w:type="dxa"/>
            <w:left w:w="108" w:type="dxa"/>
            <w:bottom w:w="0" w:type="dxa"/>
            <w:right w:w="108" w:type="dxa"/>
          </w:tblCellMar>
        </w:tblPrEx>
        <w:trPr>
          <w:trHeight w:val="613" w:hRule="atLeast"/>
          <w:tblHeader/>
        </w:trPr>
        <w:tc>
          <w:tcPr>
            <w:tcW w:w="5000" w:type="pct"/>
            <w:gridSpan w:val="5"/>
            <w:noWrap/>
            <w:vAlign w:val="center"/>
          </w:tcPr>
          <w:p w14:paraId="160E923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539013CE">
        <w:tblPrEx>
          <w:tblCellMar>
            <w:top w:w="0" w:type="dxa"/>
            <w:left w:w="108" w:type="dxa"/>
            <w:bottom w:w="0" w:type="dxa"/>
            <w:right w:w="108" w:type="dxa"/>
          </w:tblCellMar>
        </w:tblPrEx>
        <w:trPr>
          <w:trHeight w:val="413" w:hRule="atLeast"/>
          <w:tblHeader/>
        </w:trPr>
        <w:tc>
          <w:tcPr>
            <w:tcW w:w="3282" w:type="pct"/>
            <w:gridSpan w:val="3"/>
            <w:noWrap/>
            <w:vAlign w:val="center"/>
          </w:tcPr>
          <w:p w14:paraId="6A92C760">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201108兴国县第十二幼儿园</w:t>
            </w:r>
          </w:p>
        </w:tc>
        <w:tc>
          <w:tcPr>
            <w:tcW w:w="762" w:type="pct"/>
            <w:noWrap/>
            <w:vAlign w:val="bottom"/>
          </w:tcPr>
          <w:p w14:paraId="65EE394C">
            <w:pPr>
              <w:widowControl/>
              <w:jc w:val="left"/>
              <w:rPr>
                <w:rFonts w:ascii="Times New Roman" w:hAnsi="Times New Roman" w:eastAsia="宋体"/>
                <w:kern w:val="0"/>
                <w:sz w:val="20"/>
                <w:szCs w:val="20"/>
              </w:rPr>
            </w:pPr>
          </w:p>
        </w:tc>
        <w:tc>
          <w:tcPr>
            <w:tcW w:w="954" w:type="pct"/>
            <w:noWrap/>
            <w:vAlign w:val="center"/>
          </w:tcPr>
          <w:p w14:paraId="08C4C4D8">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2EDE844">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05C14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1DE0D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6DD5A15">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1133AC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4D1155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06DAC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87026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3F01D5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6385D59">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458A5E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179F7C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52D377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2A001AE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408680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5DC1443">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67616498">
            <w:pPr>
              <w:widowControl/>
              <w:snapToGrid w:val="0"/>
              <w:jc w:val="center"/>
              <w:textAlignment w:val="center"/>
              <w:rPr>
                <w:rFonts w:hint="eastAsia" w:asciiTheme="minorEastAsia" w:hAnsiTheme="minorEastAsia" w:cstheme="minorEastAsia"/>
                <w:color w:val="000000"/>
                <w:kern w:val="0"/>
                <w:sz w:val="18"/>
                <w:szCs w:val="18"/>
                <w:lang w:bidi="ar"/>
              </w:rPr>
            </w:pPr>
          </w:p>
          <w:p w14:paraId="309102B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1EB3B50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6394A9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57293CF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2ED7E13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p>
        </w:tc>
      </w:tr>
    </w:tbl>
    <w:p w14:paraId="3D41766B">
      <w:pPr>
        <w:jc w:val="left"/>
        <w:rPr>
          <w:rStyle w:val="12"/>
          <w:rFonts w:hint="eastAsia" w:ascii="仿宋" w:hAnsi="仿宋" w:eastAsia="仿宋"/>
          <w:bCs/>
          <w:sz w:val="32"/>
          <w:szCs w:val="32"/>
        </w:rPr>
      </w:pPr>
    </w:p>
    <w:p w14:paraId="72397E82">
      <w:pPr>
        <w:jc w:val="left"/>
        <w:rPr>
          <w:rStyle w:val="12"/>
          <w:rFonts w:hint="eastAsia" w:ascii="仿宋" w:hAnsi="仿宋" w:eastAsia="仿宋"/>
          <w:bCs/>
          <w:sz w:val="32"/>
          <w:szCs w:val="32"/>
        </w:rPr>
      </w:pPr>
    </w:p>
    <w:p w14:paraId="0A786D3E">
      <w:pPr>
        <w:rPr>
          <w:rFonts w:hint="eastAsia"/>
          <w:lang w:eastAsia="zh-CN"/>
        </w:rPr>
      </w:pPr>
    </w:p>
    <w:p w14:paraId="256FBB28">
      <w:pPr>
        <w:rPr>
          <w:rFonts w:hint="eastAsia"/>
          <w:lang w:eastAsia="zh-CN"/>
        </w:rPr>
      </w:pPr>
    </w:p>
    <w:p w14:paraId="5241F121">
      <w:pPr>
        <w:rPr>
          <w:rFonts w:hint="eastAsia"/>
          <w:lang w:eastAsia="zh-CN"/>
        </w:rPr>
      </w:pPr>
    </w:p>
    <w:p w14:paraId="71D885F0">
      <w:pPr>
        <w:rPr>
          <w:rFonts w:hint="eastAsia"/>
          <w:lang w:eastAsia="zh-CN"/>
        </w:rPr>
      </w:pPr>
    </w:p>
    <w:p w14:paraId="70DD2342">
      <w:pPr>
        <w:rPr>
          <w:rFonts w:hint="eastAsia"/>
          <w:lang w:eastAsia="zh-CN"/>
        </w:rPr>
      </w:pPr>
    </w:p>
    <w:p w14:paraId="02A03D04">
      <w:pPr>
        <w:rPr>
          <w:rFonts w:hint="eastAsia"/>
          <w:lang w:eastAsia="zh-CN"/>
        </w:rPr>
      </w:pPr>
    </w:p>
    <w:p w14:paraId="69AC6BAD">
      <w:pPr>
        <w:rPr>
          <w:rFonts w:hint="eastAsia"/>
          <w:lang w:eastAsia="zh-CN"/>
        </w:rPr>
      </w:pPr>
    </w:p>
    <w:p w14:paraId="4C0A6602">
      <w:pPr>
        <w:rPr>
          <w:rFonts w:hint="eastAsia"/>
          <w:lang w:eastAsia="zh-CN"/>
        </w:rPr>
      </w:pPr>
    </w:p>
    <w:p w14:paraId="236F16F8">
      <w:pPr>
        <w:rPr>
          <w:rFonts w:hint="eastAsia"/>
          <w:lang w:eastAsia="zh-CN"/>
        </w:rPr>
      </w:pPr>
    </w:p>
    <w:p w14:paraId="70AF3C37">
      <w:pPr>
        <w:rPr>
          <w:rFonts w:hint="eastAsia"/>
          <w:lang w:eastAsia="zh-CN"/>
        </w:rPr>
      </w:pPr>
    </w:p>
    <w:p w14:paraId="54B9DAE4">
      <w:pPr>
        <w:rPr>
          <w:rFonts w:hint="eastAsia"/>
          <w:lang w:eastAsia="zh-CN"/>
        </w:rPr>
      </w:pPr>
    </w:p>
    <w:p w14:paraId="119F8CE1">
      <w:pPr>
        <w:rPr>
          <w:rFonts w:hint="eastAsia"/>
          <w:lang w:eastAsia="zh-CN"/>
        </w:rPr>
      </w:pPr>
    </w:p>
    <w:p w14:paraId="0121CCDA">
      <w:pPr>
        <w:rPr>
          <w:rFonts w:hint="eastAsia"/>
          <w:lang w:eastAsia="zh-CN"/>
        </w:rPr>
      </w:pPr>
    </w:p>
    <w:p w14:paraId="0279EF93">
      <w:pPr>
        <w:rPr>
          <w:rFonts w:hint="eastAsia"/>
          <w:lang w:eastAsia="zh-CN"/>
        </w:rPr>
      </w:pPr>
    </w:p>
    <w:p w14:paraId="74ECB736">
      <w:pPr>
        <w:rPr>
          <w:rFonts w:hint="eastAsia"/>
          <w:lang w:eastAsia="zh-CN"/>
        </w:rPr>
      </w:pPr>
    </w:p>
    <w:p w14:paraId="70F75F61">
      <w:pPr>
        <w:rPr>
          <w:rFonts w:hint="eastAsia"/>
          <w:lang w:eastAsia="zh-CN"/>
        </w:rPr>
      </w:pPr>
    </w:p>
    <w:p w14:paraId="7A50C918">
      <w:pPr>
        <w:widowControl/>
        <w:snapToGrid w:val="0"/>
        <w:jc w:val="center"/>
        <w:textAlignment w:val="center"/>
        <w:rPr>
          <w:rFonts w:hint="eastAsia"/>
          <w:lang w:eastAsia="zh-CN"/>
        </w:rPr>
      </w:pPr>
    </w:p>
    <w:p w14:paraId="33E7CC73">
      <w:pPr>
        <w:widowControl/>
        <w:snapToGrid w:val="0"/>
        <w:jc w:val="center"/>
        <w:textAlignment w:val="center"/>
        <w:rPr>
          <w:rFonts w:hint="eastAsia"/>
          <w:lang w:eastAsia="zh-CN"/>
        </w:rPr>
      </w:pPr>
    </w:p>
    <w:p w14:paraId="4E2B1F86">
      <w:pPr>
        <w:widowControl/>
        <w:snapToGrid w:val="0"/>
        <w:jc w:val="center"/>
        <w:textAlignment w:val="center"/>
        <w:rPr>
          <w:rFonts w:hint="eastAsia"/>
          <w:lang w:eastAsia="zh-CN"/>
        </w:rPr>
      </w:pPr>
    </w:p>
    <w:p w14:paraId="706672BE">
      <w:pPr>
        <w:widowControl/>
        <w:snapToGrid w:val="0"/>
        <w:jc w:val="center"/>
        <w:textAlignment w:val="center"/>
        <w:rPr>
          <w:rFonts w:hint="eastAsia"/>
          <w:lang w:eastAsia="zh-CN"/>
        </w:rPr>
      </w:pPr>
    </w:p>
    <w:p w14:paraId="67F31D2F">
      <w:pPr>
        <w:widowControl/>
        <w:snapToGrid w:val="0"/>
        <w:jc w:val="center"/>
        <w:textAlignment w:val="center"/>
        <w:rPr>
          <w:rFonts w:hint="eastAsia"/>
          <w:lang w:eastAsia="zh-CN"/>
        </w:rPr>
      </w:pPr>
      <w:r>
        <w:drawing>
          <wp:inline distT="0" distB="0" distL="114300" distR="114300">
            <wp:extent cx="6638290" cy="6661150"/>
            <wp:effectExtent l="0" t="0" r="1016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638290" cy="6661150"/>
                    </a:xfrm>
                    <a:prstGeom prst="rect">
                      <a:avLst/>
                    </a:prstGeom>
                    <a:noFill/>
                    <a:ln>
                      <a:noFill/>
                    </a:ln>
                  </pic:spPr>
                </pic:pic>
              </a:graphicData>
            </a:graphic>
          </wp:inline>
        </w:drawing>
      </w:r>
    </w:p>
    <w:p w14:paraId="4663455A">
      <w:pPr>
        <w:widowControl/>
        <w:snapToGrid w:val="0"/>
        <w:jc w:val="center"/>
        <w:textAlignment w:val="center"/>
        <w:rPr>
          <w:rFonts w:hint="eastAsia"/>
          <w:lang w:eastAsia="zh-CN"/>
        </w:rPr>
        <w:sectPr>
          <w:pgSz w:w="11906" w:h="16838"/>
          <w:pgMar w:top="720" w:right="720" w:bottom="720" w:left="720" w:header="851" w:footer="992" w:gutter="0"/>
          <w:cols w:space="425" w:num="1"/>
          <w:docGrid w:type="lines" w:linePitch="312" w:charSpace="0"/>
        </w:sectPr>
      </w:pPr>
    </w:p>
    <w:p w14:paraId="042D9EDA">
      <w:pPr>
        <w:pStyle w:val="17"/>
        <w:numPr>
          <w:ilvl w:val="0"/>
          <w:numId w:val="0"/>
        </w:numPr>
        <w:bidi w:val="0"/>
        <w:ind w:left="420" w:leftChars="200"/>
        <w:jc w:val="center"/>
        <w:rPr>
          <w:rFonts w:hint="eastAsia"/>
          <w:lang w:eastAsia="zh-CN"/>
        </w:rPr>
      </w:pPr>
      <w:r>
        <w:rPr>
          <w:rFonts w:hint="eastAsia"/>
          <w:lang w:val="en-US" w:eastAsia="zh-CN"/>
        </w:rPr>
        <w:t>第三部分  兴国县第十二幼儿园2026年单位预算情况说明</w:t>
      </w:r>
    </w:p>
    <w:p w14:paraId="6EF5EE59">
      <w:pPr>
        <w:widowControl/>
        <w:spacing w:line="580" w:lineRule="exact"/>
        <w:jc w:val="center"/>
        <w:rPr>
          <w:rFonts w:ascii="仿宋_GB2312" w:eastAsia="仿宋_GB2312"/>
          <w:b/>
          <w:sz w:val="32"/>
          <w:szCs w:val="30"/>
        </w:rPr>
      </w:pPr>
    </w:p>
    <w:p w14:paraId="7863D995">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4976FB55">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57ADA0DE">
      <w:pPr>
        <w:pStyle w:val="18"/>
        <w:bidi w:val="0"/>
        <w:rPr>
          <w:rFonts w:hint="eastAsia"/>
          <w:u w:val="none"/>
          <w:lang w:eastAsia="zh-CN"/>
        </w:rPr>
      </w:pPr>
      <w:r>
        <w:rPr>
          <w:rFonts w:hint="eastAsia"/>
          <w:u w:val="none"/>
          <w:lang w:eastAsia="zh-CN"/>
        </w:rPr>
        <w:t>2026年兴国县第十二幼儿园收入预算总额为738.14万元，较上年预算安排减少</w:t>
      </w:r>
      <w:r>
        <w:rPr>
          <w:rFonts w:hint="eastAsia"/>
          <w:u w:val="none"/>
          <w:lang w:val="en-US" w:eastAsia="zh-CN"/>
        </w:rPr>
        <w:t>50.58</w:t>
      </w:r>
      <w:r>
        <w:rPr>
          <w:rFonts w:hint="eastAsia"/>
          <w:u w:val="none"/>
          <w:lang w:eastAsia="zh-CN"/>
        </w:rPr>
        <w:t>万元，增减变化主要原因是：调整教育</w:t>
      </w:r>
      <w:r>
        <w:rPr>
          <w:rFonts w:hint="eastAsia"/>
          <w:u w:val="none"/>
          <w:lang w:val="en-US" w:eastAsia="zh-CN"/>
        </w:rPr>
        <w:t>收费资金</w:t>
      </w:r>
      <w:r>
        <w:rPr>
          <w:rFonts w:hint="eastAsia"/>
          <w:u w:val="none"/>
          <w:lang w:eastAsia="zh-CN"/>
        </w:rPr>
        <w:t>收入及其他收入资金金额。</w:t>
      </w:r>
    </w:p>
    <w:p w14:paraId="04E85480">
      <w:pPr>
        <w:pStyle w:val="18"/>
        <w:bidi w:val="0"/>
        <w:rPr>
          <w:rFonts w:hint="eastAsia"/>
          <w:u w:val="none"/>
        </w:rPr>
      </w:pPr>
      <w:r>
        <w:rPr>
          <w:rFonts w:hint="eastAsia"/>
          <w:u w:val="none"/>
          <w:lang w:eastAsia="zh-CN"/>
        </w:rPr>
        <w:t>本年收入合计737.89万元，较上年预算安排减少</w:t>
      </w:r>
      <w:r>
        <w:rPr>
          <w:rFonts w:hint="eastAsia"/>
          <w:u w:val="none"/>
          <w:lang w:val="en-US" w:eastAsia="zh-CN"/>
        </w:rPr>
        <w:t>6.34</w:t>
      </w:r>
      <w:r>
        <w:rPr>
          <w:rFonts w:hint="eastAsia"/>
          <w:u w:val="none"/>
          <w:lang w:eastAsia="zh-CN"/>
        </w:rPr>
        <w:t>万元；包括：财政拨款收入277.89万元，较上年预算安排增加</w:t>
      </w:r>
      <w:r>
        <w:rPr>
          <w:rFonts w:hint="eastAsia"/>
          <w:u w:val="none"/>
          <w:lang w:val="en-US" w:eastAsia="zh-CN"/>
        </w:rPr>
        <w:t>33.66</w:t>
      </w:r>
      <w:r>
        <w:rPr>
          <w:rFonts w:hint="eastAsia"/>
          <w:u w:val="none"/>
          <w:lang w:eastAsia="zh-CN"/>
        </w:rPr>
        <w:t>万元；教育收费资金收入160.00万元，较上年预算安排减少</w:t>
      </w:r>
      <w:r>
        <w:rPr>
          <w:rFonts w:hint="eastAsia"/>
          <w:u w:val="none"/>
          <w:lang w:val="en-US" w:eastAsia="zh-CN"/>
        </w:rPr>
        <w:t>140.00</w:t>
      </w:r>
      <w:r>
        <w:rPr>
          <w:rFonts w:hint="eastAsia"/>
          <w:u w:val="none"/>
          <w:lang w:eastAsia="zh-CN"/>
        </w:rPr>
        <w:t>万元；其他收入300.00万元，较上年预算安排增加</w:t>
      </w:r>
      <w:r>
        <w:rPr>
          <w:rFonts w:hint="eastAsia"/>
          <w:strike w:val="0"/>
          <w:dstrike w:val="0"/>
          <w:u w:val="none"/>
          <w:lang w:val="en-US" w:eastAsia="zh-CN"/>
        </w:rPr>
        <w:t xml:space="preserve"> 1</w:t>
      </w:r>
      <w:r>
        <w:rPr>
          <w:rFonts w:hint="eastAsia"/>
          <w:u w:val="none"/>
          <w:lang w:val="en-US" w:eastAsia="zh-CN"/>
        </w:rPr>
        <w:t>00.00</w:t>
      </w:r>
      <w:r>
        <w:rPr>
          <w:rFonts w:hint="eastAsia"/>
          <w:u w:val="none"/>
          <w:lang w:eastAsia="zh-CN"/>
        </w:rPr>
        <w:t>万元。上年结转0.25万元，较上年预算安排减少</w:t>
      </w:r>
      <w:r>
        <w:rPr>
          <w:rFonts w:hint="eastAsia"/>
          <w:u w:val="none"/>
          <w:lang w:val="en-US" w:eastAsia="zh-CN"/>
        </w:rPr>
        <w:t>44.24</w:t>
      </w:r>
      <w:r>
        <w:rPr>
          <w:rFonts w:hint="eastAsia"/>
          <w:u w:val="none"/>
          <w:lang w:eastAsia="zh-CN"/>
        </w:rPr>
        <w:t>万元。</w:t>
      </w:r>
    </w:p>
    <w:p w14:paraId="595A55C6">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36F2366E">
      <w:pPr>
        <w:pStyle w:val="18"/>
        <w:bidi w:val="0"/>
        <w:rPr>
          <w:rFonts w:hint="eastAsia"/>
          <w:u w:val="none"/>
        </w:rPr>
      </w:pPr>
      <w:r>
        <w:rPr>
          <w:rFonts w:hint="eastAsia"/>
          <w:u w:val="none"/>
          <w:lang w:eastAsia="zh-CN"/>
        </w:rPr>
        <w:t>2026</w:t>
      </w:r>
      <w:r>
        <w:rPr>
          <w:rFonts w:hint="eastAsia"/>
          <w:u w:val="none"/>
        </w:rPr>
        <w:t>年</w:t>
      </w:r>
      <w:r>
        <w:rPr>
          <w:rFonts w:hint="eastAsia"/>
          <w:u w:val="none"/>
          <w:lang w:eastAsia="zh-CN"/>
        </w:rPr>
        <w:t>兴国县第十二幼儿园</w:t>
      </w:r>
      <w:r>
        <w:rPr>
          <w:rFonts w:hint="eastAsia"/>
          <w:u w:val="none"/>
        </w:rPr>
        <w:t>支出预算总额为738.14万元</w:t>
      </w:r>
      <w:r>
        <w:rPr>
          <w:rFonts w:hint="eastAsia"/>
          <w:u w:val="none"/>
          <w:lang w:eastAsia="zh-CN"/>
        </w:rPr>
        <w:t>，</w:t>
      </w:r>
      <w:r>
        <w:rPr>
          <w:rFonts w:hint="eastAsia"/>
          <w:u w:val="none"/>
        </w:rPr>
        <w:t>较上年预算安排</w:t>
      </w:r>
      <w:r>
        <w:rPr>
          <w:rFonts w:hint="eastAsia"/>
          <w:u w:val="none"/>
          <w:lang w:val="en-US" w:eastAsia="zh-CN"/>
        </w:rPr>
        <w:t>减少50.58</w:t>
      </w:r>
      <w:r>
        <w:rPr>
          <w:rFonts w:hint="eastAsia"/>
          <w:u w:val="none"/>
        </w:rPr>
        <w:t>万元</w:t>
      </w:r>
      <w:r>
        <w:rPr>
          <w:rFonts w:hint="eastAsia"/>
          <w:u w:val="none"/>
          <w:lang w:eastAsia="zh-CN"/>
        </w:rPr>
        <w:t>，</w:t>
      </w:r>
      <w:r>
        <w:rPr>
          <w:rFonts w:hint="eastAsia" w:ascii="仿宋" w:hAnsi="仿宋" w:eastAsia="仿宋" w:cs="仿宋"/>
          <w:color w:val="auto"/>
          <w:sz w:val="32"/>
          <w:szCs w:val="32"/>
          <w:u w:val="none"/>
          <w:lang w:eastAsia="zh-CN"/>
        </w:rPr>
        <w:t>增减变化主要原因是：调整教育</w:t>
      </w:r>
      <w:r>
        <w:rPr>
          <w:rFonts w:hint="eastAsia" w:ascii="仿宋" w:hAnsi="仿宋" w:eastAsia="仿宋" w:cs="仿宋"/>
          <w:color w:val="auto"/>
          <w:sz w:val="32"/>
          <w:szCs w:val="32"/>
          <w:u w:val="none"/>
          <w:lang w:val="en-US" w:eastAsia="zh-CN"/>
        </w:rPr>
        <w:t>和其他支出</w:t>
      </w:r>
      <w:r>
        <w:rPr>
          <w:rFonts w:hint="eastAsia" w:ascii="仿宋" w:hAnsi="仿宋" w:eastAsia="仿宋" w:cs="仿宋"/>
          <w:color w:val="auto"/>
          <w:sz w:val="32"/>
          <w:szCs w:val="32"/>
          <w:u w:val="none"/>
          <w:lang w:eastAsia="zh-CN"/>
        </w:rPr>
        <w:t>预算金额。</w:t>
      </w:r>
    </w:p>
    <w:p w14:paraId="226F4D1D">
      <w:pPr>
        <w:pStyle w:val="18"/>
        <w:bidi w:val="0"/>
        <w:rPr>
          <w:rFonts w:hint="eastAsia"/>
          <w:u w:val="none"/>
        </w:rPr>
      </w:pPr>
      <w:r>
        <w:rPr>
          <w:rFonts w:hint="eastAsia"/>
          <w:u w:val="none"/>
        </w:rPr>
        <w:t>按支出项目类别划分：基本支出408.49万元</w:t>
      </w:r>
      <w:r>
        <w:rPr>
          <w:rFonts w:hint="eastAsia"/>
          <w:u w:val="none"/>
          <w:lang w:eastAsia="zh-CN"/>
        </w:rPr>
        <w:t>，</w:t>
      </w:r>
      <w:r>
        <w:rPr>
          <w:rFonts w:hint="eastAsia"/>
          <w:u w:val="none"/>
        </w:rPr>
        <w:t>较上年预算安排</w:t>
      </w:r>
      <w:r>
        <w:rPr>
          <w:rFonts w:hint="eastAsia"/>
          <w:u w:val="none"/>
          <w:lang w:val="en-US" w:eastAsia="zh-CN"/>
        </w:rPr>
        <w:t>增加163.90</w:t>
      </w:r>
      <w:r>
        <w:rPr>
          <w:rFonts w:hint="eastAsia"/>
          <w:u w:val="none"/>
        </w:rPr>
        <w:t>万元</w:t>
      </w:r>
      <w:r>
        <w:rPr>
          <w:rFonts w:hint="eastAsia"/>
          <w:u w:val="none"/>
          <w:lang w:eastAsia="zh-CN"/>
        </w:rPr>
        <w:t>；</w:t>
      </w:r>
      <w:r>
        <w:rPr>
          <w:rFonts w:hint="eastAsia"/>
          <w:u w:val="none"/>
        </w:rPr>
        <w:t>项目支出329.65万元</w:t>
      </w:r>
      <w:r>
        <w:rPr>
          <w:rFonts w:hint="eastAsia"/>
          <w:u w:val="none"/>
          <w:lang w:eastAsia="zh-CN"/>
        </w:rPr>
        <w:t>，</w:t>
      </w:r>
      <w:r>
        <w:rPr>
          <w:rFonts w:hint="eastAsia"/>
          <w:u w:val="none"/>
        </w:rPr>
        <w:t>较上年预算安排减少</w:t>
      </w:r>
      <w:r>
        <w:rPr>
          <w:rFonts w:hint="eastAsia"/>
          <w:u w:val="none"/>
          <w:lang w:val="en-US" w:eastAsia="zh-CN"/>
        </w:rPr>
        <w:t>214.48</w:t>
      </w:r>
      <w:r>
        <w:rPr>
          <w:rFonts w:hint="eastAsia"/>
          <w:u w:val="none"/>
        </w:rPr>
        <w:t>万元。</w:t>
      </w:r>
    </w:p>
    <w:p w14:paraId="02DD64AE">
      <w:pPr>
        <w:pStyle w:val="18"/>
        <w:bidi w:val="0"/>
        <w:rPr>
          <w:rFonts w:hint="eastAsia"/>
          <w:u w:val="none"/>
        </w:rPr>
      </w:pPr>
      <w:r>
        <w:rPr>
          <w:rFonts w:hint="eastAsia"/>
          <w:u w:val="none"/>
        </w:rPr>
        <w:t>按支出功能科目划分：教育支出428.54万元，较上年预算安排</w:t>
      </w:r>
      <w:r>
        <w:rPr>
          <w:rFonts w:hint="eastAsia"/>
          <w:u w:val="none"/>
          <w:lang w:val="en-US" w:eastAsia="zh-CN"/>
        </w:rPr>
        <w:t>减少149.60</w:t>
      </w:r>
      <w:r>
        <w:rPr>
          <w:rFonts w:hint="eastAsia"/>
          <w:u w:val="none"/>
        </w:rPr>
        <w:t>万元；社会保障和就业支出5.85万元，较上年预算安排</w:t>
      </w:r>
      <w:r>
        <w:rPr>
          <w:rFonts w:hint="eastAsia"/>
          <w:u w:val="none"/>
          <w:lang w:val="en-US" w:eastAsia="zh-CN"/>
        </w:rPr>
        <w:t>增加0.82</w:t>
      </w:r>
      <w:r>
        <w:rPr>
          <w:rFonts w:hint="eastAsia"/>
          <w:u w:val="none"/>
        </w:rPr>
        <w:t>万元；住房保障支出</w:t>
      </w:r>
      <w:r>
        <w:rPr>
          <w:rFonts w:hint="eastAsia"/>
          <w:u w:val="none"/>
          <w:lang w:val="en-US" w:eastAsia="zh-CN"/>
        </w:rPr>
        <w:t>0.00</w:t>
      </w:r>
      <w:r>
        <w:rPr>
          <w:rFonts w:hint="eastAsia"/>
          <w:u w:val="none"/>
        </w:rPr>
        <w:t>万元</w:t>
      </w:r>
      <w:r>
        <w:rPr>
          <w:rFonts w:hint="eastAsia"/>
          <w:u w:val="none"/>
          <w:lang w:eastAsia="zh-CN"/>
        </w:rPr>
        <w:t>，</w:t>
      </w:r>
      <w:r>
        <w:rPr>
          <w:rFonts w:hint="eastAsia"/>
          <w:u w:val="none"/>
        </w:rPr>
        <w:t>较上年预算安排</w:t>
      </w:r>
      <w:r>
        <w:rPr>
          <w:rFonts w:hint="eastAsia"/>
          <w:u w:val="none"/>
          <w:lang w:val="en-US" w:eastAsia="zh-CN"/>
        </w:rPr>
        <w:t>减少3.76</w:t>
      </w:r>
      <w:r>
        <w:rPr>
          <w:rFonts w:hint="eastAsia"/>
          <w:u w:val="none"/>
        </w:rPr>
        <w:t>万元</w:t>
      </w:r>
      <w:r>
        <w:rPr>
          <w:rFonts w:hint="eastAsia"/>
          <w:u w:val="none"/>
          <w:lang w:eastAsia="zh-CN"/>
        </w:rPr>
        <w:t>；</w:t>
      </w:r>
      <w:r>
        <w:rPr>
          <w:rFonts w:hint="eastAsia"/>
          <w:u w:val="none"/>
        </w:rPr>
        <w:t>卫生健康支出3.75万元，较上年预算安排增加</w:t>
      </w:r>
      <w:r>
        <w:rPr>
          <w:rFonts w:hint="eastAsia"/>
          <w:u w:val="none"/>
          <w:lang w:val="en-US" w:eastAsia="zh-CN"/>
        </w:rPr>
        <w:t>1.96</w:t>
      </w:r>
      <w:r>
        <w:rPr>
          <w:rFonts w:hint="eastAsia"/>
          <w:u w:val="none"/>
        </w:rPr>
        <w:t>万元；其他支出300.00万元，较上年预算安排增加</w:t>
      </w:r>
      <w:r>
        <w:rPr>
          <w:rFonts w:hint="eastAsia"/>
          <w:u w:val="none"/>
          <w:lang w:val="en-US" w:eastAsia="zh-CN"/>
        </w:rPr>
        <w:t>100.00</w:t>
      </w:r>
      <w:r>
        <w:rPr>
          <w:rFonts w:hint="eastAsia"/>
          <w:u w:val="none"/>
        </w:rPr>
        <w:t>万元。</w:t>
      </w:r>
    </w:p>
    <w:p w14:paraId="09F90FCB">
      <w:pPr>
        <w:pStyle w:val="18"/>
        <w:bidi w:val="0"/>
        <w:rPr>
          <w:rFonts w:hint="eastAsia"/>
          <w:u w:val="none"/>
        </w:rPr>
      </w:pPr>
      <w:r>
        <w:rPr>
          <w:rFonts w:hint="eastAsia"/>
          <w:u w:val="none"/>
        </w:rPr>
        <w:t>按支出经济分类划分：工资福利支出248.11万元，较上年预算安排增加</w:t>
      </w:r>
      <w:r>
        <w:rPr>
          <w:rFonts w:hint="eastAsia"/>
          <w:u w:val="none"/>
          <w:lang w:val="en-US" w:eastAsia="zh-CN"/>
        </w:rPr>
        <w:t>12.19</w:t>
      </w:r>
      <w:r>
        <w:rPr>
          <w:rFonts w:hint="eastAsia"/>
          <w:u w:val="none"/>
        </w:rPr>
        <w:t>万元；商品和服务支出488.90万元，较上年预算安排增加</w:t>
      </w:r>
      <w:r>
        <w:rPr>
          <w:rFonts w:hint="eastAsia"/>
          <w:u w:val="none"/>
          <w:lang w:val="en-US" w:eastAsia="zh-CN"/>
        </w:rPr>
        <w:t>192.23</w:t>
      </w:r>
      <w:r>
        <w:rPr>
          <w:rFonts w:hint="eastAsia"/>
          <w:u w:val="none"/>
        </w:rPr>
        <w:t>万元；对个人和家庭的补助</w:t>
      </w:r>
      <w:r>
        <w:rPr>
          <w:rFonts w:hint="eastAsia"/>
          <w:u w:val="none"/>
          <w:lang w:val="en-US" w:eastAsia="zh-CN"/>
        </w:rPr>
        <w:t>0</w:t>
      </w:r>
      <w:r>
        <w:rPr>
          <w:rFonts w:hint="eastAsia"/>
          <w:u w:val="none"/>
        </w:rPr>
        <w:t>.38万元，较上年预算安排增加</w:t>
      </w:r>
      <w:r>
        <w:rPr>
          <w:rFonts w:hint="eastAsia"/>
          <w:u w:val="none"/>
          <w:lang w:val="en-US" w:eastAsia="zh-CN"/>
        </w:rPr>
        <w:t>0.38</w:t>
      </w:r>
      <w:r>
        <w:rPr>
          <w:rFonts w:hint="eastAsia"/>
          <w:u w:val="none"/>
        </w:rPr>
        <w:t>万元；资本性支出</w:t>
      </w:r>
      <w:r>
        <w:rPr>
          <w:rFonts w:hint="eastAsia"/>
          <w:u w:val="none"/>
          <w:lang w:val="en-US" w:eastAsia="zh-CN"/>
        </w:rPr>
        <w:t>0</w:t>
      </w:r>
      <w:r>
        <w:rPr>
          <w:rFonts w:hint="eastAsia"/>
          <w:u w:val="none"/>
        </w:rPr>
        <w:t>.50万元，较上年预算安排</w:t>
      </w:r>
      <w:r>
        <w:rPr>
          <w:rFonts w:hint="eastAsia"/>
          <w:u w:val="none"/>
          <w:lang w:val="en-US" w:eastAsia="zh-CN"/>
        </w:rPr>
        <w:t>减少11.50</w:t>
      </w:r>
      <w:r>
        <w:rPr>
          <w:rFonts w:hint="eastAsia"/>
          <w:u w:val="none"/>
        </w:rPr>
        <w:t>万元；其他支出</w:t>
      </w:r>
      <w:r>
        <w:rPr>
          <w:rFonts w:hint="eastAsia"/>
          <w:u w:val="none"/>
          <w:lang w:val="en-US" w:eastAsia="zh-CN"/>
        </w:rPr>
        <w:t>0</w:t>
      </w:r>
      <w:r>
        <w:rPr>
          <w:rFonts w:hint="eastAsia"/>
          <w:u w:val="none"/>
        </w:rPr>
        <w:t>.25万元，较上年预算安排</w:t>
      </w:r>
      <w:r>
        <w:rPr>
          <w:rFonts w:hint="eastAsia"/>
          <w:u w:val="none"/>
          <w:lang w:val="en-US" w:eastAsia="zh-CN"/>
        </w:rPr>
        <w:t>减少243.88</w:t>
      </w:r>
      <w:r>
        <w:rPr>
          <w:rFonts w:hint="eastAsia"/>
          <w:u w:val="none"/>
        </w:rPr>
        <w:t>万元。</w:t>
      </w:r>
    </w:p>
    <w:p w14:paraId="5CF84115">
      <w:pPr>
        <w:pStyle w:val="19"/>
        <w:numPr>
          <w:ilvl w:val="0"/>
          <w:numId w:val="0"/>
        </w:numPr>
        <w:bidi w:val="0"/>
        <w:ind w:left="420" w:leftChars="200"/>
        <w:rPr>
          <w:rFonts w:hint="eastAsia"/>
          <w:u w:val="none"/>
          <w:lang w:val="en-US" w:eastAsia="zh-CN"/>
        </w:rPr>
      </w:pPr>
      <w:r>
        <w:rPr>
          <w:rFonts w:hint="eastAsia"/>
          <w:u w:val="none"/>
          <w:lang w:val="en-US" w:eastAsia="zh-CN"/>
        </w:rPr>
        <w:t xml:space="preserve"> （三）财政拨款支出情况</w:t>
      </w:r>
    </w:p>
    <w:p w14:paraId="2953847E">
      <w:pPr>
        <w:pStyle w:val="18"/>
        <w:bidi w:val="0"/>
        <w:rPr>
          <w:rFonts w:hint="eastAsia"/>
          <w:u w:val="none"/>
        </w:rPr>
      </w:pPr>
      <w:r>
        <w:rPr>
          <w:rFonts w:hint="eastAsia"/>
          <w:u w:val="none"/>
          <w:lang w:eastAsia="zh-CN"/>
        </w:rPr>
        <w:t>2026</w:t>
      </w:r>
      <w:r>
        <w:rPr>
          <w:rFonts w:hint="eastAsia"/>
          <w:u w:val="none"/>
        </w:rPr>
        <w:t>年</w:t>
      </w:r>
      <w:r>
        <w:rPr>
          <w:rFonts w:hint="eastAsia"/>
          <w:u w:val="none"/>
          <w:lang w:eastAsia="zh-CN"/>
        </w:rPr>
        <w:t>兴国县第十二幼儿园</w:t>
      </w:r>
      <w:r>
        <w:rPr>
          <w:rFonts w:hint="eastAsia"/>
          <w:u w:val="none"/>
        </w:rPr>
        <w:t>财政拨款支出预算总额278.14万元</w:t>
      </w:r>
      <w:r>
        <w:rPr>
          <w:rFonts w:hint="eastAsia"/>
          <w:u w:val="none"/>
          <w:lang w:eastAsia="zh-CN"/>
        </w:rPr>
        <w:t>，</w:t>
      </w:r>
      <w:r>
        <w:rPr>
          <w:rFonts w:hint="eastAsia"/>
          <w:u w:val="none"/>
        </w:rPr>
        <w:t>较上年预算安排增加</w:t>
      </w:r>
      <w:r>
        <w:rPr>
          <w:rFonts w:hint="eastAsia"/>
          <w:u w:val="none"/>
          <w:lang w:val="en-US" w:eastAsia="zh-CN"/>
        </w:rPr>
        <w:t>33.91</w:t>
      </w:r>
      <w:r>
        <w:rPr>
          <w:rFonts w:hint="eastAsia"/>
          <w:u w:val="none"/>
        </w:rPr>
        <w:t>万元</w:t>
      </w:r>
      <w:r>
        <w:rPr>
          <w:rFonts w:hint="eastAsia"/>
          <w:u w:val="none"/>
          <w:lang w:eastAsia="zh-CN"/>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2026年幼儿园备案制</w:t>
      </w:r>
      <w:r>
        <w:rPr>
          <w:rFonts w:hint="eastAsia" w:ascii="仿宋" w:hAnsi="仿宋" w:eastAsia="仿宋" w:cs="仿宋"/>
          <w:color w:val="auto"/>
          <w:sz w:val="32"/>
          <w:szCs w:val="32"/>
          <w:u w:val="none"/>
          <w:lang w:eastAsia="zh-CN"/>
        </w:rPr>
        <w:t>人员增加</w:t>
      </w:r>
      <w:r>
        <w:rPr>
          <w:rFonts w:hint="eastAsia"/>
          <w:u w:val="none"/>
        </w:rPr>
        <w:t>。</w:t>
      </w:r>
    </w:p>
    <w:p w14:paraId="2E39EFAA">
      <w:pPr>
        <w:pStyle w:val="18"/>
        <w:bidi w:val="0"/>
        <w:rPr>
          <w:rFonts w:hint="eastAsia"/>
          <w:u w:val="none"/>
        </w:rPr>
      </w:pPr>
      <w:r>
        <w:rPr>
          <w:rFonts w:hint="eastAsia"/>
          <w:u w:val="none"/>
        </w:rPr>
        <w:t>按支出功能科目划分：教育支出268.54万元，社会保障和就业支出5.85万元，卫生健康支出3.75万元。</w:t>
      </w:r>
    </w:p>
    <w:p w14:paraId="55B6D57A">
      <w:pPr>
        <w:pStyle w:val="18"/>
        <w:bidi w:val="0"/>
        <w:rPr>
          <w:rFonts w:hint="eastAsia"/>
          <w:u w:val="none"/>
        </w:rPr>
      </w:pPr>
      <w:r>
        <w:rPr>
          <w:rFonts w:hint="eastAsia"/>
          <w:u w:val="none"/>
        </w:rPr>
        <w:t>按支出项目类别划分：基本支出248.49万元</w:t>
      </w:r>
      <w:r>
        <w:rPr>
          <w:rFonts w:hint="eastAsia"/>
          <w:u w:val="none"/>
          <w:lang w:eastAsia="zh-CN"/>
        </w:rPr>
        <w:t>，</w:t>
      </w:r>
      <w:r>
        <w:rPr>
          <w:rFonts w:hint="eastAsia"/>
          <w:u w:val="none"/>
        </w:rPr>
        <w:t>项目支出29.65万元。</w:t>
      </w:r>
    </w:p>
    <w:p w14:paraId="6BBB7B73">
      <w:pPr>
        <w:pStyle w:val="18"/>
        <w:bidi w:val="0"/>
        <w:rPr>
          <w:rFonts w:hint="eastAsia"/>
          <w:u w:val="none"/>
        </w:rPr>
      </w:pPr>
      <w:r>
        <w:rPr>
          <w:rFonts w:hint="eastAsia"/>
          <w:u w:val="none"/>
        </w:rPr>
        <w:t>按支</w:t>
      </w:r>
      <w:r>
        <w:rPr>
          <w:rFonts w:hint="eastAsia"/>
          <w:u w:val="none"/>
          <w:lang w:val="en-US" w:eastAsia="zh-CN"/>
        </w:rPr>
        <w:t>出经济分类</w:t>
      </w:r>
      <w:r>
        <w:rPr>
          <w:rFonts w:hint="eastAsia"/>
          <w:u w:val="none"/>
        </w:rPr>
        <w:t>划分：工资福利支出248.11万元，商品和服务支出28.90万元，对个人和家庭的补助0.38万元，资本性支出0.50万元，其他支出0.25万元。</w:t>
      </w:r>
    </w:p>
    <w:p w14:paraId="3694A050">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03B8B1CC">
      <w:pPr>
        <w:pStyle w:val="18"/>
        <w:bidi w:val="0"/>
        <w:rPr>
          <w:rFonts w:hint="eastAsia"/>
          <w:lang w:eastAsia="zh-CN"/>
        </w:rPr>
      </w:pPr>
      <w:r>
        <w:rPr>
          <w:rFonts w:hint="eastAsia"/>
        </w:rPr>
        <w:t>本</w:t>
      </w:r>
      <w:r>
        <w:rPr>
          <w:rFonts w:hint="eastAsia"/>
          <w:lang w:val="en-US" w:eastAsia="zh-CN"/>
        </w:rPr>
        <w:t>单位没有使用</w:t>
      </w:r>
      <w:r>
        <w:rPr>
          <w:rFonts w:hint="eastAsia"/>
          <w:lang w:eastAsia="zh-CN"/>
        </w:rPr>
        <w:t>政府性基金</w:t>
      </w:r>
      <w:r>
        <w:rPr>
          <w:rFonts w:hint="eastAsia"/>
        </w:rPr>
        <w:t>预算拨款安排的支出</w:t>
      </w:r>
      <w:r>
        <w:rPr>
          <w:rFonts w:hint="eastAsia"/>
          <w:lang w:eastAsia="zh-CN"/>
        </w:rPr>
        <w:t>。</w:t>
      </w:r>
    </w:p>
    <w:p w14:paraId="744D19B6">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07D938B1">
      <w:pPr>
        <w:pStyle w:val="18"/>
        <w:bidi w:val="0"/>
        <w:rPr>
          <w:rFonts w:hint="eastAsia"/>
        </w:rPr>
      </w:pPr>
      <w:r>
        <w:rPr>
          <w:rFonts w:hint="eastAsia"/>
        </w:rPr>
        <w:t>本</w:t>
      </w:r>
      <w:r>
        <w:rPr>
          <w:rFonts w:hint="eastAsia"/>
          <w:lang w:val="en-US" w:eastAsia="zh-CN"/>
        </w:rPr>
        <w:t>单位</w:t>
      </w:r>
      <w:r>
        <w:rPr>
          <w:rFonts w:hint="eastAsia"/>
        </w:rPr>
        <w:t>没有使用国有资本经营预算拨款安排的支出。</w:t>
      </w:r>
    </w:p>
    <w:p w14:paraId="71455256">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60BD1ADD">
      <w:pPr>
        <w:pStyle w:val="18"/>
        <w:bidi w:val="0"/>
        <w:rPr>
          <w:rFonts w:ascii="Adobe 仿宋 Std R" w:hAnsi="Adobe 仿宋 Std R" w:eastAsia="Adobe 仿宋 Std R"/>
          <w:sz w:val="32"/>
          <w:szCs w:val="32"/>
        </w:rPr>
      </w:pPr>
      <w:r>
        <w:rPr>
          <w:rFonts w:hint="eastAsia"/>
        </w:rPr>
        <w:t>本单位非行政参公单位，无机关运行经费。</w:t>
      </w:r>
    </w:p>
    <w:p w14:paraId="34A6BAF5">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0CC87A3F">
      <w:pPr>
        <w:pStyle w:val="18"/>
        <w:bidi w:val="0"/>
        <w:rPr>
          <w:rFonts w:hint="eastAsia"/>
          <w:lang w:eastAsia="zh-CN"/>
        </w:rPr>
      </w:pPr>
      <w:r>
        <w:rPr>
          <w:rFonts w:hint="eastAsia"/>
          <w:lang w:eastAsia="zh-CN"/>
        </w:rPr>
        <w:t>2026年政府采购总额2.80万元，其中：政府采购货物预算  1.80万元，政府采购工程预算0.00万元，政府采购服务预算 1.00万元。</w:t>
      </w:r>
    </w:p>
    <w:p w14:paraId="01747D7C">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4734E4B8">
      <w:pPr>
        <w:pStyle w:val="18"/>
        <w:bidi w:val="0"/>
        <w:rPr>
          <w:rFonts w:hint="eastAsia"/>
          <w:u w:val="none"/>
          <w:lang w:eastAsia="zh-CN"/>
        </w:rPr>
      </w:pPr>
      <w:r>
        <w:rPr>
          <w:rFonts w:hint="eastAsia"/>
          <w:lang w:eastAsia="zh-CN"/>
        </w:rPr>
        <w:t>截至2</w:t>
      </w:r>
      <w:r>
        <w:rPr>
          <w:rFonts w:hint="eastAsia"/>
          <w:u w:val="none"/>
          <w:lang w:eastAsia="zh-CN"/>
        </w:rPr>
        <w:t>025年7月31日，</w:t>
      </w:r>
      <w:r>
        <w:rPr>
          <w:rFonts w:hint="eastAsia"/>
          <w:u w:val="none"/>
          <w:lang w:val="en-US" w:eastAsia="zh-CN"/>
        </w:rPr>
        <w:t>单位</w:t>
      </w:r>
      <w:r>
        <w:rPr>
          <w:rFonts w:hint="eastAsia"/>
          <w:u w:val="none"/>
          <w:lang w:eastAsia="zh-CN"/>
        </w:rPr>
        <w:t xml:space="preserve">共有车辆 </w:t>
      </w:r>
      <w:r>
        <w:rPr>
          <w:rFonts w:hint="eastAsia"/>
          <w:u w:val="none"/>
          <w:lang w:val="en-US" w:eastAsia="zh-CN"/>
        </w:rPr>
        <w:t>0</w:t>
      </w:r>
      <w:r>
        <w:rPr>
          <w:rFonts w:hint="eastAsia"/>
          <w:u w:val="none"/>
          <w:lang w:eastAsia="zh-CN"/>
        </w:rPr>
        <w:t xml:space="preserve"> 辆，其中：一般公务用车实有数</w:t>
      </w:r>
      <w:r>
        <w:rPr>
          <w:rFonts w:hint="eastAsia"/>
          <w:u w:val="none"/>
          <w:lang w:val="en-US" w:eastAsia="zh-CN"/>
        </w:rPr>
        <w:t>0</w:t>
      </w:r>
      <w:r>
        <w:rPr>
          <w:rFonts w:hint="eastAsia"/>
          <w:u w:val="none"/>
          <w:lang w:eastAsia="zh-CN"/>
        </w:rPr>
        <w:t>辆。</w:t>
      </w:r>
    </w:p>
    <w:p w14:paraId="28F45C16">
      <w:pPr>
        <w:pStyle w:val="18"/>
        <w:bidi w:val="0"/>
        <w:rPr>
          <w:rFonts w:hint="eastAsia"/>
          <w:u w:val="none"/>
          <w:lang w:eastAsia="zh-CN"/>
        </w:rPr>
      </w:pPr>
      <w:r>
        <w:rPr>
          <w:rFonts w:hint="eastAsia"/>
          <w:u w:val="none"/>
          <w:lang w:eastAsia="zh-CN"/>
        </w:rPr>
        <w:t>2026年</w:t>
      </w:r>
      <w:r>
        <w:rPr>
          <w:rFonts w:hint="eastAsia"/>
          <w:u w:val="none"/>
          <w:lang w:val="en-US" w:eastAsia="zh-CN"/>
        </w:rPr>
        <w:t>单位</w:t>
      </w:r>
      <w:r>
        <w:rPr>
          <w:rFonts w:hint="eastAsia"/>
          <w:u w:val="none"/>
          <w:lang w:eastAsia="zh-CN"/>
        </w:rPr>
        <w:t>预算安排购置车辆</w:t>
      </w:r>
      <w:r>
        <w:rPr>
          <w:rFonts w:hint="eastAsia"/>
          <w:u w:val="none"/>
          <w:lang w:val="en-US" w:eastAsia="zh-CN"/>
        </w:rPr>
        <w:t>0</w:t>
      </w:r>
      <w:r>
        <w:rPr>
          <w:rFonts w:hint="eastAsia"/>
          <w:u w:val="none"/>
          <w:lang w:eastAsia="zh-CN"/>
        </w:rPr>
        <w:t>辆，安排购置单位价值200万元以上大型设备具体为：</w:t>
      </w:r>
      <w:r>
        <w:rPr>
          <w:rFonts w:hint="eastAsia"/>
          <w:u w:val="none"/>
          <w:lang w:val="en-US" w:eastAsia="zh-CN"/>
        </w:rPr>
        <w:t>无</w:t>
      </w:r>
      <w:r>
        <w:rPr>
          <w:rFonts w:hint="eastAsia"/>
          <w:u w:val="none"/>
          <w:lang w:eastAsia="zh-CN"/>
        </w:rPr>
        <w:t>。</w:t>
      </w:r>
    </w:p>
    <w:p w14:paraId="37E10917">
      <w:pPr>
        <w:pStyle w:val="19"/>
        <w:numPr>
          <w:ilvl w:val="0"/>
          <w:numId w:val="0"/>
        </w:numPr>
        <w:bidi w:val="0"/>
        <w:ind w:firstLine="643" w:firstLineChars="200"/>
        <w:rPr>
          <w:rFonts w:hint="eastAsia"/>
          <w:lang w:val="en-US" w:eastAsia="zh-CN"/>
        </w:rPr>
      </w:pPr>
      <w:r>
        <w:rPr>
          <w:rFonts w:hint="eastAsia"/>
          <w:lang w:val="en-US" w:eastAsia="zh-CN"/>
        </w:rPr>
        <w:t>（九）学前教育生均经费项目情况说明</w:t>
      </w:r>
    </w:p>
    <w:p w14:paraId="1B7A31E7">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1）项目概述：按照生均600元/生/年的标准拨付生均公用经费，保障学校正常运转、完成教育教学活动和其他日常工作任务等方面的支出。</w:t>
      </w:r>
    </w:p>
    <w:p w14:paraId="0CB8A41F">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_GB2312" w:hAnsi="仿宋_GB2312" w:eastAsia="仿宋_GB2312" w:cstheme="minorBidi"/>
          <w:kern w:val="2"/>
          <w:sz w:val="32"/>
          <w:szCs w:val="32"/>
          <w:lang w:val="en-US" w:eastAsia="zh-CN" w:bidi="ar-SA"/>
        </w:rPr>
        <w:t>2）立项依据：根据《江西省财政厅 教育厅关于制定学前教育生均公用经费标准的通知》（赣财教〔2018〕18号）文件精神立项</w:t>
      </w:r>
      <w:r>
        <w:rPr>
          <w:rFonts w:hint="eastAsia" w:ascii="仿宋" w:hAnsi="仿宋" w:eastAsia="仿宋" w:cs="仿宋"/>
          <w:color w:val="auto"/>
          <w:sz w:val="32"/>
          <w:szCs w:val="32"/>
          <w:u w:val="none"/>
          <w:lang w:eastAsia="zh-CN"/>
        </w:rPr>
        <w:t>。</w:t>
      </w:r>
    </w:p>
    <w:p w14:paraId="1DF5D907">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3</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实施主体</w:t>
      </w:r>
      <w:r>
        <w:rPr>
          <w:rFonts w:hint="eastAsia" w:ascii="仿宋" w:hAnsi="仿宋" w:eastAsia="仿宋" w:cs="仿宋"/>
          <w:color w:val="auto"/>
          <w:sz w:val="32"/>
          <w:szCs w:val="32"/>
          <w:u w:val="none"/>
          <w:lang w:eastAsia="zh-CN"/>
        </w:rPr>
        <w:t>：兴国县第十二幼儿园。</w:t>
      </w:r>
    </w:p>
    <w:p w14:paraId="66B632D7">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实施方案：</w:t>
      </w:r>
      <w:r>
        <w:rPr>
          <w:rFonts w:hint="eastAsia" w:ascii="仿宋" w:hAnsi="仿宋" w:eastAsia="仿宋" w:cs="仿宋"/>
          <w:color w:val="auto"/>
          <w:sz w:val="32"/>
          <w:szCs w:val="32"/>
          <w:lang w:eastAsia="zh-CN"/>
        </w:rPr>
        <w:t>保证资金正常运转，使资金达到最佳使用率</w:t>
      </w:r>
      <w:r>
        <w:rPr>
          <w:rFonts w:hint="eastAsia" w:ascii="仿宋" w:hAnsi="仿宋" w:eastAsia="仿宋" w:cs="仿宋"/>
          <w:color w:val="auto"/>
          <w:sz w:val="32"/>
          <w:szCs w:val="32"/>
          <w:u w:val="none"/>
          <w:lang w:val="en-US" w:eastAsia="zh-CN"/>
        </w:rPr>
        <w:t>。</w:t>
      </w:r>
    </w:p>
    <w:p w14:paraId="762A2F50">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lang w:eastAsia="zh-CN"/>
        </w:rPr>
        <w:t>实施周期：</w:t>
      </w:r>
      <w:r>
        <w:rPr>
          <w:rFonts w:hint="eastAsia" w:ascii="仿宋" w:hAnsi="仿宋" w:eastAsia="仿宋" w:cs="仿宋"/>
          <w:color w:val="auto"/>
          <w:sz w:val="32"/>
          <w:szCs w:val="32"/>
          <w:u w:val="none"/>
          <w:lang w:val="en-US" w:eastAsia="zh-CN"/>
        </w:rPr>
        <w:t>2026年1月1日—2026年12月31日。</w:t>
      </w:r>
    </w:p>
    <w:p w14:paraId="05886F8A">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lang w:eastAsia="zh-CN"/>
        </w:rPr>
        <w:t>年度预算安排：项目库申报金额</w:t>
      </w:r>
      <w:r>
        <w:rPr>
          <w:rFonts w:hint="eastAsia" w:ascii="仿宋" w:hAnsi="仿宋" w:eastAsia="仿宋" w:cs="仿宋"/>
          <w:color w:val="auto"/>
          <w:sz w:val="32"/>
          <w:szCs w:val="32"/>
          <w:u w:val="none"/>
          <w:lang w:val="en-US" w:eastAsia="zh-CN"/>
        </w:rPr>
        <w:t>29.40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29.40</w:t>
      </w:r>
      <w:r>
        <w:rPr>
          <w:rFonts w:hint="eastAsia" w:ascii="仿宋" w:hAnsi="仿宋" w:eastAsia="仿宋" w:cs="仿宋"/>
          <w:color w:val="auto"/>
          <w:sz w:val="32"/>
          <w:szCs w:val="32"/>
          <w:u w:val="none"/>
          <w:lang w:eastAsia="zh-CN"/>
        </w:rPr>
        <w:t>万元。</w:t>
      </w:r>
    </w:p>
    <w:p w14:paraId="7A02E20F">
      <w:pPr>
        <w:spacing w:line="560" w:lineRule="exact"/>
        <w:ind w:firstLine="640" w:firstLineChars="200"/>
        <w:rPr>
          <w:rFonts w:hint="eastAsia" w:ascii="仿宋" w:hAnsi="仿宋" w:eastAsia="仿宋" w:cs="仿宋"/>
          <w:color w:val="auto"/>
          <w:sz w:val="32"/>
          <w:szCs w:val="32"/>
          <w:u w:val="none"/>
          <w:lang w:eastAsia="zh-CN"/>
        </w:rPr>
      </w:pPr>
    </w:p>
    <w:p w14:paraId="634E989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9999E73">
      <w:pPr>
        <w:pStyle w:val="18"/>
        <w:bidi w:val="0"/>
        <w:rPr>
          <w:rFonts w:hint="eastAsia"/>
          <w:lang w:eastAsia="zh-CN"/>
        </w:rPr>
      </w:pPr>
      <w:r>
        <w:rPr>
          <w:rFonts w:hint="eastAsia"/>
          <w:lang w:eastAsia="zh-CN"/>
        </w:rPr>
        <w:t>2026年兴国县第十二幼儿园财政拨款“三公”经费安排0.30万元，其中：</w:t>
      </w:r>
    </w:p>
    <w:p w14:paraId="16ABB7A8">
      <w:pPr>
        <w:pStyle w:val="18"/>
        <w:bidi w:val="0"/>
        <w:rPr>
          <w:rFonts w:hint="eastAsia"/>
          <w:lang w:eastAsia="zh-CN"/>
        </w:rPr>
      </w:pPr>
      <w:r>
        <w:rPr>
          <w:rFonts w:hint="eastAsia"/>
          <w:lang w:eastAsia="zh-CN"/>
        </w:rPr>
        <w:t>因公出国0.00万元，比上年增加</w:t>
      </w:r>
      <w:r>
        <w:rPr>
          <w:rFonts w:hint="eastAsia"/>
          <w:u w:val="none"/>
          <w:lang w:val="en-US" w:eastAsia="zh-CN"/>
        </w:rPr>
        <w:t xml:space="preserve">0 </w:t>
      </w:r>
      <w:r>
        <w:rPr>
          <w:rFonts w:hint="eastAsia"/>
          <w:lang w:eastAsia="zh-CN"/>
        </w:rPr>
        <w:t>万元，与上年安排保持一致。</w:t>
      </w:r>
    </w:p>
    <w:p w14:paraId="7C2364B3">
      <w:pPr>
        <w:pStyle w:val="18"/>
        <w:bidi w:val="0"/>
        <w:rPr>
          <w:rFonts w:hint="eastAsia"/>
          <w:lang w:eastAsia="zh-CN"/>
        </w:rPr>
      </w:pPr>
      <w:r>
        <w:rPr>
          <w:rFonts w:hint="eastAsia"/>
          <w:lang w:eastAsia="zh-CN"/>
        </w:rPr>
        <w:t>公务接待0.30万元，比上年减少</w:t>
      </w:r>
      <w:r>
        <w:rPr>
          <w:rFonts w:hint="eastAsia"/>
          <w:u w:val="none"/>
          <w:lang w:val="en-US" w:eastAsia="zh-CN"/>
        </w:rPr>
        <w:t>1.50</w:t>
      </w:r>
      <w:r>
        <w:rPr>
          <w:rFonts w:hint="eastAsia"/>
          <w:lang w:eastAsia="zh-CN"/>
        </w:rPr>
        <w:t>万元，主要原因是：</w:t>
      </w:r>
      <w:r>
        <w:rPr>
          <w:rFonts w:hint="eastAsia" w:ascii="仿宋" w:hAnsi="仿宋" w:eastAsia="仿宋" w:cs="仿宋"/>
          <w:color w:val="auto"/>
          <w:sz w:val="32"/>
          <w:szCs w:val="32"/>
          <w:u w:val="none"/>
          <w:lang w:val="en-US" w:eastAsia="zh-CN"/>
        </w:rPr>
        <w:t>厉行节约，缩减公务接待开支</w:t>
      </w:r>
      <w:r>
        <w:rPr>
          <w:rFonts w:hint="eastAsia"/>
          <w:lang w:eastAsia="zh-CN"/>
        </w:rPr>
        <w:t>。</w:t>
      </w:r>
    </w:p>
    <w:p w14:paraId="3634438F">
      <w:pPr>
        <w:pStyle w:val="18"/>
        <w:bidi w:val="0"/>
        <w:rPr>
          <w:rFonts w:hint="eastAsia"/>
          <w:lang w:eastAsia="zh-CN"/>
        </w:rPr>
      </w:pPr>
      <w:r>
        <w:rPr>
          <w:rFonts w:hint="eastAsia"/>
          <w:lang w:eastAsia="zh-CN"/>
        </w:rPr>
        <w:t>公务用车运行0.00万元，比上年</w:t>
      </w:r>
      <w:r>
        <w:rPr>
          <w:rFonts w:hint="eastAsia"/>
          <w:u w:val="none"/>
          <w:lang w:val="en-US" w:eastAsia="zh-CN"/>
        </w:rPr>
        <w:t>0</w:t>
      </w:r>
      <w:r>
        <w:rPr>
          <w:rFonts w:hint="eastAsia"/>
          <w:lang w:eastAsia="zh-CN"/>
        </w:rPr>
        <w:t>万元，与上年安排保持一致。</w:t>
      </w:r>
    </w:p>
    <w:p w14:paraId="13BABE5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公务用车购置0.00万元，比上年增加</w:t>
      </w:r>
      <w:r>
        <w:rPr>
          <w:rFonts w:hint="eastAsia" w:ascii="仿宋_GB2312" w:hAnsi="仿宋_GB2312" w:eastAsia="仿宋_GB2312" w:cstheme="minorBidi"/>
          <w:kern w:val="2"/>
          <w:sz w:val="32"/>
          <w:szCs w:val="32"/>
          <w:u w:val="none"/>
          <w:lang w:val="en-US" w:eastAsia="zh-CN" w:bidi="ar-SA"/>
        </w:rPr>
        <w:t>0</w:t>
      </w:r>
      <w:r>
        <w:rPr>
          <w:rFonts w:hint="eastAsia" w:ascii="仿宋_GB2312" w:hAnsi="仿宋_GB2312" w:eastAsia="仿宋_GB2312" w:cstheme="minorBidi"/>
          <w:kern w:val="2"/>
          <w:sz w:val="32"/>
          <w:szCs w:val="32"/>
          <w:lang w:val="en-US" w:eastAsia="zh-CN" w:bidi="ar-SA"/>
        </w:rPr>
        <w:t>万元，与上年安排保持一致。</w:t>
      </w:r>
    </w:p>
    <w:p w14:paraId="6FA584E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br w:type="page"/>
      </w:r>
    </w:p>
    <w:p w14:paraId="3D3D1D6E">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6BD20A72">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33ED65D">
      <w:pPr>
        <w:pStyle w:val="18"/>
        <w:bidi w:val="0"/>
        <w:rPr>
          <w:rFonts w:hint="eastAsia"/>
          <w:lang w:eastAsia="zh-CN"/>
        </w:rPr>
      </w:pPr>
      <w:r>
        <w:rPr>
          <w:rFonts w:hint="eastAsia"/>
          <w:lang w:eastAsia="zh-CN"/>
        </w:rPr>
        <w:t>各</w:t>
      </w:r>
      <w:r>
        <w:rPr>
          <w:rFonts w:hint="eastAsia"/>
          <w:lang w:val="en-US" w:eastAsia="zh-CN"/>
        </w:rPr>
        <w:t>单位</w:t>
      </w:r>
      <w:r>
        <w:rPr>
          <w:rFonts w:hint="eastAsia"/>
          <w:lang w:eastAsia="zh-CN"/>
        </w:rPr>
        <w:t>结合实际进行解释。</w:t>
      </w:r>
    </w:p>
    <w:p w14:paraId="7B2A9485">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14E2A5C">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711B6B88">
      <w:pPr>
        <w:pStyle w:val="18"/>
        <w:bidi w:val="0"/>
        <w:rPr>
          <w:rFonts w:hint="eastAsia"/>
          <w:lang w:eastAsia="zh-CN"/>
        </w:rPr>
      </w:pPr>
      <w:r>
        <w:rPr>
          <w:rFonts w:hint="eastAsia"/>
          <w:lang w:eastAsia="zh-CN"/>
        </w:rPr>
        <w:t>（三）事业收入：指事业单位开展专业业务活动及辅助活动取得的收入。</w:t>
      </w:r>
    </w:p>
    <w:p w14:paraId="1F7D15EE">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251BCAA9">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5A7F2183">
      <w:pPr>
        <w:pStyle w:val="18"/>
        <w:bidi w:val="0"/>
        <w:rPr>
          <w:rFonts w:hint="eastAsia"/>
          <w:lang w:eastAsia="zh-CN"/>
        </w:rPr>
      </w:pPr>
      <w:r>
        <w:rPr>
          <w:rFonts w:hint="eastAsia"/>
          <w:lang w:eastAsia="zh-CN"/>
        </w:rPr>
        <w:t>（六）上级补助收入：指事业单位从主管部门和上级单位取得的非财政补助收入。</w:t>
      </w:r>
    </w:p>
    <w:p w14:paraId="100108B1">
      <w:pPr>
        <w:pStyle w:val="18"/>
        <w:bidi w:val="0"/>
        <w:rPr>
          <w:rFonts w:hint="eastAsia"/>
          <w:lang w:eastAsia="zh-CN"/>
        </w:rPr>
      </w:pPr>
      <w:r>
        <w:rPr>
          <w:rFonts w:hint="eastAsia"/>
          <w:lang w:eastAsia="zh-CN"/>
        </w:rPr>
        <w:t>（七）其他收入：指除财政拨款、事业收入、事业单位经营收入等以外的各项收入。</w:t>
      </w:r>
    </w:p>
    <w:p w14:paraId="1AA6359E">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5DC64E8C">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7CDA6E0C">
      <w:pPr>
        <w:ind w:firstLine="640" w:firstLineChars="200"/>
        <w:rPr>
          <w:rFonts w:ascii="Adobe 仿宋 Std R" w:hAnsi="Adobe 仿宋 Std R" w:eastAsia="Adobe 仿宋 Std R"/>
          <w:sz w:val="32"/>
          <w:szCs w:val="32"/>
        </w:rPr>
      </w:pPr>
    </w:p>
    <w:p w14:paraId="576B681E">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0F467D7E">
      <w:pPr>
        <w:widowControl/>
        <w:spacing w:line="600" w:lineRule="exact"/>
        <w:ind w:firstLine="620" w:firstLineChars="200"/>
        <w:jc w:val="left"/>
        <w:rPr>
          <w:rFonts w:ascii="仿宋" w:hAnsi="仿宋" w:eastAsia="仿宋" w:cs="仿宋"/>
          <w:b w:val="0"/>
          <w:bCs w:val="0"/>
          <w:color w:val="000000"/>
          <w:sz w:val="31"/>
          <w:szCs w:val="31"/>
        </w:rPr>
      </w:pPr>
      <w:r>
        <w:rPr>
          <w:rFonts w:ascii="仿宋" w:hAnsi="仿宋" w:eastAsia="仿宋" w:cs="仿宋"/>
          <w:b w:val="0"/>
          <w:bCs w:val="0"/>
          <w:color w:val="000000"/>
          <w:sz w:val="31"/>
          <w:szCs w:val="31"/>
        </w:rPr>
        <w:t xml:space="preserve">（一）行政运行：反映行政单位（事业单位）的基本支出。 </w:t>
      </w:r>
    </w:p>
    <w:p w14:paraId="773627D3">
      <w:pPr>
        <w:widowControl/>
        <w:spacing w:line="600" w:lineRule="exact"/>
        <w:ind w:firstLine="620" w:firstLineChars="200"/>
        <w:jc w:val="left"/>
        <w:rPr>
          <w:rFonts w:ascii="仿宋" w:hAnsi="仿宋" w:eastAsia="仿宋" w:cs="仿宋"/>
          <w:b w:val="0"/>
          <w:bCs w:val="0"/>
          <w:color w:val="000000"/>
          <w:sz w:val="31"/>
          <w:szCs w:val="31"/>
        </w:rPr>
      </w:pPr>
      <w:r>
        <w:rPr>
          <w:rFonts w:ascii="仿宋" w:hAnsi="仿宋" w:eastAsia="仿宋" w:cs="仿宋"/>
          <w:b w:val="0"/>
          <w:bCs w:val="0"/>
          <w:color w:val="000000"/>
          <w:sz w:val="31"/>
          <w:szCs w:val="31"/>
        </w:rPr>
        <w:t>（二）一般行政管理事务：反映行政单位（包括事业单位） 未单独设置项级科目的其他项目支出。</w:t>
      </w:r>
    </w:p>
    <w:p w14:paraId="056D6208">
      <w:pPr>
        <w:widowControl/>
        <w:spacing w:line="600" w:lineRule="exact"/>
        <w:ind w:firstLine="620" w:firstLineChars="200"/>
        <w:jc w:val="left"/>
        <w:rPr>
          <w:rFonts w:hint="eastAsia" w:ascii="仿宋" w:hAnsi="仿宋" w:eastAsia="仿宋" w:cs="仿宋"/>
          <w:b w:val="0"/>
          <w:bCs w:val="0"/>
          <w:color w:val="000000"/>
          <w:sz w:val="31"/>
          <w:szCs w:val="31"/>
        </w:rPr>
      </w:pPr>
      <w:r>
        <w:rPr>
          <w:rFonts w:hint="eastAsia" w:ascii="仿宋" w:hAnsi="仿宋" w:eastAsia="仿宋" w:cs="仿宋"/>
          <w:b w:val="0"/>
          <w:bCs w:val="0"/>
          <w:color w:val="000000"/>
          <w:sz w:val="31"/>
          <w:szCs w:val="31"/>
        </w:rPr>
        <w:t xml:space="preserve">（三）机关事业单位基本养老保险缴费支出：反映机关事 业单位实施养老保险制度由单位缴纳的基本养老保险费的支出。 </w:t>
      </w:r>
    </w:p>
    <w:p w14:paraId="6623DE86">
      <w:pPr>
        <w:widowControl/>
        <w:spacing w:line="600" w:lineRule="exact"/>
        <w:ind w:firstLine="620" w:firstLineChars="200"/>
        <w:jc w:val="left"/>
        <w:rPr>
          <w:rFonts w:hint="eastAsia" w:ascii="仿宋" w:hAnsi="仿宋" w:eastAsia="仿宋" w:cs="仿宋"/>
          <w:b w:val="0"/>
          <w:bCs w:val="0"/>
          <w:color w:val="000000"/>
          <w:sz w:val="31"/>
          <w:szCs w:val="31"/>
        </w:rPr>
      </w:pPr>
      <w:r>
        <w:rPr>
          <w:rFonts w:hint="eastAsia" w:ascii="仿宋" w:hAnsi="仿宋" w:eastAsia="仿宋" w:cs="仿宋"/>
          <w:b w:val="0"/>
          <w:bCs w:val="0"/>
          <w:color w:val="000000"/>
          <w:sz w:val="31"/>
          <w:szCs w:val="31"/>
        </w:rPr>
        <w:t xml:space="preserve">（四）行政单位医疗：反映行政事业单位基本医疗保险缴 费经费。 </w:t>
      </w:r>
    </w:p>
    <w:p w14:paraId="0DD43B33">
      <w:pPr>
        <w:widowControl/>
        <w:spacing w:line="600" w:lineRule="exact"/>
        <w:ind w:firstLine="620" w:firstLineChars="200"/>
        <w:jc w:val="left"/>
        <w:rPr>
          <w:rFonts w:hint="eastAsia" w:ascii="仿宋" w:hAnsi="仿宋" w:eastAsia="仿宋" w:cs="仿宋"/>
          <w:b w:val="0"/>
          <w:bCs w:val="0"/>
          <w:color w:val="000000"/>
          <w:sz w:val="31"/>
          <w:szCs w:val="31"/>
        </w:rPr>
      </w:pPr>
      <w:r>
        <w:rPr>
          <w:rFonts w:hint="eastAsia" w:ascii="仿宋" w:hAnsi="仿宋" w:eastAsia="仿宋" w:cs="仿宋"/>
          <w:b w:val="0"/>
          <w:bCs w:val="0"/>
          <w:color w:val="000000"/>
          <w:sz w:val="31"/>
          <w:szCs w:val="31"/>
        </w:rPr>
        <w:t xml:space="preserve">（五）事业单位医疗：反映财政单位集中安排的事业单位 基本医疗保险缴费经费。 </w:t>
      </w:r>
    </w:p>
    <w:p w14:paraId="6E180D1F">
      <w:pPr>
        <w:widowControl/>
        <w:spacing w:line="600" w:lineRule="exact"/>
        <w:ind w:firstLine="620" w:firstLineChars="200"/>
        <w:jc w:val="left"/>
        <w:rPr>
          <w:rFonts w:hint="eastAsia" w:ascii="仿宋" w:hAnsi="仿宋" w:eastAsia="仿宋" w:cs="仿宋"/>
          <w:b w:val="0"/>
          <w:bCs w:val="0"/>
          <w:color w:val="000000"/>
          <w:sz w:val="31"/>
          <w:szCs w:val="31"/>
        </w:rPr>
      </w:pPr>
      <w:r>
        <w:rPr>
          <w:rFonts w:hint="eastAsia" w:ascii="仿宋" w:hAnsi="仿宋" w:eastAsia="仿宋" w:cs="仿宋"/>
          <w:b w:val="0"/>
          <w:bCs w:val="0"/>
          <w:color w:val="000000"/>
          <w:sz w:val="31"/>
          <w:szCs w:val="31"/>
        </w:rPr>
        <w:t>（六）死亡抚恤：反映单位遗属人员生活补助。</w:t>
      </w:r>
    </w:p>
    <w:p w14:paraId="123EF84B">
      <w:pPr>
        <w:widowControl/>
        <w:spacing w:line="600" w:lineRule="exact"/>
        <w:ind w:firstLine="620" w:firstLineChars="200"/>
        <w:jc w:val="left"/>
        <w:rPr>
          <w:rFonts w:hint="eastAsia" w:ascii="仿宋" w:hAnsi="仿宋" w:eastAsia="仿宋" w:cs="仿宋"/>
          <w:b w:val="0"/>
          <w:bCs w:val="0"/>
          <w:color w:val="000000"/>
          <w:sz w:val="31"/>
          <w:szCs w:val="31"/>
        </w:rPr>
      </w:pPr>
    </w:p>
    <w:p w14:paraId="2E0718D6">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5633E9AD">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CDAFB4F">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35CAF655">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B6742">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C3947"/>
    <w:rsid w:val="01EF572E"/>
    <w:rsid w:val="0201544E"/>
    <w:rsid w:val="020411DA"/>
    <w:rsid w:val="02176B4D"/>
    <w:rsid w:val="0267346B"/>
    <w:rsid w:val="0288005D"/>
    <w:rsid w:val="028917A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14516"/>
    <w:rsid w:val="058E403A"/>
    <w:rsid w:val="05A96FBC"/>
    <w:rsid w:val="067A6028"/>
    <w:rsid w:val="069027A8"/>
    <w:rsid w:val="06BE4E5C"/>
    <w:rsid w:val="06C16A1F"/>
    <w:rsid w:val="06EB090E"/>
    <w:rsid w:val="070F6488"/>
    <w:rsid w:val="07154067"/>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60393"/>
    <w:rsid w:val="0A7E3AF3"/>
    <w:rsid w:val="0B135F5B"/>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87235D"/>
    <w:rsid w:val="10C76C75"/>
    <w:rsid w:val="10EC7A09"/>
    <w:rsid w:val="118C7F17"/>
    <w:rsid w:val="11A83289"/>
    <w:rsid w:val="11BA18B5"/>
    <w:rsid w:val="12AB25F0"/>
    <w:rsid w:val="12C66037"/>
    <w:rsid w:val="12D71EE1"/>
    <w:rsid w:val="13024677"/>
    <w:rsid w:val="132316DC"/>
    <w:rsid w:val="13257202"/>
    <w:rsid w:val="1417554F"/>
    <w:rsid w:val="146A26EA"/>
    <w:rsid w:val="14901BB6"/>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2C4EC3"/>
    <w:rsid w:val="1A9E7E47"/>
    <w:rsid w:val="1AAC4E51"/>
    <w:rsid w:val="1B106CD9"/>
    <w:rsid w:val="1B1E744F"/>
    <w:rsid w:val="1B477CB6"/>
    <w:rsid w:val="1B513369"/>
    <w:rsid w:val="1B5543FC"/>
    <w:rsid w:val="1B9273FE"/>
    <w:rsid w:val="1CD27870"/>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161632"/>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8F40E77"/>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28103D"/>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0F406C3"/>
    <w:rsid w:val="311B06F3"/>
    <w:rsid w:val="31480833"/>
    <w:rsid w:val="317909ED"/>
    <w:rsid w:val="31D10739"/>
    <w:rsid w:val="31E5110E"/>
    <w:rsid w:val="31FA476A"/>
    <w:rsid w:val="32101599"/>
    <w:rsid w:val="3240775C"/>
    <w:rsid w:val="327259BC"/>
    <w:rsid w:val="32827D75"/>
    <w:rsid w:val="32844BDB"/>
    <w:rsid w:val="32C510AF"/>
    <w:rsid w:val="32D103B5"/>
    <w:rsid w:val="32D911D9"/>
    <w:rsid w:val="33207934"/>
    <w:rsid w:val="3328400E"/>
    <w:rsid w:val="333C7035"/>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9C7B48"/>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6FC422F"/>
    <w:rsid w:val="474F6361"/>
    <w:rsid w:val="475F022D"/>
    <w:rsid w:val="47704B50"/>
    <w:rsid w:val="485F6737"/>
    <w:rsid w:val="48967C7F"/>
    <w:rsid w:val="48A27B87"/>
    <w:rsid w:val="48BC3499"/>
    <w:rsid w:val="49016FE3"/>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0D5BB2"/>
    <w:rsid w:val="4D106251"/>
    <w:rsid w:val="4D1D271C"/>
    <w:rsid w:val="4D3073ED"/>
    <w:rsid w:val="4D6766D4"/>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8E54F06"/>
    <w:rsid w:val="59154BEF"/>
    <w:rsid w:val="591D1B7F"/>
    <w:rsid w:val="592C090B"/>
    <w:rsid w:val="594B1686"/>
    <w:rsid w:val="59B57AB7"/>
    <w:rsid w:val="59D318A6"/>
    <w:rsid w:val="5A113609"/>
    <w:rsid w:val="5A124512"/>
    <w:rsid w:val="5A3D61AC"/>
    <w:rsid w:val="5AA84B18"/>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5F862E34"/>
    <w:rsid w:val="6025390F"/>
    <w:rsid w:val="602A730A"/>
    <w:rsid w:val="604A0FC0"/>
    <w:rsid w:val="605F3B00"/>
    <w:rsid w:val="6062071A"/>
    <w:rsid w:val="609E54CA"/>
    <w:rsid w:val="60B60A66"/>
    <w:rsid w:val="60FF065F"/>
    <w:rsid w:val="614348BF"/>
    <w:rsid w:val="61E909C7"/>
    <w:rsid w:val="621E68C3"/>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D6557E"/>
    <w:rsid w:val="66F978FF"/>
    <w:rsid w:val="67005A4F"/>
    <w:rsid w:val="67010C05"/>
    <w:rsid w:val="674F1B70"/>
    <w:rsid w:val="67607CDE"/>
    <w:rsid w:val="67795450"/>
    <w:rsid w:val="67987117"/>
    <w:rsid w:val="67C33BC0"/>
    <w:rsid w:val="67FA392E"/>
    <w:rsid w:val="68060525"/>
    <w:rsid w:val="6874548F"/>
    <w:rsid w:val="687F5F93"/>
    <w:rsid w:val="68B95597"/>
    <w:rsid w:val="68C305E8"/>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8048CB"/>
    <w:rsid w:val="6BAA7419"/>
    <w:rsid w:val="6BE248E5"/>
    <w:rsid w:val="6C021003"/>
    <w:rsid w:val="6C1F1BB5"/>
    <w:rsid w:val="6C540873"/>
    <w:rsid w:val="6C6F1216"/>
    <w:rsid w:val="6C9A56E0"/>
    <w:rsid w:val="6CA82785"/>
    <w:rsid w:val="6CB20E55"/>
    <w:rsid w:val="6CE85848"/>
    <w:rsid w:val="6D15191A"/>
    <w:rsid w:val="6D330FAC"/>
    <w:rsid w:val="6D3A6CB4"/>
    <w:rsid w:val="6D6B4986"/>
    <w:rsid w:val="6DB8292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253EFA"/>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5E20C0"/>
    <w:rsid w:val="758A0127"/>
    <w:rsid w:val="75B275F6"/>
    <w:rsid w:val="761422CC"/>
    <w:rsid w:val="76224CCF"/>
    <w:rsid w:val="762F6E99"/>
    <w:rsid w:val="76530DD9"/>
    <w:rsid w:val="770B16B4"/>
    <w:rsid w:val="770E4B54"/>
    <w:rsid w:val="772E7150"/>
    <w:rsid w:val="77A15B74"/>
    <w:rsid w:val="77A86F03"/>
    <w:rsid w:val="77F0668A"/>
    <w:rsid w:val="785045C8"/>
    <w:rsid w:val="78667797"/>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9B1873"/>
    <w:rsid w:val="7BAC2D3A"/>
    <w:rsid w:val="7BC71BE8"/>
    <w:rsid w:val="7BCE7F00"/>
    <w:rsid w:val="7BEE3352"/>
    <w:rsid w:val="7C0E12FE"/>
    <w:rsid w:val="7C213CD7"/>
    <w:rsid w:val="7C2F624D"/>
    <w:rsid w:val="7C346DC2"/>
    <w:rsid w:val="7C6A15B3"/>
    <w:rsid w:val="7CFA01CB"/>
    <w:rsid w:val="7D2E5D91"/>
    <w:rsid w:val="7DA43CC8"/>
    <w:rsid w:val="7DA55C93"/>
    <w:rsid w:val="7DB01177"/>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d7402f55-9f96-419f-9ef0-0897d14bb6b6</errorID>
      <errorWord>培养</errorWord>
      <group>L1_Grammar</group>
      <groupName>语法问题</groupName>
      <ability>L2_Grammar</ability>
      <abilityName>语法错误</abilityName>
      <candidateList>
        <item>提升</item>
      </candidateList>
      <explain>“培养～水平”搭配不当，建议修改为“提升～水平”。</explain>
      <paraID>1CDE2F4B</paraID>
      <start>18</start>
      <end>20</end>
      <status>modified</status>
      <modifiedWord>提升</modifiedWord>
      <trackRevisions>false</trackRevisions>
    </reviewItem>
    <reviewItem>
      <errorID>dec84175-e40d-4739-a562-aa24676c3c21</errorID>
      <errorWord>,</errorWord>
      <group>L1_Format</group>
      <groupName>格式问题</groupName>
      <ability>L2_HalfPunc</ability>
      <abilityName>全半角检查</abilityName>
      <candidateList>
        <item>，</item>
      </candidateList>
      <explain>文本全半角错误。</explain>
      <paraID>13AC0233</paraID>
      <start>20</start>
      <end>21</end>
      <status>modified</status>
      <modifiedWord>，</modifiedWord>
      <trackRevisions>false</trackRevisions>
    </reviewItem>
    <reviewItem>
      <errorID>a0e77690-9901-4f86-a570-02b937932279</errorID>
      <errorWord>,</errorWord>
      <group>L1_Format</group>
      <groupName>格式问题</groupName>
      <ability>L2_HalfPunc</ability>
      <abilityName>全半角检查</abilityName>
      <candidateList>
        <item>，</item>
      </candidateList>
      <explain>文本全半角错误。</explain>
      <paraID>5AF7CDBE</paraID>
      <start>16</start>
      <end>17</end>
      <status>modified</status>
      <modifiedWord>，</modifiedWord>
      <trackRevisions>false</trackRevisions>
    </reviewItem>
    <reviewItem>
      <errorID>a89f9cac-8961-40b9-a155-3cdeee341a25</errorID>
      <errorWord>,</errorWord>
      <group>L1_Format</group>
      <groupName>格式问题</groupName>
      <ability>L2_HalfPunc</ability>
      <abilityName>全半角检查</abilityName>
      <candidateList>
        <item>，</item>
      </candidateList>
      <explain>文本全半角错误。</explain>
      <paraID>5AF7CDBE</paraID>
      <start>28</start>
      <end>29</end>
      <status>modified</status>
      <modifiedWord>，</modifiedWord>
      <trackRevisions>false</trackRevisions>
    </reviewItem>
    <reviewItem>
      <errorID>50f757b2-bff1-42a7-98f7-49625b2547e3</errorID>
      <errorWord>,</errorWord>
      <group>L1_Format</group>
      <groupName>格式问题</groupName>
      <ability>L2_HalfPunc</ability>
      <abilityName>全半角检查</abilityName>
      <candidateList>
        <item>，</item>
      </candidateList>
      <explain>文本全半角错误。</explain>
      <paraID>5AF7CDBE</paraID>
      <start>45</start>
      <end>46</end>
      <status>modified</status>
      <modifiedWord>，</modifiedWord>
      <trackRevisions>false</trackRevisions>
    </reviewItem>
    <reviewItem>
      <errorID>e5cdb35b-a028-4248-9603-db6276b0ca2d</errorID>
      <errorWord>,</errorWord>
      <group>L1_Format</group>
      <groupName>格式问题</groupName>
      <ability>L2_HalfPunc</ability>
      <abilityName>全半角检查</abilityName>
      <candidateList>
        <item>，</item>
      </candidateList>
      <explain>文本全半角错误。</explain>
      <paraID>5AF7CDBE</paraID>
      <start>58</start>
      <end>59</end>
      <status>modified</status>
      <modifiedWord>，</modifiedWord>
      <trackRevisions>false</trackRevisions>
    </reviewItem>
    <reviewItem>
      <errorID>6e064d11-5cbe-488d-b1b1-e4ea2e4b99d7</errorID>
      <errorWord>,</errorWord>
      <group>L1_Format</group>
      <groupName>格式问题</groupName>
      <ability>L2_HalfPunc</ability>
      <abilityName>全半角检查</abilityName>
      <candidateList>
        <item>，</item>
      </candidateList>
      <explain>文本全半角错误。</explain>
      <paraID>5AF7CDBE</paraID>
      <start>78</start>
      <end>79</end>
      <status>modified</status>
      <modifiedWord>，</modifiedWord>
      <trackRevisions>false</trackRevisions>
    </reviewItem>
    <reviewItem>
      <errorID>1ae0cc4b-c3da-4b78-9337-073edcb0910d</errorID>
      <errorWord>,</errorWord>
      <group>L1_Format</group>
      <groupName>格式问题</groupName>
      <ability>L2_HalfPunc</ability>
      <abilityName>全半角检查</abilityName>
      <candidateList>
        <item>，</item>
      </candidateList>
      <explain>文本全半角错误。</explain>
      <paraID>5AF7CDBE</paraID>
      <start>99</start>
      <end>100</end>
      <status>modified</status>
      <modifiedWord>，</modifiedWord>
      <trackRevisions>false</trackRevisions>
    </reviewItem>
    <reviewItem>
      <errorID>a0aec99d-958a-4a45-85cd-18301dbab41f</errorID>
      <errorWord>,</errorWord>
      <group>L1_Format</group>
      <groupName>格式问题</groupName>
      <ability>L2_HalfPunc</ability>
      <abilityName>全半角检查</abilityName>
      <candidateList>
        <item>，</item>
      </candidateList>
      <explain>文本全半角错误。</explain>
      <paraID>5AF7CDBE</paraID>
      <start>118</start>
      <end>119</end>
      <status>modified</status>
      <modifiedWord>，</modifiedWord>
      <trackRevisions>false</trackRevisions>
    </reviewItem>
    <reviewItem>
      <errorID>a54ba38b-4710-46e2-9a42-f193987bc6f8</errorID>
      <errorWord>,</errorWord>
      <group>L1_Format</group>
      <groupName>格式问题</groupName>
      <ability>L2_HalfPunc</ability>
      <abilityName>全半角检查</abilityName>
      <candidateList>
        <item>，</item>
      </candidateList>
      <explain>文本全半角错误。</explain>
      <paraID>244DF3F1</paraID>
      <start>16</start>
      <end>17</end>
      <status>modified</status>
      <modifiedWord>，</modifiedWord>
      <trackRevisions>false</trackRevisions>
    </reviewItem>
    <reviewItem>
      <errorID>6c73a245-93bb-4e5a-b04b-1e04c65dc300</errorID>
      <errorWord>:</errorWord>
      <group>L1_Format</group>
      <groupName>格式问题</groupName>
      <ability>L2_HalfPunc</ability>
      <abilityName>全半角检查</abilityName>
      <candidateList>
        <item>：</item>
      </candidateList>
      <explain>文本全半角错误。</explain>
      <paraID>2586E20F</paraID>
      <start>4</start>
      <end>5</end>
      <status>modified</status>
      <modifiedWord>：</modifiedWord>
      <trackRevisions>false</trackRevisions>
    </reviewItem>
    <reviewItem>
      <errorID>b2e0f30d-100e-41ca-b586-091fb6c6fb32</errorID>
      <errorWord>(</errorWord>
      <group>L1_Format</group>
      <groupName>格式问题</groupName>
      <ability>L2_HalfPunc</ability>
      <abilityName>全半角检查</abilityName>
      <candidateList>
        <item>（</item>
      </candidateList>
      <explain>文本全半角错误。</explain>
      <paraID>77623695</paraID>
      <start>2</start>
      <end>3</end>
      <status>modified</status>
      <modifiedWord>（</modifiedWord>
      <trackRevisions>false</trackRevisions>
    </reviewItem>
    <reviewItem>
      <errorID>4692c282-7171-4c8f-b878-4d339003f166</errorID>
      <errorWord>)</errorWord>
      <group>L1_Format</group>
      <groupName>格式问题</groupName>
      <ability>L2_HalfPunc</ability>
      <abilityName>全半角检查</abilityName>
      <candidateList>
        <item>）</item>
      </candidateList>
      <explain>文本全半角错误。</explain>
      <paraID>77623695</paraID>
      <start>8</start>
      <end>9</end>
      <status>modified</status>
      <modifiedWord>）</modifiedWord>
      <trackRevisions>false</trackRevisions>
    </reviewItem>
    <reviewItem>
      <errorID>289a07e0-ce2a-4c44-9a9e-b2744b422917</errorID>
      <errorWord>:</errorWord>
      <group>L1_Format</group>
      <groupName>格式问题</groupName>
      <ability>L2_HalfPunc</ability>
      <abilityName>全半角检查</abilityName>
      <candidateList>
        <item>：</item>
      </candidateList>
      <explain>文本全半角错误。</explain>
      <paraID>7833D69F</paraID>
      <start>4</start>
      <end>5</end>
      <status>modified</status>
      <modifiedWord>：</modifiedWord>
      <trackRevisions>false</trackRevisions>
    </reviewItem>
    <reviewItem>
      <errorID>684d1dca-3294-4b74-93ab-9bb9d034be74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2B74B9E4</paraID>
      <start>0</start>
      <end>10</end>
      <status>modified</status>
      <modifiedWord>一般公共预算财政拨款</modifiedWord>
      <trackRevisions>false</trackRevisions>
    </reviewItem>
    <reviewItem>
      <errorID>d13d1d1f-886d-4b3c-a64b-15a5ee3bfc96</errorID>
      <errorWord>*</errorWord>
      <group>L1_Punc</group>
      <groupName>标点问题</groupName>
      <ability>L2_Punc</ability>
      <abilityName>标点符号检查</abilityName>
      <candidateList/>
      <explain/>
      <paraID>16B2CAE6</paraID>
      <start>0</start>
      <end>1</end>
      <status>unmodified</status>
      <modifiedWord/>
      <trackRevisions>false</trackRevisions>
    </reviewItem>
    <reviewItem>
      <errorID>813d9ee2-849f-4d98-ab2d-6f58b40a68e6</errorID>
      <errorWord>:</errorWord>
      <group>L1_Format</group>
      <groupName>格式问题</groupName>
      <ability>L2_HalfPunc</ability>
      <abilityName>全半角检查</abilityName>
      <candidateList>
        <item>：</item>
      </candidateList>
      <explain>文本全半角错误。</explain>
      <paraID>295A8868</paraID>
      <start>4</start>
      <end>5</end>
      <status>modified</status>
      <modifiedWord>：</modifiedWord>
      <trackRevisions>false</trackRevisions>
    </reviewItem>
    <reviewItem>
      <errorID>ee7d1e28-1950-4cee-b8e1-5c418f7a7895</errorID>
      <errorWord>*</errorWord>
      <group>L1_Punc</group>
      <groupName>标点问题</groupName>
      <ability>L2_Punc</ability>
      <abilityName>标点符号检查</abilityName>
      <candidateList/>
      <explain/>
      <paraID>128ED368</paraID>
      <start>0</start>
      <end>1</end>
      <status>unmodified</status>
      <modifiedWord/>
      <trackRevisions>false</trackRevisions>
    </reviewItem>
    <reviewItem>
      <errorID>89ba7768-7835-4013-b2cb-0ae3d5a1a84e</errorID>
      <errorWord>*</errorWord>
      <group>L1_Punc</group>
      <groupName>标点问题</groupName>
      <ability>L2_Punc</ability>
      <abilityName>标点符号检查</abilityName>
      <candidateList/>
      <explain/>
      <paraID>43FDBCF3</paraID>
      <start>0</start>
      <end>1</end>
      <status>unmodified</status>
      <modifiedWord/>
      <trackRevisions>false</trackRevisions>
    </reviewItem>
    <reviewItem>
      <errorID>a794fc33-e6f1-4583-a695-68a60b0e16b9</errorID>
      <errorWord>:</errorWord>
      <group>L1_Format</group>
      <groupName>格式问题</groupName>
      <ability>L2_HalfPunc</ability>
      <abilityName>全半角检查</abilityName>
      <candidateList>
        <item>：</item>
      </candidateList>
      <explain>文本全半角错误。</explain>
      <paraID>5138A303</paraID>
      <start>4</start>
      <end>5</end>
      <status>modified</status>
      <modifiedWord>：</modifiedWord>
      <trackRevisions>false</trackRevisions>
    </reviewItem>
    <reviewItem>
      <errorID>e29437dc-7082-4b94-8a99-1908fe2e9567</errorID>
      <errorWord>(</errorWord>
      <group>L1_Format</group>
      <groupName>格式问题</groupName>
      <ability>L2_HalfPunc</ability>
      <abilityName>全半角检查</abilityName>
      <candidateList>
        <item>（</item>
      </candidateList>
      <explain>文本全半角错误。</explain>
      <paraID>4BC50B5C</paraID>
      <start>2</start>
      <end>3</end>
      <status>modified</status>
      <modifiedWord>（</modifiedWord>
      <trackRevisions>false</trackRevisions>
    </reviewItem>
    <reviewItem>
      <errorID>34fdfdb8-288e-455f-bb69-84ad33895453</errorID>
      <errorWord>)</errorWord>
      <group>L1_Format</group>
      <groupName>格式问题</groupName>
      <ability>L2_HalfPunc</ability>
      <abilityName>全半角检查</abilityName>
      <candidateList>
        <item>）</item>
      </candidateList>
      <explain>文本全半角错误。</explain>
      <paraID>4BC50B5C</paraID>
      <start>8</start>
      <end>9</end>
      <status>modified</status>
      <modifiedWord>）</modifiedWord>
      <trackRevisions>false</trackRevisions>
    </reviewItem>
    <reviewItem>
      <errorID>c5572cdd-2db3-43f9-94c9-69d755ba9573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1FE0980D</paraID>
      <start>2</start>
      <end>12</end>
      <status>modified</status>
      <modifiedWord>一般公共预算财政拨款</modifiedWord>
      <trackRevisions>false</trackRevisions>
    </reviewItem>
    <reviewItem>
      <errorID>e2e55491-fce9-4654-bde8-0ce6d1fc53a6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64933917</paraID>
      <start>0</start>
      <end>10</end>
      <status>modified</status>
      <modifiedWord>一般公共预算财政拨款</modifiedWord>
      <trackRevisions>false</trackRevisions>
    </reviewItem>
    <reviewItem>
      <errorID>d7a32479-91fd-4f06-b26d-a2692f127773</errorID>
      <errorWord>:</errorWord>
      <group>L1_Format</group>
      <groupName>格式问题</groupName>
      <ability>L2_HalfPunc</ability>
      <abilityName>全半角检查</abilityName>
      <candidateList>
        <item>：</item>
      </candidateList>
      <explain>文本全半角错误。</explain>
      <paraID>61EF3D47</paraID>
      <start>4</start>
      <end>5</end>
      <status>modified</status>
      <modifiedWord>：</modifiedWord>
      <trackRevisions>false</trackRevisions>
    </reviewItem>
    <reviewItem>
      <errorID>74b2c407-d5c6-4cc1-b434-e70fafb9a151</errorID>
      <errorWord>*</errorWord>
      <group>L1_Punc</group>
      <groupName>标点问题</groupName>
      <ability>L2_Punc</ability>
      <abilityName>标点符号检查</abilityName>
      <candidateList/>
      <explain/>
      <paraID>64B35FDF</paraID>
      <start>0</start>
      <end>1</end>
      <status>unmodified</status>
      <modifiedWord/>
      <trackRevisions>false</trackRevisions>
    </reviewItem>
    <reviewItem>
      <errorID>b5e2b430-53c2-4bb4-800c-fc5e1d4d1335</errorID>
      <errorWord>*</errorWord>
      <group>L1_Punc</group>
      <groupName>标点问题</groupName>
      <ability>L2_Punc</ability>
      <abilityName>标点符号检查</abilityName>
      <candidateList/>
      <explain/>
      <paraID>136E03A4</paraID>
      <start>0</start>
      <end>1</end>
      <status>unmodified</status>
      <modifiedWord/>
      <trackRevisions>false</trackRevisions>
    </reviewItem>
    <reviewItem>
      <errorID>45d7b931-de1e-4852-b51a-0ad315299db5</errorID>
      <errorWord>:</errorWord>
      <group>L1_Format</group>
      <groupName>格式问题</groupName>
      <ability>L2_HalfPunc</ability>
      <abilityName>全半角检查</abilityName>
      <candidateList>
        <item>：</item>
      </candidateList>
      <explain>文本全半角错误。</explain>
      <paraID>17E23548</paraID>
      <start>4</start>
      <end>5</end>
      <status>modified</status>
      <modifiedWord>：</modifiedWord>
      <trackRevisions>false</trackRevisions>
    </reviewItem>
    <reviewItem>
      <errorID>1b3a5014-5d87-42f3-8ae1-08eb1fe1b981</errorID>
      <errorWord>*</errorWord>
      <group>L1_Punc</group>
      <groupName>标点问题</groupName>
      <ability>L2_Punc</ability>
      <abilityName>标点符号检查</abilityName>
      <candidateList/>
      <explain/>
      <paraID> 899FD96</paraID>
      <start>0</start>
      <end>1</end>
      <status>unmodified</status>
      <modifiedWord/>
      <trackRevisions>false</trackRevisions>
    </reviewItem>
    <reviewItem>
      <errorID>cab3b735-13d6-433f-967f-4c7c3df345b3</errorID>
      <errorWord>*</errorWord>
      <group>L1_Punc</group>
      <groupName>标点问题</groupName>
      <ability>L2_Punc</ability>
      <abilityName>标点符号检查</abilityName>
      <candidateList/>
      <explain/>
      <paraID>6B777373</paraID>
      <start>0</start>
      <end>1</end>
      <status>unmodified</status>
      <modifiedWord/>
      <trackRevisions>false</trackRevisions>
    </reviewItem>
    <reviewItem>
      <errorID>1c7761aa-c17b-434e-9083-1da300f310cb</errorID>
      <errorWord>:</errorWord>
      <group>L1_Format</group>
      <groupName>格式问题</groupName>
      <ability>L2_HalfPunc</ability>
      <abilityName>全半角检查</abilityName>
      <candidateList>
        <item>：</item>
      </candidateList>
      <explain>文本全半角错误。</explain>
      <paraID>349C8C00</paraID>
      <start>4</start>
      <end>5</end>
      <status>modified</status>
      <modifiedWord>：</modifiedWord>
      <trackRevisions>false</trackRevisions>
    </reviewItem>
    <reviewItem>
      <errorID>8cde16f5-f25c-45ff-979c-467f11638326</errorID>
      <errorWord>(</errorWord>
      <group>L1_Format</group>
      <groupName>格式问题</groupName>
      <ability>L2_HalfPunc</ability>
      <abilityName>全半角检查</abilityName>
      <candidateList>
        <item>（</item>
      </candidateList>
      <explain>文本全半角错误。</explain>
      <paraID>31F03FBD</paraID>
      <start>4</start>
      <end>5</end>
      <status>modified</status>
      <modifiedWord>（</modifiedWord>
      <trackRevisions>false</trackRevisions>
    </reviewItem>
    <reviewItem>
      <errorID>f6544be7-2074-4f28-b7e0-62f3c13d4fd3</errorID>
      <errorWord>)</errorWord>
      <group>L1_Format</group>
      <groupName>格式问题</groupName>
      <ability>L2_HalfPunc</ability>
      <abilityName>全半角检查</abilityName>
      <candidateList>
        <item>）</item>
      </candidateList>
      <explain>文本全半角错误。</explain>
      <paraID>31F03FBD</paraID>
      <start>6</start>
      <end>7</end>
      <status>modified</status>
      <modifiedWord>）</modifiedWord>
      <trackRevisions>false</trackRevisions>
    </reviewItem>
    <reviewItem>
      <errorID>840a5877-5203-493b-9f06-a9db89743c7a</errorID>
      <errorWord>:</errorWord>
      <group>L1_Format</group>
      <groupName>格式问题</groupName>
      <ability>L2_HalfPunc</ability>
      <abilityName>全半角检查</abilityName>
      <candidateList>
        <item>：</item>
      </candidateList>
      <explain>文本全半角错误。</explain>
      <paraID>74F0469F</paraID>
      <start>4</start>
      <end>5</end>
      <status>modified</status>
      <modifiedWord>：</modifiedWord>
      <trackRevisions>false</trackRevisions>
    </reviewItem>
    <reviewItem>
      <errorID>147621d9-db50-4124-8cb5-ea349b76f602</errorID>
      <errorWord>*</errorWord>
      <group>L1_Punc</group>
      <groupName>标点问题</groupName>
      <ability>L2_Punc</ability>
      <abilityName>标点符号检查</abilityName>
      <candidateList/>
      <explain/>
      <paraID> 5D237D2</paraID>
      <start>0</start>
      <end>1</end>
      <status>unmodified</status>
      <modifiedWord/>
      <trackRevisions>false</trackRevisions>
    </reviewItem>
    <reviewItem>
      <errorID>8502fb0f-de69-45dc-8906-789d7e2b2c2f</errorID>
      <errorWord>*</errorWord>
      <group>L1_Punc</group>
      <groupName>标点问题</groupName>
      <ability>L2_Punc</ability>
      <abilityName>标点符号检查</abilityName>
      <candidateList/>
      <explain/>
      <paraID>2D6D668B</paraID>
      <start>0</start>
      <end>1</end>
      <status>unmodified</status>
      <modifiedWord/>
      <trackRevisions>false</trackRevisions>
    </reviewItem>
    <reviewItem>
      <errorID>8b3bf222-fd52-4294-8748-50682ceba392</errorID>
      <errorWord>:</errorWord>
      <group>L1_Format</group>
      <groupName>格式问题</groupName>
      <ability>L2_HalfPunc</ability>
      <abilityName>全半角检查</abilityName>
      <candidateList>
        <item>：</item>
      </candidateList>
      <explain>文本全半角错误。</explain>
      <paraID>6A92C760</paraID>
      <start>4</start>
      <end>5</end>
      <status>modified</status>
      <modifiedWord>：</modifiedWord>
      <trackRevisions>false</trackRevisions>
    </reviewItem>
    <reviewItem>
      <errorID>d02916dc-0286-4633-93b4-e249a7bc6868</errorID>
      <errorWord>*</errorWord>
      <group>L1_Punc</group>
      <groupName>标点问题</groupName>
      <ability>L2_Punc</ability>
      <abilityName>标点符号检查</abilityName>
      <candidateList/>
      <explain/>
      <paraID>458A5E03</paraID>
      <start>0</start>
      <end>1</end>
      <status>unmodified</status>
      <modifiedWord/>
      <trackRevisions>false</trackRevisions>
    </reviewItem>
    <reviewItem>
      <errorID>4b08eaa8-df45-4e76-b265-e737adf703e1</errorID>
      <errorWord>*</errorWord>
      <group>L1_Punc</group>
      <groupName>标点问题</groupName>
      <ability>L2_Punc</ability>
      <abilityName>标点符号检查</abilityName>
      <candidateList/>
      <explain/>
      <paraID>179F7C50</paraID>
      <start>0</start>
      <end>1</end>
      <status>unmodified</status>
      <modifiedWord/>
      <trackRevisions>false</trackRevisions>
    </reviewItem>
    <reviewItem>
      <errorID>0870e081-eb78-4484-a2bc-02e8f417cf13</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4976FB55</paraID>
      <start>1</start>
      <end>4</end>
      <status>modified</status>
      <modifiedWord>（一）</modifiedWord>
      <trackRevisions>false</trackRevisions>
    </reviewItem>
    <reviewItem>
      <errorID>cb531e92-dcde-4d7f-986e-93bff789350d</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595A55C6</paraID>
      <start>1</start>
      <end>4</end>
      <status>modified</status>
      <modifiedWord>（二）</modifiedWord>
      <trackRevisions>false</trackRevisions>
    </reviewItem>
    <reviewItem>
      <errorID>2e9744ca-5a57-4c5c-8f0a-348c932c45a1</errorID>
      <errorWord>教育却</errorWord>
      <group>L1_Word</group>
      <groupName>字词问题</groupName>
      <ability>L2_Typo</ability>
      <abilityName>字词错误</abilityName>
      <candidateList>
        <item>教育</item>
      </candidateList>
      <explain>❶〈名〉按一定要求培养人的工作，主要指学校培养人的工作：初等～｜高等～｜成人～｜～方针。❷〈动〉按一定要求培养：教师的责任是～下一代成为德、智、体全面发展的有用人才。❸〈动〉用道理说服人使照着（规则、指示或要求等）做：说服～｜～干部要清正廉洁。</explain>
      <paraID>36F2366E</paraID>
      <start>59</start>
      <end>61</end>
      <status>modified</status>
      <modifiedWord>教育</modifiedWord>
      <trackRevisions>false</trackRevisions>
    </reviewItem>
    <reviewItem>
      <errorID>97786023-b4de-46b6-b1e8-5b6d0f60a8f1</errorID>
      <errorWord>其它支出</errorWord>
      <group>L1_Word</group>
      <groupName>字词问题</groupName>
      <ability>L2_Alias</ability>
      <abilityName>也作/曾用词</abilityName>
      <candidateList>
        <item>其他支出</item>
      </candidateList>
      <explain>词汇[其它支出]为不规范表述或旧称，其规范书面表述为[其他支出]。</explain>
      <paraID>36F2366E</paraID>
      <start>62</start>
      <end>66</end>
      <status>modified</status>
      <modifiedWord>其他支出</modifiedWord>
      <trackRevisions>false</trackRevisions>
    </reviewItem>
    <reviewItem>
      <errorID>1fdf9ffb-56e8-4de1-99ef-6ffbb00868f2</errorID>
      <errorWord>,</errorWord>
      <group>L1_Format</group>
      <groupName>格式问题</groupName>
      <ability>L2_HalfPunc</ability>
      <abilityName>全半角检查</abilityName>
      <candidateList>
        <item>，</item>
      </candidateList>
      <explain>文本全半角错误。</explain>
      <paraID> 2DD64AE</paraID>
      <start>85</start>
      <end>86</end>
      <status>modified</status>
      <modifiedWord>，</modifiedWord>
      <trackRevisions>false</trackRevisions>
    </reviewItem>
    <reviewItem>
      <errorID>f5ac4907-e2af-4371-b48d-96ab07e1e996</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5CF84115</paraID>
      <start>1</start>
      <end>4</end>
      <status>modified</status>
      <modifiedWord>（三）</modifiedWord>
      <trackRevisions>false</trackRevisions>
    </reviewItem>
    <reviewItem>
      <errorID>1164e989-7216-4ebc-a486-748915eb7230</errorID>
      <errorWord>,</errorWord>
      <group>L1_Format</group>
      <groupName>格式问题</groupName>
      <ability>L2_HalfPunc</ability>
      <abilityName>全半角检查</abilityName>
      <candidateList>
        <item>，</item>
      </candidateList>
      <explain>文本全半角错误。</explain>
      <paraID>2953847E</paraID>
      <start>32</start>
      <end>33</end>
      <status>modified</status>
      <modifiedWord>，</modifiedWord>
      <trackRevisions>false</trackRevisions>
    </reviewItem>
    <reviewItem>
      <errorID>4d813a9b-cc0b-45f1-bf5d-d9a16a2d5117</errorID>
      <errorWord>,</errorWord>
      <group>L1_Format</group>
      <groupName>格式问题</groupName>
      <ability>L2_HalfPunc</ability>
      <abilityName>全半角检查</abilityName>
      <candidateList>
        <item>，</item>
      </candidateList>
      <explain>文本全半角错误。</explain>
      <paraID>55B6D57A</paraID>
      <start>22</start>
      <end>23</end>
      <status>modified</status>
      <modifiedWord>，</modifiedWord>
      <trackRevisions>false</trackRevisions>
    </reviewItem>
    <reviewItem>
      <errorID>8fe8a07e-db79-4319-9f00-fb0b91f9548a</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3694A050</paraID>
      <start>0</start>
      <end>3</end>
      <status>modified</status>
      <modifiedWord>（四）</modifiedWord>
      <trackRevisions>false</trackRevisions>
    </reviewItem>
    <reviewItem>
      <errorID>ce24563f-e22d-4baa-857e-aa524fe8f0f4</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744D19B6</paraID>
      <start>0</start>
      <end>3</end>
      <status>modified</status>
      <modifiedWord>（五）</modifiedWord>
      <trackRevisions>false</trackRevisions>
    </reviewItem>
    <reviewItem>
      <errorID>97dc0f8d-a64a-4438-a6b3-2217bf94f4dd</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71455256</paraID>
      <start>0</start>
      <end>3</end>
      <status>modified</status>
      <modifiedWord>（六）</modifiedWord>
      <trackRevisions>false</trackRevisions>
    </reviewItem>
    <reviewItem>
      <errorID>13b3895d-82f2-4154-9e9f-a562d242f2fe</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34A6BAF5</paraID>
      <start>0</start>
      <end>3</end>
      <status>modified</status>
      <modifiedWord>（七）</modifiedWord>
      <trackRevisions>false</trackRevisions>
    </reviewItem>
    <reviewItem>
      <errorID>f0aaadda-4c2f-4a89-a6c4-5bfd167efdf6</errorID>
      <errorWord>,</errorWord>
      <group>L1_Format</group>
      <groupName>格式问题</groupName>
      <ability>L2_HalfPunc</ability>
      <abilityName>全半角检查</abilityName>
      <candidateList>
        <item>，</item>
      </candidateList>
      <explain>文本全半角错误。</explain>
      <paraID> CC87A3F</paraID>
      <start>17</start>
      <end>18</end>
      <status>modified</status>
      <modifiedWord>，</modifiedWord>
      <trackRevisions>false</trackRevisions>
    </reviewItem>
    <reviewItem>
      <errorID>94fe692f-3376-42b6-bab1-9451e38ecbe0</errorID>
      <errorWord>:</errorWord>
      <group>L1_Format</group>
      <groupName>格式问题</groupName>
      <ability>L2_HalfPunc</ability>
      <abilityName>全半角检查</abilityName>
      <candidateList>
        <item>：</item>
      </candidateList>
      <explain>文本全半角错误。</explain>
      <paraID> CC87A3F</paraID>
      <start>20</start>
      <end>21</end>
      <status>modified</status>
      <modifiedWord>：</modifiedWord>
      <trackRevisions>false</trackRevisions>
    </reviewItem>
    <reviewItem>
      <errorID>5d610905-ed10-4a4e-9ddb-180c530a2ab6</errorID>
      <errorWord>,</errorWord>
      <group>L1_Format</group>
      <groupName>格式问题</groupName>
      <ability>L2_HalfPunc</ability>
      <abilityName>全半角检查</abilityName>
      <candidateList>
        <item>，</item>
      </candidateList>
      <explain>文本全半角错误。</explain>
      <paraID> CC87A3F</paraID>
      <start>37</start>
      <end>38</end>
      <status>modified</status>
      <modifiedWord>，</modifiedWord>
      <trackRevisions>false</trackRevisions>
    </reviewItem>
    <reviewItem>
      <errorID>14928d0f-fd6e-4e61-aa0d-e7eac7472b0b</errorID>
      <errorWord>,</errorWord>
      <group>L1_Format</group>
      <groupName>格式问题</groupName>
      <ability>L2_HalfPunc</ability>
      <abilityName>全半角检查</abilityName>
      <candidateList>
        <item>，</item>
      </candidateList>
      <explain>文本全半角错误。</explain>
      <paraID> CC87A3F</paraID>
      <start>52</start>
      <end>53</end>
      <status>modified</status>
      <modifiedWord>，</modifiedWord>
      <trackRevisions>false</trackRevisions>
    </reviewItem>
    <reviewItem>
      <errorID>b2d2c839-4925-4351-a964-bc14fc182a0f</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1747D7C</paraID>
      <start>0</start>
      <end>3</end>
      <status>modified</status>
      <modifiedWord>（八）</modifiedWord>
      <trackRevisions>false</trackRevisions>
    </reviewItem>
    <reviewItem>
      <errorID>a9faac48-3254-44f4-b2bc-c037f99f1672</errorID>
      <errorWord>,</errorWord>
      <group>L1_Format</group>
      <groupName>格式问题</groupName>
      <ability>L2_HalfPunc</ability>
      <abilityName>全半角检查</abilityName>
      <candidateList>
        <item>，</item>
      </candidateList>
      <explain>文本全半角错误。</explain>
      <paraID>4734E4B8</paraID>
      <start>12</start>
      <end>13</end>
      <status>modified</status>
      <modifiedWord>，</modifiedWord>
      <trackRevisions>false</trackRevisions>
    </reviewItem>
    <reviewItem>
      <errorID>a759b18d-be5d-44f5-910c-9db2fa786c20</errorID>
      <errorWord>,</errorWord>
      <group>L1_Format</group>
      <groupName>格式问题</groupName>
      <ability>L2_HalfPunc</ability>
      <abilityName>全半角检查</abilityName>
      <candidateList>
        <item>，</item>
      </candidateList>
      <explain>文本全半角错误。</explain>
      <paraID>4734E4B8</paraID>
      <start>23</start>
      <end>24</end>
      <status>modified</status>
      <modifiedWord>，</modifiedWord>
      <trackRevisions>false</trackRevisions>
    </reviewItem>
    <reviewItem>
      <errorID>2151a8c5-dee8-420b-b220-18981a0ebce7</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37E10917</paraID>
      <start>0</start>
      <end>3</end>
      <status>modified</status>
      <modifiedWord>（九）</modifiedWord>
      <trackRevisions>false</trackRevisions>
    </reviewItem>
    <reviewItem>
      <errorID>cf0406c8-3bd5-4d9d-8285-c2bbc8da7a52</errorID>
      <errorWord>【2018】18号</errorWord>
      <group>L1_Knowledge</group>
      <groupName>知识性问题</groupName>
      <ability>L2_Knowledge</ability>
      <abilityName>其他知识</abilityName>
      <candidateList>
        <item>〔2018〕18号</item>
      </candidateList>
      <explain>发文字号格式错误。</explain>
      <paraID> CB8A41F</paraID>
      <start>44</start>
      <end>53</end>
      <status>modified</status>
      <modifiedWord>〔2018〕18号</modifiedWord>
      <trackRevisions>false</trackRevisions>
    </reviewItem>
    <reviewItem>
      <errorID>6ed48668-0c34-4019-9438-6459e3d0d47a</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39999E73</paraID>
      <start>18</start>
      <end>24</end>
      <status>modified</status>
      <modifiedWord>“三公”经费</modifiedWord>
      <trackRevisions>false</trackRevisions>
    </reviewItem>
    <reviewItem>
      <errorID>7343075e-372d-4eda-96f6-53487ab65129</errorID>
      <errorWord>,</errorWord>
      <group>L1_Format</group>
      <groupName>格式问题</groupName>
      <ability>L2_HalfPunc</ability>
      <abilityName>全半角检查</abilityName>
      <candidateList>
        <item>，</item>
      </candidateList>
      <explain>文本全半角错误。</explain>
      <paraID>16ABB7A8</paraID>
      <start>10</start>
      <end>11</end>
      <status>modified</status>
      <modifiedWord>，</modifiedWord>
      <trackRevisions>false</trackRevisions>
    </reviewItem>
    <reviewItem>
      <errorID>d578779b-0609-4756-9e58-b99925633edd</errorID>
      <errorWord>增</errorWord>
      <group>L1_Word</group>
      <groupName>字词问题</groupName>
      <ability>L2_Typo</ability>
      <abilityName>字词错误</abilityName>
      <candidateList>
        <item>增加</item>
      </candidateList>
      <explain>〈动〉在原有的基础上加多：～品种｜～抵抗力｜在校学生已由八百～到一千。</explain>
      <paraID>16ABB7A8</paraID>
      <start>14</start>
      <end>16</end>
      <status>modified</status>
      <modifiedWord>增加</modifiedWord>
      <trackRevisions>false</trackRevisions>
    </reviewItem>
    <reviewItem>
      <errorID>dd47ad49-6207-4b77-bb6c-4f29d58ff13d</errorID>
      <errorWord>,</errorWord>
      <group>L1_Format</group>
      <groupName>格式问题</groupName>
      <ability>L2_HalfPunc</ability>
      <abilityName>全半角检查</abilityName>
      <candidateList>
        <item>，</item>
      </candidateList>
      <explain>文本全半角错误。</explain>
      <paraID>7C2364B3</paraID>
      <start>10</start>
      <end>11</end>
      <status>modified</status>
      <modifiedWord>，</modifiedWord>
      <trackRevisions>false</trackRevisions>
    </reviewItem>
    <reviewItem>
      <errorID>acc5d0f9-c4ec-4bc6-a702-d6bb598d5763</errorID>
      <errorWord>减</errorWord>
      <group>L1_Word</group>
      <groupName>字词问题</groupName>
      <ability>L2_Typo</ability>
      <abilityName>字词错误</abilityName>
      <candidateList>
        <item>减少</item>
      </candidateList>
      <explain>〈动〉减去一部分：～人员｜～麻烦｜工作中的缺点～了。</explain>
      <paraID>7C2364B3</paraID>
      <start>14</start>
      <end>16</end>
      <status>modified</status>
      <modifiedWord>减少</modifiedWord>
      <trackRevisions>false</trackRevisions>
    </reviewItem>
    <reviewItem>
      <errorID>93197254-de86-4f48-8857-f94fd8859dd2</errorID>
      <errorWord>,</errorWord>
      <group>L1_Format</group>
      <groupName>格式问题</groupName>
      <ability>L2_HalfPunc</ability>
      <abilityName>全半角检查</abilityName>
      <candidateList>
        <item>，</item>
      </candidateList>
      <explain>文本全半角错误。</explain>
      <paraID>3634438F</paraID>
      <start>12</start>
      <end>13</end>
      <status>modified</status>
      <modifiedWord>，</modifiedWord>
      <trackRevisions>false</trackRevisions>
    </reviewItem>
    <reviewItem>
      <errorID>7fc89f55-5931-427b-bb71-434addee68b8</errorID>
      <errorWord>,</errorWord>
      <group>L1_Format</group>
      <groupName>格式问题</groupName>
      <ability>L2_HalfPunc</ability>
      <abilityName>全半角检查</abilityName>
      <candidateList>
        <item>，</item>
      </candidateList>
      <explain>文本全半角错误。</explain>
      <paraID>13BABE59</paraID>
      <start>12</start>
      <end>13</end>
      <status>modified</status>
      <modifiedWord>，</modifiedWord>
      <trackRevisions>false</trackRevisions>
    </reviewItem>
    <reviewItem>
      <errorID>873b4fe7-e671-4c02-abe4-a567d8145d25</errorID>
      <errorWord>增</errorWord>
      <group>L1_Word</group>
      <groupName>字词问题</groupName>
      <ability>L2_Typo</ability>
      <abilityName>字词错误</abilityName>
      <candidateList>
        <item>增加</item>
      </candidateList>
      <explain>〈动〉在原有的基础上加多：～品种｜～抵抗力｜在校学生已由八百～到一千。</explain>
      <paraID>13BABE59</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2701d0c7-0639-45c0-8ce9-0fa5309c644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4860</Words>
  <Characters>6118</Characters>
  <Lines>47</Lines>
  <Paragraphs>13</Paragraphs>
  <TotalTime>5</TotalTime>
  <ScaleCrop>false</ScaleCrop>
  <LinksUpToDate>false</LinksUpToDate>
  <CharactersWithSpaces>6215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2026-03-13T09:10:07Z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423C67BBBC1149789AC3B7973C7E3D97_13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