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DAE3D8">
      <w:pPr>
        <w:pStyle w:val="16"/>
        <w:bidi w:val="0"/>
        <w:rPr>
          <w:rFonts w:hint="eastAsia"/>
        </w:rPr>
      </w:pPr>
      <w:r>
        <w:rPr>
          <w:rFonts w:hint="eastAsia"/>
          <w:lang w:eastAsia="zh-CN"/>
        </w:rPr>
        <w:t>兴国县第十四幼儿园2026</w:t>
      </w:r>
      <w:r>
        <w:rPr>
          <w:rFonts w:hint="eastAsia"/>
        </w:rPr>
        <w:t>年</w:t>
      </w:r>
      <w:r>
        <w:rPr>
          <w:rFonts w:hint="eastAsia"/>
          <w:lang w:val="en-US" w:eastAsia="zh-CN"/>
        </w:rPr>
        <w:t>单位</w:t>
      </w:r>
      <w:r>
        <w:rPr>
          <w:rFonts w:hint="eastAsia"/>
        </w:rPr>
        <w:t>预算</w:t>
      </w:r>
    </w:p>
    <w:p w14:paraId="327B025A">
      <w:pPr>
        <w:pStyle w:val="13"/>
        <w:spacing w:line="600" w:lineRule="atLeast"/>
        <w:jc w:val="center"/>
        <w:rPr>
          <w:rFonts w:ascii="黑体" w:hAnsi="黑体" w:eastAsia="黑体"/>
          <w:color w:val="000000"/>
          <w:sz w:val="32"/>
          <w:szCs w:val="32"/>
        </w:rPr>
      </w:pPr>
    </w:p>
    <w:p w14:paraId="7D8D544B">
      <w:pPr>
        <w:pStyle w:val="13"/>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4B7A6F39">
      <w:pPr>
        <w:pStyle w:val="13"/>
        <w:rPr>
          <w:rFonts w:ascii="宋体" w:hAnsi="宋体"/>
          <w:color w:val="000000"/>
        </w:rPr>
      </w:pPr>
    </w:p>
    <w:p w14:paraId="52082E01">
      <w:pPr>
        <w:pStyle w:val="17"/>
        <w:numPr>
          <w:ilvl w:val="0"/>
          <w:numId w:val="0"/>
        </w:numPr>
        <w:bidi w:val="0"/>
        <w:ind w:left="420" w:leftChars="200"/>
        <w:jc w:val="left"/>
        <w:rPr>
          <w:rFonts w:hint="eastAsia"/>
          <w:lang w:eastAsia="zh-CN"/>
        </w:rPr>
      </w:pPr>
      <w:r>
        <w:rPr>
          <w:rFonts w:hint="eastAsia"/>
          <w:lang w:val="en-US" w:eastAsia="zh-CN"/>
        </w:rPr>
        <w:t>第一部分  兴国县第十四幼儿园概况</w:t>
      </w:r>
    </w:p>
    <w:p w14:paraId="5DB78FE8">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7D7CF0EB">
      <w:pPr>
        <w:pStyle w:val="18"/>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56D804E9">
      <w:pPr>
        <w:pStyle w:val="18"/>
        <w:bidi w:val="0"/>
        <w:rPr>
          <w:rFonts w:hint="eastAsia" w:ascii="仿宋_GB2312" w:hAnsi="仿宋_GB2312" w:eastAsia="仿宋_GB2312" w:cs="仿宋_GB2312"/>
        </w:rPr>
      </w:pPr>
    </w:p>
    <w:p w14:paraId="1BE8E2EE">
      <w:pPr>
        <w:pStyle w:val="17"/>
        <w:numPr>
          <w:ilvl w:val="0"/>
          <w:numId w:val="0"/>
        </w:numPr>
        <w:bidi w:val="0"/>
        <w:ind w:left="420" w:leftChars="200"/>
        <w:jc w:val="left"/>
        <w:rPr>
          <w:rFonts w:hint="eastAsia"/>
        </w:rPr>
      </w:pPr>
      <w:r>
        <w:rPr>
          <w:rFonts w:hint="eastAsia"/>
        </w:rPr>
        <w:t xml:space="preserve">第二部分  </w:t>
      </w:r>
      <w:r>
        <w:rPr>
          <w:rFonts w:hint="eastAsia"/>
          <w:lang w:eastAsia="zh-CN"/>
        </w:rPr>
        <w:t>兴国县第十四幼儿园2026</w:t>
      </w:r>
      <w:r>
        <w:rPr>
          <w:rFonts w:hint="eastAsia"/>
        </w:rPr>
        <w:t>年</w:t>
      </w:r>
      <w:r>
        <w:rPr>
          <w:rFonts w:hint="eastAsia"/>
          <w:lang w:val="en-US" w:eastAsia="zh-CN"/>
        </w:rPr>
        <w:t>单位</w:t>
      </w:r>
      <w:r>
        <w:rPr>
          <w:rFonts w:hint="eastAsia"/>
        </w:rPr>
        <w:t>预算表</w:t>
      </w:r>
    </w:p>
    <w:p w14:paraId="6BB6FA92">
      <w:pPr>
        <w:pStyle w:val="18"/>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765E173C">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49ED3995">
      <w:pPr>
        <w:pStyle w:val="18"/>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2CAD2296">
      <w:pPr>
        <w:pStyle w:val="18"/>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7A8A914D">
      <w:pPr>
        <w:pStyle w:val="18"/>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0AC0B6E1">
      <w:pPr>
        <w:pStyle w:val="18"/>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115DAA4C">
      <w:pPr>
        <w:pStyle w:val="18"/>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413F294C">
      <w:pPr>
        <w:pStyle w:val="18"/>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2BC5B278">
      <w:pPr>
        <w:pStyle w:val="18"/>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76E1B871">
      <w:pPr>
        <w:pStyle w:val="18"/>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54C81AF4">
      <w:pPr>
        <w:pStyle w:val="18"/>
        <w:bidi w:val="0"/>
        <w:ind w:left="0" w:leftChars="0" w:firstLine="0" w:firstLineChars="0"/>
        <w:rPr>
          <w:rFonts w:hint="eastAsia" w:ascii="仿宋_GB2312" w:hAnsi="仿宋_GB2312" w:eastAsia="仿宋_GB2312" w:cs="仿宋_GB2312"/>
        </w:rPr>
      </w:pPr>
    </w:p>
    <w:p w14:paraId="0F43D467">
      <w:pPr>
        <w:pStyle w:val="17"/>
        <w:numPr>
          <w:ilvl w:val="0"/>
          <w:numId w:val="0"/>
        </w:numPr>
        <w:bidi w:val="0"/>
        <w:ind w:left="420" w:leftChars="200"/>
        <w:jc w:val="left"/>
        <w:rPr>
          <w:rFonts w:hint="eastAsia"/>
          <w:lang w:eastAsia="zh-CN"/>
        </w:rPr>
      </w:pPr>
      <w:r>
        <w:rPr>
          <w:rFonts w:hint="eastAsia"/>
          <w:lang w:eastAsia="zh-CN"/>
        </w:rPr>
        <w:t>第三部分 兴国县第十四幼儿园 2026年</w:t>
      </w:r>
      <w:r>
        <w:rPr>
          <w:rFonts w:hint="eastAsia"/>
          <w:lang w:val="en-US" w:eastAsia="zh-CN"/>
        </w:rPr>
        <w:t>单位</w:t>
      </w:r>
      <w:r>
        <w:rPr>
          <w:rFonts w:hint="eastAsia"/>
          <w:lang w:eastAsia="zh-CN"/>
        </w:rPr>
        <w:t>预算情况说明</w:t>
      </w:r>
    </w:p>
    <w:p w14:paraId="5EF586F2">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1E6A1007">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2603A68D">
      <w:pPr>
        <w:pStyle w:val="13"/>
        <w:tabs>
          <w:tab w:val="left" w:pos="6546"/>
        </w:tabs>
        <w:spacing w:line="600" w:lineRule="atLeast"/>
        <w:ind w:firstLine="1280"/>
        <w:jc w:val="left"/>
        <w:rPr>
          <w:rFonts w:ascii="Adobe 仿宋 Std R" w:hAnsi="Adobe 仿宋 Std R" w:eastAsia="Adobe 仿宋 Std R" w:cstheme="minorBidi"/>
          <w:kern w:val="2"/>
          <w:sz w:val="32"/>
          <w:szCs w:val="30"/>
        </w:rPr>
      </w:pPr>
    </w:p>
    <w:p w14:paraId="178753BA">
      <w:pPr>
        <w:pStyle w:val="17"/>
        <w:numPr>
          <w:ilvl w:val="0"/>
          <w:numId w:val="0"/>
        </w:numPr>
        <w:bidi w:val="0"/>
        <w:ind w:left="420" w:leftChars="200"/>
        <w:jc w:val="left"/>
        <w:rPr>
          <w:rFonts w:hint="eastAsia"/>
          <w:lang w:eastAsia="zh-CN"/>
        </w:rPr>
      </w:pPr>
      <w:r>
        <w:rPr>
          <w:rFonts w:hint="eastAsia"/>
          <w:lang w:eastAsia="zh-CN"/>
        </w:rPr>
        <w:t>第四部分  名词解释</w:t>
      </w:r>
    </w:p>
    <w:p w14:paraId="19AA526E">
      <w:pPr>
        <w:widowControl/>
        <w:spacing w:line="580" w:lineRule="exact"/>
        <w:jc w:val="center"/>
        <w:rPr>
          <w:rFonts w:ascii="仿宋_GB2312" w:eastAsia="仿宋_GB2312"/>
          <w:b/>
          <w:sz w:val="32"/>
          <w:szCs w:val="30"/>
        </w:rPr>
      </w:pPr>
    </w:p>
    <w:p w14:paraId="0650E2F9">
      <w:pPr>
        <w:widowControl/>
        <w:spacing w:line="580" w:lineRule="exact"/>
        <w:jc w:val="center"/>
        <w:rPr>
          <w:rFonts w:ascii="仿宋_GB2312" w:eastAsia="仿宋_GB2312"/>
          <w:b/>
          <w:sz w:val="32"/>
          <w:szCs w:val="30"/>
        </w:rPr>
      </w:pPr>
    </w:p>
    <w:p w14:paraId="0C26B4DC">
      <w:pPr>
        <w:pStyle w:val="17"/>
        <w:numPr>
          <w:ilvl w:val="0"/>
          <w:numId w:val="0"/>
        </w:numPr>
        <w:bidi w:val="0"/>
        <w:ind w:left="420" w:leftChars="200"/>
        <w:jc w:val="center"/>
        <w:rPr>
          <w:rFonts w:hint="eastAsia"/>
          <w:lang w:eastAsia="zh-CN"/>
        </w:rPr>
      </w:pPr>
      <w:r>
        <w:rPr>
          <w:rFonts w:hint="eastAsia"/>
          <w:lang w:eastAsia="zh-CN"/>
        </w:rPr>
        <w:t>第一部分  兴国县第十四幼儿园概况</w:t>
      </w:r>
    </w:p>
    <w:p w14:paraId="2B0101E7">
      <w:pPr>
        <w:widowControl/>
        <w:spacing w:line="580" w:lineRule="exact"/>
        <w:jc w:val="left"/>
        <w:rPr>
          <w:rFonts w:asciiTheme="minorEastAsia" w:hAnsiTheme="minorEastAsia"/>
          <w:b/>
          <w:sz w:val="36"/>
          <w:szCs w:val="36"/>
        </w:rPr>
      </w:pPr>
    </w:p>
    <w:p w14:paraId="2BC4F659">
      <w:pPr>
        <w:pStyle w:val="17"/>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3BA1C034">
      <w:pPr>
        <w:pStyle w:val="18"/>
        <w:bidi w:val="0"/>
        <w:rPr>
          <w:rFonts w:hint="eastAsia" w:ascii="仿宋_GB2312" w:hAnsi="仿宋_GB2312" w:eastAsia="仿宋_GB2312" w:cs="仿宋_GB2312"/>
        </w:rPr>
      </w:pPr>
      <w:r>
        <w:rPr>
          <w:rFonts w:hint="eastAsia" w:cs="仿宋_GB2312"/>
          <w:lang w:eastAsia="zh-CN"/>
        </w:rPr>
        <w:t>（</w:t>
      </w:r>
      <w:r>
        <w:rPr>
          <w:rFonts w:hint="eastAsia" w:cs="仿宋_GB2312"/>
          <w:lang w:val="en-US" w:eastAsia="zh-CN"/>
        </w:rPr>
        <w:t>一</w:t>
      </w:r>
      <w:r>
        <w:rPr>
          <w:rFonts w:hint="eastAsia" w:cs="仿宋_GB2312"/>
          <w:lang w:eastAsia="zh-CN"/>
        </w:rPr>
        <w:t>）</w:t>
      </w:r>
      <w:r>
        <w:rPr>
          <w:rFonts w:hint="eastAsia" w:ascii="仿宋_GB2312" w:hAnsi="仿宋_GB2312" w:eastAsia="仿宋_GB2312" w:cs="仿宋_GB2312"/>
        </w:rPr>
        <w:t>贯彻教育方针，落实保教并重，面向3—6岁幼儿提供普惠性学前教育服务。</w:t>
      </w:r>
    </w:p>
    <w:p w14:paraId="3A787BB6">
      <w:pPr>
        <w:pStyle w:val="18"/>
        <w:bidi w:val="0"/>
        <w:rPr>
          <w:rFonts w:hint="eastAsia" w:ascii="仿宋_GB2312" w:hAnsi="仿宋_GB2312" w:eastAsia="仿宋_GB2312" w:cs="仿宋_GB2312"/>
        </w:rPr>
      </w:pPr>
      <w:r>
        <w:rPr>
          <w:rFonts w:hint="eastAsia" w:cs="仿宋_GB2312"/>
          <w:lang w:eastAsia="zh-CN"/>
        </w:rPr>
        <w:t>（</w:t>
      </w:r>
      <w:r>
        <w:rPr>
          <w:rFonts w:hint="eastAsia" w:cs="仿宋_GB2312"/>
          <w:lang w:val="en-US" w:eastAsia="zh-CN"/>
        </w:rPr>
        <w:t>二</w:t>
      </w:r>
      <w:r>
        <w:rPr>
          <w:rFonts w:hint="eastAsia" w:cs="仿宋_GB2312"/>
          <w:lang w:eastAsia="zh-CN"/>
        </w:rPr>
        <w:t>）</w:t>
      </w:r>
      <w:r>
        <w:rPr>
          <w:rFonts w:hint="eastAsia" w:ascii="仿宋_GB2312" w:hAnsi="仿宋_GB2312" w:eastAsia="仿宋_GB2312" w:cs="仿宋_GB2312"/>
        </w:rPr>
        <w:t>科学组织一日活动，促进幼儿德智体美劳全面发展。</w:t>
      </w:r>
    </w:p>
    <w:p w14:paraId="308F0E76">
      <w:pPr>
        <w:pStyle w:val="18"/>
        <w:bidi w:val="0"/>
        <w:rPr>
          <w:rFonts w:hint="eastAsia" w:ascii="仿宋_GB2312" w:hAnsi="仿宋_GB2312" w:eastAsia="仿宋_GB2312" w:cs="仿宋_GB2312"/>
        </w:rPr>
      </w:pPr>
      <w:r>
        <w:rPr>
          <w:rFonts w:hint="eastAsia" w:cs="仿宋_GB2312"/>
          <w:lang w:val="en-US" w:eastAsia="zh-CN"/>
        </w:rPr>
        <w:t>（三）</w:t>
      </w:r>
      <w:r>
        <w:rPr>
          <w:rFonts w:hint="eastAsia" w:ascii="仿宋_GB2312" w:hAnsi="仿宋_GB2312" w:eastAsia="仿宋_GB2312" w:cs="仿宋_GB2312"/>
        </w:rPr>
        <w:t>负责幼儿安全、卫生保健、饮食、健康监测及传染病防控。</w:t>
      </w:r>
    </w:p>
    <w:p w14:paraId="2157AA6B">
      <w:pPr>
        <w:pStyle w:val="18"/>
        <w:bidi w:val="0"/>
        <w:rPr>
          <w:rFonts w:hint="eastAsia" w:ascii="仿宋_GB2312" w:hAnsi="仿宋_GB2312" w:eastAsia="仿宋_GB2312" w:cs="仿宋_GB2312"/>
        </w:rPr>
      </w:pPr>
      <w:r>
        <w:rPr>
          <w:rFonts w:hint="eastAsia" w:cs="仿宋_GB2312"/>
          <w:lang w:eastAsia="zh-CN"/>
        </w:rPr>
        <w:t>（</w:t>
      </w:r>
      <w:r>
        <w:rPr>
          <w:rFonts w:hint="eastAsia" w:cs="仿宋_GB2312"/>
          <w:lang w:val="en-US" w:eastAsia="zh-CN"/>
        </w:rPr>
        <w:t>四）</w:t>
      </w:r>
      <w:r>
        <w:rPr>
          <w:rFonts w:hint="eastAsia" w:ascii="仿宋_GB2312" w:hAnsi="仿宋_GB2312" w:eastAsia="仿宋_GB2312" w:cs="仿宋_GB2312"/>
        </w:rPr>
        <w:t>规范</w:t>
      </w:r>
      <w:r>
        <w:rPr>
          <w:rFonts w:hint="eastAsia" w:cs="仿宋_GB2312"/>
          <w:lang w:val="en-US" w:eastAsia="zh-CN"/>
        </w:rPr>
        <w:t>学校</w:t>
      </w:r>
      <w:r>
        <w:rPr>
          <w:rFonts w:hint="eastAsia" w:ascii="仿宋_GB2312" w:hAnsi="仿宋_GB2312" w:eastAsia="仿宋_GB2312" w:cs="仿宋_GB2312"/>
        </w:rPr>
        <w:t>、财务、人事、资产及后勤管理，保障正常运转。</w:t>
      </w:r>
    </w:p>
    <w:p w14:paraId="0BB6F300">
      <w:pPr>
        <w:pStyle w:val="18"/>
        <w:bidi w:val="0"/>
        <w:rPr>
          <w:rFonts w:hint="eastAsia" w:ascii="仿宋_GB2312" w:hAnsi="仿宋_GB2312" w:eastAsia="仿宋_GB2312" w:cs="仿宋_GB2312"/>
        </w:rPr>
      </w:pPr>
      <w:r>
        <w:rPr>
          <w:rFonts w:hint="eastAsia" w:cs="仿宋_GB2312"/>
          <w:lang w:eastAsia="zh-CN"/>
        </w:rPr>
        <w:t>（</w:t>
      </w:r>
      <w:r>
        <w:rPr>
          <w:rFonts w:hint="eastAsia" w:cs="仿宋_GB2312"/>
          <w:lang w:val="en-US" w:eastAsia="zh-CN"/>
        </w:rPr>
        <w:t>五</w:t>
      </w:r>
      <w:r>
        <w:rPr>
          <w:rFonts w:hint="eastAsia" w:cs="仿宋_GB2312"/>
          <w:lang w:eastAsia="zh-CN"/>
        </w:rPr>
        <w:t>）</w:t>
      </w:r>
      <w:r>
        <w:rPr>
          <w:rFonts w:hint="eastAsia" w:ascii="仿宋_GB2312" w:hAnsi="仿宋_GB2312" w:eastAsia="仿宋_GB2312" w:cs="仿宋_GB2312"/>
        </w:rPr>
        <w:t>加强教师队伍建设与教研培训，提升保教质量。</w:t>
      </w:r>
    </w:p>
    <w:p w14:paraId="6CF99C99">
      <w:pPr>
        <w:pStyle w:val="18"/>
        <w:bidi w:val="0"/>
        <w:rPr>
          <w:rFonts w:hint="eastAsia" w:ascii="仿宋_GB2312" w:hAnsi="仿宋_GB2312" w:eastAsia="仿宋_GB2312" w:cs="仿宋_GB2312"/>
        </w:rPr>
      </w:pPr>
      <w:r>
        <w:rPr>
          <w:rFonts w:hint="eastAsia" w:cs="仿宋_GB2312"/>
          <w:lang w:eastAsia="zh-CN"/>
        </w:rPr>
        <w:t>（</w:t>
      </w:r>
      <w:r>
        <w:rPr>
          <w:rFonts w:hint="eastAsia" w:cs="仿宋_GB2312"/>
          <w:lang w:val="en-US" w:eastAsia="zh-CN"/>
        </w:rPr>
        <w:t>六）</w:t>
      </w:r>
      <w:r>
        <w:rPr>
          <w:rFonts w:hint="eastAsia" w:ascii="仿宋_GB2312" w:hAnsi="仿宋_GB2312" w:eastAsia="仿宋_GB2312" w:cs="仿宋_GB2312"/>
        </w:rPr>
        <w:t>做好家园共育，接受家长与社会监督，服从教育主管部门管理。</w:t>
      </w:r>
    </w:p>
    <w:p w14:paraId="254DAB41">
      <w:pPr>
        <w:pStyle w:val="17"/>
        <w:numPr>
          <w:ilvl w:val="0"/>
          <w:numId w:val="0"/>
        </w:numPr>
        <w:bidi w:val="0"/>
        <w:ind w:left="420" w:leftChars="200" w:firstLine="320" w:firstLineChars="100"/>
        <w:rPr>
          <w:rFonts w:hint="eastAsia"/>
        </w:rPr>
      </w:pPr>
      <w:r>
        <w:rPr>
          <w:rFonts w:hint="eastAsia"/>
        </w:rPr>
        <w:t>二、机构设置及人员情况</w:t>
      </w:r>
    </w:p>
    <w:p w14:paraId="746E1DAF">
      <w:pPr>
        <w:pStyle w:val="18"/>
        <w:bidi w:val="0"/>
        <w:rPr>
          <w:rFonts w:hint="eastAsia" w:ascii="仿宋_GB2312" w:hAnsi="仿宋_GB2312" w:eastAsia="仿宋_GB2312" w:cs="仿宋_GB2312"/>
        </w:rPr>
      </w:pPr>
      <w:r>
        <w:rPr>
          <w:rFonts w:hint="eastAsia" w:ascii="仿宋_GB2312" w:hAnsi="仿宋_GB2312" w:eastAsia="仿宋_GB2312" w:cs="仿宋_GB2312"/>
          <w:lang w:eastAsia="zh-CN"/>
        </w:rPr>
        <w:t>兴国县第十四幼儿园内设处室</w:t>
      </w:r>
      <w:r>
        <w:rPr>
          <w:rFonts w:hint="eastAsia" w:cs="仿宋_GB2312"/>
          <w:lang w:val="en-US" w:eastAsia="zh-CN"/>
        </w:rPr>
        <w:t>2</w:t>
      </w:r>
      <w:r>
        <w:rPr>
          <w:rFonts w:hint="eastAsia" w:ascii="仿宋_GB2312" w:hAnsi="仿宋_GB2312" w:eastAsia="仿宋_GB2312" w:cs="仿宋_GB2312"/>
          <w:lang w:eastAsia="zh-CN"/>
        </w:rPr>
        <w:t>个</w:t>
      </w:r>
      <w:r>
        <w:rPr>
          <w:rFonts w:hint="eastAsia" w:cs="仿宋_GB2312"/>
          <w:lang w:eastAsia="zh-CN"/>
        </w:rPr>
        <w:t>，</w:t>
      </w:r>
      <w:r>
        <w:rPr>
          <w:rFonts w:hint="eastAsia" w:ascii="仿宋_GB2312" w:hAnsi="仿宋_GB2312" w:eastAsia="仿宋_GB2312" w:cs="仿宋_GB2312"/>
          <w:lang w:eastAsia="zh-CN"/>
        </w:rPr>
        <w:t>包括：</w:t>
      </w:r>
      <w:r>
        <w:rPr>
          <w:rFonts w:hint="eastAsia" w:cs="仿宋_GB2312"/>
          <w:lang w:val="en-US" w:eastAsia="zh-CN"/>
        </w:rPr>
        <w:t>保教处、后勤处</w:t>
      </w:r>
      <w:r>
        <w:rPr>
          <w:rFonts w:hint="eastAsia" w:ascii="仿宋_GB2312" w:hAnsi="仿宋_GB2312" w:eastAsia="仿宋_GB2312" w:cs="仿宋_GB2312"/>
        </w:rPr>
        <w:t>。</w:t>
      </w:r>
    </w:p>
    <w:p w14:paraId="5709F61A">
      <w:pPr>
        <w:pStyle w:val="18"/>
        <w:bidi w:val="0"/>
        <w:rPr>
          <w:rFonts w:hint="eastAsia" w:cs="仿宋_GB2312"/>
          <w:color w:val="FF0000"/>
          <w:lang w:eastAsia="zh-CN"/>
        </w:rPr>
      </w:pPr>
      <w:r>
        <w:rPr>
          <w:rFonts w:hint="eastAsia" w:ascii="仿宋_GB2312" w:hAnsi="仿宋_GB2312" w:eastAsia="仿宋_GB2312" w:cs="仿宋_GB2312"/>
          <w:lang w:eastAsia="zh-CN"/>
        </w:rPr>
        <w:t>202</w:t>
      </w:r>
      <w:r>
        <w:rPr>
          <w:rFonts w:hint="eastAsia" w:cs="仿宋_GB2312"/>
          <w:lang w:val="en-US" w:eastAsia="zh-CN"/>
        </w:rPr>
        <w:t>6</w:t>
      </w:r>
      <w:r>
        <w:rPr>
          <w:rFonts w:hint="eastAsia" w:ascii="仿宋_GB2312" w:hAnsi="仿宋_GB2312" w:eastAsia="仿宋_GB2312" w:cs="仿宋_GB2312"/>
          <w:lang w:eastAsia="zh-CN"/>
        </w:rPr>
        <w:t>年本单位编制人数小计</w:t>
      </w:r>
      <w:r>
        <w:rPr>
          <w:rFonts w:hint="eastAsia" w:cs="仿宋_GB2312"/>
          <w:lang w:val="en-US" w:eastAsia="zh-CN"/>
        </w:rPr>
        <w:t>3</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其中：行政编制人数</w:t>
      </w:r>
      <w:r>
        <w:rPr>
          <w:rFonts w:hint="eastAsia" w:cs="仿宋_GB2312"/>
          <w:lang w:val="en-US" w:eastAsia="zh-CN"/>
        </w:rPr>
        <w:t>0</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参照公务员管理的事业编制人数0人</w:t>
      </w:r>
      <w:r>
        <w:rPr>
          <w:rFonts w:hint="eastAsia" w:cs="仿宋_GB2312"/>
          <w:lang w:eastAsia="zh-CN"/>
        </w:rPr>
        <w:t>，</w:t>
      </w:r>
      <w:r>
        <w:rPr>
          <w:rFonts w:hint="eastAsia" w:ascii="仿宋_GB2312" w:hAnsi="仿宋_GB2312" w:eastAsia="仿宋_GB2312" w:cs="仿宋_GB2312"/>
          <w:lang w:eastAsia="zh-CN"/>
        </w:rPr>
        <w:t>全部补助事业编制人数</w:t>
      </w:r>
      <w:r>
        <w:rPr>
          <w:rFonts w:hint="eastAsia" w:cs="仿宋_GB2312"/>
          <w:lang w:val="en-US" w:eastAsia="zh-CN"/>
        </w:rPr>
        <w:t>3</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自收自支编制人数0人。实有人数小计</w:t>
      </w:r>
      <w:r>
        <w:rPr>
          <w:rFonts w:hint="eastAsia" w:cs="仿宋_GB2312"/>
          <w:lang w:val="en-US" w:eastAsia="zh-CN"/>
        </w:rPr>
        <w:t>2</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其中：在职人数小计</w:t>
      </w:r>
      <w:r>
        <w:rPr>
          <w:rFonts w:hint="eastAsia" w:cs="仿宋_GB2312"/>
          <w:lang w:val="en-US" w:eastAsia="zh-CN"/>
        </w:rPr>
        <w:t>2</w:t>
      </w:r>
      <w:r>
        <w:rPr>
          <w:rFonts w:hint="eastAsia" w:ascii="仿宋_GB2312" w:hAnsi="仿宋_GB2312" w:eastAsia="仿宋_GB2312" w:cs="仿宋_GB2312"/>
          <w:lang w:eastAsia="zh-CN"/>
        </w:rPr>
        <w:t>人（行政在职人数</w:t>
      </w:r>
      <w:r>
        <w:rPr>
          <w:rFonts w:hint="eastAsia" w:cs="仿宋_GB2312"/>
          <w:lang w:val="en-US" w:eastAsia="zh-CN"/>
        </w:rPr>
        <w:t>0</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参照公务员管理的事业单位在职人数0人</w:t>
      </w:r>
      <w:r>
        <w:rPr>
          <w:rFonts w:hint="eastAsia" w:cs="仿宋_GB2312"/>
          <w:lang w:eastAsia="zh-CN"/>
        </w:rPr>
        <w:t>，</w:t>
      </w:r>
      <w:r>
        <w:rPr>
          <w:rFonts w:hint="eastAsia" w:ascii="仿宋_GB2312" w:hAnsi="仿宋_GB2312" w:eastAsia="仿宋_GB2312" w:cs="仿宋_GB2312"/>
          <w:lang w:eastAsia="zh-CN"/>
        </w:rPr>
        <w:t>全部补助事业在职人数</w:t>
      </w:r>
      <w:r>
        <w:rPr>
          <w:rFonts w:hint="eastAsia" w:cs="仿宋_GB2312"/>
          <w:lang w:val="en-US" w:eastAsia="zh-CN"/>
        </w:rPr>
        <w:t>2</w:t>
      </w:r>
      <w:r>
        <w:rPr>
          <w:rFonts w:hint="eastAsia" w:ascii="仿宋_GB2312" w:hAnsi="仿宋_GB2312" w:eastAsia="仿宋_GB2312" w:cs="仿宋_GB2312"/>
          <w:lang w:eastAsia="zh-CN"/>
        </w:rPr>
        <w:t>人）；离休人数小计0人；退休人数小计</w:t>
      </w:r>
      <w:r>
        <w:rPr>
          <w:rFonts w:hint="eastAsia" w:cs="仿宋_GB2312"/>
          <w:lang w:val="en-US" w:eastAsia="zh-CN"/>
        </w:rPr>
        <w:t>0</w:t>
      </w:r>
      <w:r>
        <w:rPr>
          <w:rFonts w:hint="eastAsia" w:ascii="仿宋_GB2312" w:hAnsi="仿宋_GB2312" w:eastAsia="仿宋_GB2312" w:cs="仿宋_GB2312"/>
          <w:lang w:eastAsia="zh-CN"/>
        </w:rPr>
        <w:t>人。</w:t>
      </w:r>
    </w:p>
    <w:p w14:paraId="1058D598">
      <w:pPr>
        <w:pStyle w:val="18"/>
        <w:bidi w:val="0"/>
        <w:rPr>
          <w:rFonts w:hint="eastAsia" w:cs="仿宋_GB2312"/>
          <w:color w:val="auto"/>
          <w:lang w:eastAsia="zh-CN"/>
        </w:rPr>
      </w:pPr>
      <w:r>
        <w:rPr>
          <w:rFonts w:hint="eastAsia" w:cs="仿宋_GB2312"/>
          <w:color w:val="auto"/>
          <w:lang w:eastAsia="zh-CN"/>
        </w:rPr>
        <w:t>2026年在校学生</w:t>
      </w:r>
      <w:r>
        <w:rPr>
          <w:rFonts w:hint="eastAsia" w:cs="仿宋_GB2312"/>
          <w:color w:val="auto"/>
          <w:lang w:val="en-US" w:eastAsia="zh-CN"/>
        </w:rPr>
        <w:t>117</w:t>
      </w:r>
      <w:r>
        <w:rPr>
          <w:rFonts w:hint="eastAsia" w:cs="仿宋_GB2312"/>
          <w:color w:val="auto"/>
          <w:lang w:eastAsia="zh-CN"/>
        </w:rPr>
        <w:t>人，其中：本科生人数</w:t>
      </w:r>
      <w:r>
        <w:rPr>
          <w:rFonts w:hint="eastAsia" w:cs="仿宋_GB2312"/>
          <w:color w:val="auto"/>
          <w:lang w:val="en-US" w:eastAsia="zh-CN"/>
        </w:rPr>
        <w:t>0</w:t>
      </w:r>
      <w:r>
        <w:rPr>
          <w:rFonts w:hint="eastAsia" w:cs="仿宋_GB2312"/>
          <w:color w:val="auto"/>
          <w:lang w:eastAsia="zh-CN"/>
        </w:rPr>
        <w:t>人，专科生人数</w:t>
      </w:r>
      <w:r>
        <w:rPr>
          <w:rFonts w:hint="eastAsia" w:cs="仿宋_GB2312"/>
          <w:color w:val="auto"/>
          <w:lang w:val="en-US" w:eastAsia="zh-CN"/>
        </w:rPr>
        <w:t>0</w:t>
      </w:r>
      <w:r>
        <w:rPr>
          <w:rFonts w:hint="eastAsia" w:cs="仿宋_GB2312"/>
          <w:color w:val="auto"/>
          <w:lang w:eastAsia="zh-CN"/>
        </w:rPr>
        <w:t>人，高中生人数</w:t>
      </w:r>
      <w:r>
        <w:rPr>
          <w:rFonts w:hint="eastAsia" w:cs="仿宋_GB2312"/>
          <w:color w:val="auto"/>
          <w:lang w:val="en-US" w:eastAsia="zh-CN"/>
        </w:rPr>
        <w:t>0</w:t>
      </w:r>
      <w:r>
        <w:rPr>
          <w:rFonts w:hint="eastAsia" w:cs="仿宋_GB2312"/>
          <w:color w:val="auto"/>
          <w:lang w:eastAsia="zh-CN"/>
        </w:rPr>
        <w:t>人，初中生人数</w:t>
      </w:r>
      <w:r>
        <w:rPr>
          <w:rFonts w:hint="eastAsia" w:cs="仿宋_GB2312"/>
          <w:color w:val="auto"/>
          <w:lang w:val="en-US" w:eastAsia="zh-CN"/>
        </w:rPr>
        <w:t>0</w:t>
      </w:r>
      <w:r>
        <w:rPr>
          <w:rFonts w:hint="eastAsia" w:cs="仿宋_GB2312"/>
          <w:color w:val="auto"/>
          <w:lang w:eastAsia="zh-CN"/>
        </w:rPr>
        <w:t>人，小学生人数</w:t>
      </w:r>
      <w:r>
        <w:rPr>
          <w:rFonts w:hint="eastAsia" w:cs="仿宋_GB2312"/>
          <w:color w:val="auto"/>
          <w:lang w:val="en-US" w:eastAsia="zh-CN"/>
        </w:rPr>
        <w:t>0</w:t>
      </w:r>
      <w:r>
        <w:rPr>
          <w:rFonts w:hint="eastAsia" w:cs="仿宋_GB2312"/>
          <w:color w:val="auto"/>
          <w:lang w:eastAsia="zh-CN"/>
        </w:rPr>
        <w:t>人，学前教育幼儿人数</w:t>
      </w:r>
      <w:r>
        <w:rPr>
          <w:rFonts w:hint="eastAsia" w:cs="仿宋_GB2312"/>
          <w:color w:val="auto"/>
          <w:lang w:val="en-US" w:eastAsia="zh-CN"/>
        </w:rPr>
        <w:t>117</w:t>
      </w:r>
      <w:r>
        <w:rPr>
          <w:rFonts w:hint="eastAsia" w:cs="仿宋_GB2312"/>
          <w:color w:val="auto"/>
          <w:lang w:eastAsia="zh-CN"/>
        </w:rPr>
        <w:t>人。</w:t>
      </w:r>
    </w:p>
    <w:p w14:paraId="1B571011">
      <w:pPr>
        <w:pStyle w:val="18"/>
        <w:bidi w:val="0"/>
        <w:rPr>
          <w:rFonts w:hint="eastAsia" w:cs="仿宋_GB2312"/>
          <w:color w:val="auto"/>
          <w:lang w:eastAsia="zh-CN"/>
        </w:rPr>
      </w:pPr>
    </w:p>
    <w:p w14:paraId="79326061">
      <w:pPr>
        <w:pStyle w:val="17"/>
        <w:numPr>
          <w:ilvl w:val="0"/>
          <w:numId w:val="0"/>
        </w:numPr>
        <w:bidi w:val="0"/>
        <w:ind w:left="420" w:leftChars="200"/>
        <w:jc w:val="center"/>
        <w:rPr>
          <w:rFonts w:hint="eastAsia"/>
          <w:lang w:eastAsia="zh-CN"/>
        </w:rPr>
      </w:pPr>
      <w:r>
        <w:rPr>
          <w:rFonts w:hint="eastAsia"/>
          <w:lang w:eastAsia="zh-CN"/>
        </w:rPr>
        <w:t>第二部分  兴国县第十四幼儿园2026年</w:t>
      </w:r>
      <w:r>
        <w:rPr>
          <w:rFonts w:hint="eastAsia"/>
          <w:lang w:val="en-US" w:eastAsia="zh-CN"/>
        </w:rPr>
        <w:t>单位</w:t>
      </w:r>
      <w:r>
        <w:rPr>
          <w:rFonts w:hint="eastAsia"/>
          <w:lang w:eastAsia="zh-CN"/>
        </w:rPr>
        <w:t>预算表</w:t>
      </w:r>
    </w:p>
    <w:p w14:paraId="2B175A57">
      <w:pPr>
        <w:pStyle w:val="17"/>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14:paraId="44D39FAE">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7D9A79CE">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3C00E1D0">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7635A443">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201113兴国县第十四幼儿园</w:t>
            </w:r>
          </w:p>
        </w:tc>
        <w:tc>
          <w:tcPr>
            <w:tcW w:w="1655" w:type="pct"/>
            <w:noWrap/>
            <w:vAlign w:val="bottom"/>
          </w:tcPr>
          <w:p w14:paraId="22C1A95F">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691B929C">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1A529EDF">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3140B09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4D51BD8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4E20A63D">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1121623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5BAC439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1038690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70B55ED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1A82AD8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92567F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2B583E0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69.29</w:t>
            </w:r>
          </w:p>
        </w:tc>
        <w:tc>
          <w:tcPr>
            <w:tcW w:w="1655" w:type="pct"/>
            <w:tcBorders>
              <w:top w:val="nil"/>
              <w:left w:val="nil"/>
              <w:bottom w:val="single" w:color="000000" w:sz="4" w:space="0"/>
              <w:right w:val="single" w:color="000000" w:sz="4" w:space="0"/>
            </w:tcBorders>
            <w:noWrap/>
            <w:vAlign w:val="center"/>
          </w:tcPr>
          <w:p w14:paraId="6DF87FA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教育支出</w:t>
            </w:r>
          </w:p>
        </w:tc>
        <w:tc>
          <w:tcPr>
            <w:tcW w:w="829" w:type="pct"/>
            <w:tcBorders>
              <w:top w:val="nil"/>
              <w:left w:val="nil"/>
              <w:bottom w:val="single" w:color="000000" w:sz="4" w:space="0"/>
              <w:right w:val="single" w:color="000000" w:sz="4" w:space="0"/>
            </w:tcBorders>
            <w:noWrap/>
            <w:vAlign w:val="center"/>
          </w:tcPr>
          <w:p w14:paraId="70FE7A2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165.03</w:t>
            </w:r>
          </w:p>
        </w:tc>
      </w:tr>
      <w:tr w14:paraId="63F8524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D3A264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3800C12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69.29</w:t>
            </w:r>
          </w:p>
        </w:tc>
        <w:tc>
          <w:tcPr>
            <w:tcW w:w="1655" w:type="pct"/>
            <w:tcBorders>
              <w:top w:val="nil"/>
              <w:left w:val="nil"/>
              <w:bottom w:val="single" w:color="000000" w:sz="4" w:space="0"/>
              <w:right w:val="single" w:color="000000" w:sz="4" w:space="0"/>
            </w:tcBorders>
            <w:noWrap/>
            <w:vAlign w:val="center"/>
          </w:tcPr>
          <w:p w14:paraId="3552150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社会保障和就业支出</w:t>
            </w:r>
          </w:p>
        </w:tc>
        <w:tc>
          <w:tcPr>
            <w:tcW w:w="829" w:type="pct"/>
            <w:tcBorders>
              <w:top w:val="nil"/>
              <w:left w:val="nil"/>
              <w:bottom w:val="single" w:color="000000" w:sz="4" w:space="0"/>
              <w:right w:val="single" w:color="000000" w:sz="4" w:space="0"/>
            </w:tcBorders>
            <w:noWrap/>
            <w:vAlign w:val="center"/>
          </w:tcPr>
          <w:p w14:paraId="60AD4AC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2.60</w:t>
            </w:r>
          </w:p>
        </w:tc>
      </w:tr>
      <w:tr w14:paraId="48CD02C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CDCD98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3A1F7E7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DD63AB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0F05064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1.66</w:t>
            </w:r>
          </w:p>
        </w:tc>
      </w:tr>
      <w:tr w14:paraId="22CD96E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928BC0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1592776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1A5E00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其他支出</w:t>
            </w:r>
          </w:p>
        </w:tc>
        <w:tc>
          <w:tcPr>
            <w:tcW w:w="829" w:type="pct"/>
            <w:tcBorders>
              <w:top w:val="nil"/>
              <w:left w:val="nil"/>
              <w:bottom w:val="single" w:color="000000" w:sz="4" w:space="0"/>
              <w:right w:val="single" w:color="000000" w:sz="4" w:space="0"/>
            </w:tcBorders>
            <w:noWrap/>
            <w:vAlign w:val="center"/>
          </w:tcPr>
          <w:p w14:paraId="2CBD6DA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100.00</w:t>
            </w:r>
          </w:p>
        </w:tc>
      </w:tr>
      <w:tr w14:paraId="76A810E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58E389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43A6D68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100.00</w:t>
            </w:r>
          </w:p>
        </w:tc>
        <w:tc>
          <w:tcPr>
            <w:tcW w:w="1655" w:type="pct"/>
            <w:tcBorders>
              <w:top w:val="nil"/>
              <w:left w:val="nil"/>
              <w:bottom w:val="single" w:color="000000" w:sz="4" w:space="0"/>
              <w:right w:val="single" w:color="000000" w:sz="4" w:space="0"/>
            </w:tcBorders>
            <w:noWrap/>
            <w:vAlign w:val="center"/>
          </w:tcPr>
          <w:p w14:paraId="4163E97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31F99E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ABC6D1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36246A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5A8F828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136F25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F34E71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3500B3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E3B45F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2FBC682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BC3C0E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77D133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40E3CF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9038AD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007F4AA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27F526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1324AE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54126F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10433D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2E43004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6E5FB3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5C4227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BFA2A5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4F9A8F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4CEDFDE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100.00</w:t>
            </w:r>
          </w:p>
        </w:tc>
        <w:tc>
          <w:tcPr>
            <w:tcW w:w="1655" w:type="pct"/>
            <w:tcBorders>
              <w:top w:val="nil"/>
              <w:left w:val="nil"/>
              <w:bottom w:val="single" w:color="000000" w:sz="4" w:space="0"/>
              <w:right w:val="single" w:color="000000" w:sz="4" w:space="0"/>
            </w:tcBorders>
            <w:noWrap/>
            <w:vAlign w:val="center"/>
          </w:tcPr>
          <w:p w14:paraId="0A55EBE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4D4356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3DBA65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6BDFDB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4F55772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A203B8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BF4E69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16F007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08068E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162BDC7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A2F5F1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219E7C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4C8E8A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3DB2C2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165EC5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BA66C5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A288C8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FCECB6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5CF4EF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29A82F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2A057B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B0A3C5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8B7CAC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A4EE37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0F19A2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A1429C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364F4B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5A85C0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F1AE5C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AC1232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8BC6FB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4A0248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098633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952227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CE600F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CE827E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D9E207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5AEE73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679656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0CC4DF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6A1690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F270EF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7CEA0C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2D7FE2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F0F2C1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3DA61B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464E37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2A309B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838838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0CCEA7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22D780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880149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6E621F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0AA7CE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B1B0F4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EEAF85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83D38C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4A8B43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552171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D297F8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6D2D83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6A6AAF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84C976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D8C8D0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65DFAF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0CB503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F5B2B8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6B3158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775803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E37C9F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FB46C5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F06653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C52750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6D96F8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D92C3D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58C307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8C6199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E5D13B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10720B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F6148B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B9E585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19D171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EC7E62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29B108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5DBCA9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B4C55E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67855E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7BD8B1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64EDF0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5A3D30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91C6EE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48C74E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3B23A5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BD9290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83004C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785344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776F30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52E61D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23B41C0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7E58E07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269.29</w:t>
            </w:r>
          </w:p>
        </w:tc>
        <w:tc>
          <w:tcPr>
            <w:tcW w:w="1655" w:type="pct"/>
            <w:tcBorders>
              <w:top w:val="nil"/>
              <w:left w:val="nil"/>
              <w:bottom w:val="single" w:color="auto" w:sz="4" w:space="0"/>
              <w:right w:val="single" w:color="000000" w:sz="4" w:space="0"/>
            </w:tcBorders>
            <w:noWrap/>
            <w:vAlign w:val="center"/>
          </w:tcPr>
          <w:p w14:paraId="1BA1355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4ADDA21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269.29</w:t>
            </w:r>
          </w:p>
        </w:tc>
      </w:tr>
      <w:tr w14:paraId="2CC07AE6">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64B4680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7B3BA5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63D5DFC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74151F6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01584557">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538F13E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1BB159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nil"/>
              <w:bottom w:val="single" w:color="auto" w:sz="4" w:space="0"/>
              <w:right w:val="single" w:color="000000" w:sz="4" w:space="0"/>
            </w:tcBorders>
            <w:noWrap/>
            <w:vAlign w:val="bottom"/>
          </w:tcPr>
          <w:p w14:paraId="47A582E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7926D7A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5DF5AFF">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5EBA5FE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1B8E6AC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269.29</w:t>
            </w:r>
          </w:p>
        </w:tc>
        <w:tc>
          <w:tcPr>
            <w:tcW w:w="1655" w:type="pct"/>
            <w:tcBorders>
              <w:top w:val="single" w:color="auto" w:sz="4" w:space="0"/>
              <w:left w:val="single" w:color="auto" w:sz="4" w:space="0"/>
              <w:bottom w:val="single" w:color="auto" w:sz="4" w:space="0"/>
              <w:right w:val="single" w:color="auto" w:sz="4" w:space="0"/>
            </w:tcBorders>
            <w:noWrap/>
            <w:vAlign w:val="center"/>
          </w:tcPr>
          <w:p w14:paraId="4832B50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63199A1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269.29</w:t>
            </w:r>
          </w:p>
        </w:tc>
      </w:tr>
    </w:tbl>
    <w:p w14:paraId="36AC1DDF">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09723379">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5DD80119">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4410ADD2">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43C4F7CB">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填报单位：201113兴国县第十四幼儿园</w:t>
            </w:r>
          </w:p>
        </w:tc>
        <w:tc>
          <w:tcPr>
            <w:tcW w:w="366" w:type="pct"/>
            <w:tcBorders>
              <w:top w:val="nil"/>
              <w:left w:val="nil"/>
              <w:bottom w:val="single" w:color="auto" w:sz="4" w:space="0"/>
              <w:right w:val="nil"/>
            </w:tcBorders>
            <w:shd w:val="clear" w:color="auto" w:fill="auto"/>
            <w:noWrap/>
            <w:vAlign w:val="bottom"/>
          </w:tcPr>
          <w:p w14:paraId="793869D0">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001C7AC9">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16C24A66">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553702C6">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08549381">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5D22EF4D">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034128A5">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6ABA1263">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41F77843">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268698BD">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705F86AD">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2402559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73B261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E77D0B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CE987B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3F4399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51A239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3E3E65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8812D6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5A81CE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0E1D64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6C31A59D">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4B33F3DF">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5750625E">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7587E052">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3296F96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424ABE2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78C9FAD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440EA3C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5893C4D5">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04344B50">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3AA37DF5">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38627447">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2E823877">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38BEF7F0">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095B73DA">
            <w:pPr>
              <w:widowControl/>
              <w:jc w:val="left"/>
              <w:rPr>
                <w:rFonts w:ascii="宋体" w:hAnsi="宋体" w:eastAsia="宋体" w:cs="Arial"/>
                <w:color w:val="000000"/>
                <w:kern w:val="0"/>
                <w:sz w:val="13"/>
                <w:szCs w:val="13"/>
              </w:rPr>
            </w:pPr>
          </w:p>
        </w:tc>
      </w:tr>
      <w:tr w14:paraId="57E5C331">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79216BD">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A0A2BD8">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10E62A3">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9D791C8">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8F62EB">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BC48F47">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90C9793">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302587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792D393">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5A9CBE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AA75E9">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D5F64DC">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526DA9B">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87949C2">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5DC69111">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282B7C1">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兴国县第十四幼儿园</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1C5DEC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269.29</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DBE3FA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77586A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69.29</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439855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69.29</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5061BE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2D619A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6D6BAF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D4628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5BB4C6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81DC20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ED8AA0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105BE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2914B85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3DF14700">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5D253C10">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3D264E4A">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342358BC">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3F2BE92C">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：201113兴国县第十四幼儿园</w:t>
            </w:r>
          </w:p>
        </w:tc>
        <w:tc>
          <w:tcPr>
            <w:tcW w:w="914" w:type="pct"/>
            <w:tcBorders>
              <w:top w:val="nil"/>
              <w:left w:val="nil"/>
              <w:bottom w:val="nil"/>
              <w:right w:val="nil"/>
            </w:tcBorders>
            <w:shd w:val="clear" w:color="auto" w:fill="auto"/>
            <w:noWrap/>
            <w:vAlign w:val="bottom"/>
          </w:tcPr>
          <w:p w14:paraId="217BEE53">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57015E4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52918200">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46704F07">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A53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144399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4C0208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44B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BD79F3F">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29AAEE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510EF6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3CDF6D4F">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4869851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50B0A60E">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41C8B5E8">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6FD0A8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7F2793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5AD15B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1DC0EC9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5F3023B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088B6A3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FE00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840FD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8B79F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269.29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FEAD3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162.09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323A9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107.20</w:t>
            </w:r>
          </w:p>
        </w:tc>
      </w:tr>
      <w:tr w14:paraId="7175C09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A7D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99CE7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190DF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165.03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21206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157.83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F5B91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7.20</w:t>
            </w:r>
          </w:p>
        </w:tc>
      </w:tr>
      <w:tr w14:paraId="699F44C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C80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D50BB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普通教育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C64D1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165.03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879EF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157.83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6AA46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7.20</w:t>
            </w:r>
          </w:p>
        </w:tc>
      </w:tr>
      <w:tr w14:paraId="19FCB1E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79B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A89EC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学前教育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4E2FC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165.03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575CD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157.83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4882A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7.20</w:t>
            </w:r>
          </w:p>
        </w:tc>
      </w:tr>
      <w:tr w14:paraId="3B3EECD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13D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19F6E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CC745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BE9E4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1868E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FC02A5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D35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E40E8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F8806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67F68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2FAE6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0C27CB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D63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58BC9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5E05E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AEC6C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1B439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95E84A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B20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EB456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2606B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0.14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A06FF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0.14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47EE1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089076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2AB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EE81A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B55AC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0.14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A12C5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0.14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3A454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AA8CEC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FE3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9334C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55648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8AAE0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DFDB0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F9D74A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52C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462AA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7BDCD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D0639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6B579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C7CD9C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0D7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932DA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03A9A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C8ACE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4CBFD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8F3FBC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319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F5FC7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28368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FC343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A2C01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249577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6FA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DF02E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3F7E1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1B81D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F4D37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100.00</w:t>
            </w:r>
          </w:p>
        </w:tc>
      </w:tr>
      <w:tr w14:paraId="018BC8F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3D0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F327A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5A036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291A9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09B8B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100.00</w:t>
            </w:r>
          </w:p>
        </w:tc>
      </w:tr>
      <w:tr w14:paraId="64707A7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94B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2299999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D6042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43211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8BC40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EE890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100.00</w:t>
            </w:r>
          </w:p>
        </w:tc>
      </w:tr>
    </w:tbl>
    <w:p w14:paraId="332BA527">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388A9B97">
        <w:tblPrEx>
          <w:tblCellMar>
            <w:top w:w="0" w:type="dxa"/>
            <w:left w:w="108" w:type="dxa"/>
            <w:bottom w:w="0" w:type="dxa"/>
            <w:right w:w="108" w:type="dxa"/>
          </w:tblCellMar>
        </w:tblPrEx>
        <w:trPr>
          <w:trHeight w:val="585" w:hRule="atLeast"/>
          <w:tblHeader/>
        </w:trPr>
        <w:tc>
          <w:tcPr>
            <w:tcW w:w="5000" w:type="pct"/>
            <w:gridSpan w:val="7"/>
            <w:noWrap/>
            <w:vAlign w:val="center"/>
          </w:tcPr>
          <w:p w14:paraId="33A81EF0">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569A7CC0">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2B0F4CAE">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201113兴国县第十四幼儿园</w:t>
            </w:r>
          </w:p>
        </w:tc>
        <w:tc>
          <w:tcPr>
            <w:tcW w:w="577" w:type="pct"/>
            <w:noWrap/>
            <w:vAlign w:val="bottom"/>
          </w:tcPr>
          <w:p w14:paraId="7B1DD7AA">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7F2384C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035A0022">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336D85D2">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546DB04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2FC5FA9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4B1FE117">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21B2631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706AE00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6A6B65C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49564B3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1949207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60047A3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7532FAC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164CA3E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A2F4BD5">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0FD842E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69.29</w:t>
            </w:r>
          </w:p>
        </w:tc>
        <w:tc>
          <w:tcPr>
            <w:tcW w:w="948" w:type="pct"/>
            <w:tcBorders>
              <w:top w:val="nil"/>
              <w:left w:val="nil"/>
              <w:bottom w:val="single" w:color="000000" w:sz="4" w:space="0"/>
              <w:right w:val="single" w:color="000000" w:sz="4" w:space="0"/>
            </w:tcBorders>
            <w:noWrap/>
            <w:vAlign w:val="center"/>
          </w:tcPr>
          <w:p w14:paraId="2F8FD30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教育支出</w:t>
            </w:r>
          </w:p>
        </w:tc>
        <w:tc>
          <w:tcPr>
            <w:tcW w:w="577" w:type="pct"/>
            <w:tcBorders>
              <w:top w:val="nil"/>
              <w:left w:val="nil"/>
              <w:bottom w:val="single" w:color="000000" w:sz="4" w:space="0"/>
              <w:right w:val="single" w:color="000000" w:sz="4" w:space="0"/>
            </w:tcBorders>
            <w:noWrap/>
            <w:vAlign w:val="center"/>
          </w:tcPr>
          <w:p w14:paraId="529B4BF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65.03</w:t>
            </w:r>
          </w:p>
        </w:tc>
        <w:tc>
          <w:tcPr>
            <w:tcW w:w="612" w:type="pct"/>
            <w:tcBorders>
              <w:top w:val="nil"/>
              <w:left w:val="nil"/>
              <w:bottom w:val="single" w:color="000000" w:sz="4" w:space="0"/>
              <w:right w:val="single" w:color="000000" w:sz="4" w:space="0"/>
            </w:tcBorders>
            <w:noWrap/>
            <w:vAlign w:val="center"/>
          </w:tcPr>
          <w:p w14:paraId="7DA82AC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65.03</w:t>
            </w:r>
          </w:p>
        </w:tc>
        <w:tc>
          <w:tcPr>
            <w:tcW w:w="602" w:type="pct"/>
            <w:tcBorders>
              <w:top w:val="nil"/>
              <w:left w:val="nil"/>
              <w:bottom w:val="single" w:color="000000" w:sz="4" w:space="0"/>
              <w:right w:val="single" w:color="000000" w:sz="4" w:space="0"/>
            </w:tcBorders>
            <w:noWrap/>
            <w:vAlign w:val="center"/>
          </w:tcPr>
          <w:p w14:paraId="00A6131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683E0F7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7A1B69F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5E6F0BF">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153ECA6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69.29</w:t>
            </w:r>
          </w:p>
        </w:tc>
        <w:tc>
          <w:tcPr>
            <w:tcW w:w="948" w:type="pct"/>
            <w:tcBorders>
              <w:top w:val="nil"/>
              <w:left w:val="single" w:color="000000" w:sz="4" w:space="0"/>
              <w:bottom w:val="single" w:color="000000" w:sz="4" w:space="0"/>
              <w:right w:val="single" w:color="000000" w:sz="4" w:space="0"/>
            </w:tcBorders>
            <w:noWrap/>
            <w:vAlign w:val="center"/>
          </w:tcPr>
          <w:p w14:paraId="32776E6B">
            <w:pPr>
              <w:widowControl/>
              <w:snapToGrid w:val="0"/>
              <w:jc w:val="center"/>
              <w:textAlignment w:val="center"/>
              <w:rPr>
                <w:rFonts w:hint="eastAsia" w:asciiTheme="minorEastAsia" w:hAnsiTheme="minorEastAsia" w:cstheme="minorEastAsia"/>
                <w:color w:val="000000"/>
                <w:kern w:val="0"/>
                <w:sz w:val="21"/>
                <w:szCs w:val="21"/>
                <w:lang w:bidi="ar"/>
              </w:rPr>
            </w:pPr>
            <w:r>
              <w:t>社会保障和就业支出</w:t>
            </w:r>
          </w:p>
        </w:tc>
        <w:tc>
          <w:tcPr>
            <w:tcW w:w="577" w:type="pct"/>
            <w:tcBorders>
              <w:top w:val="nil"/>
              <w:left w:val="nil"/>
              <w:bottom w:val="single" w:color="000000" w:sz="4" w:space="0"/>
              <w:right w:val="single" w:color="000000" w:sz="4" w:space="0"/>
            </w:tcBorders>
            <w:noWrap/>
            <w:vAlign w:val="center"/>
          </w:tcPr>
          <w:p w14:paraId="498AB19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2.60</w:t>
            </w:r>
          </w:p>
        </w:tc>
        <w:tc>
          <w:tcPr>
            <w:tcW w:w="612" w:type="pct"/>
            <w:tcBorders>
              <w:top w:val="nil"/>
              <w:left w:val="nil"/>
              <w:bottom w:val="single" w:color="000000" w:sz="4" w:space="0"/>
              <w:right w:val="single" w:color="000000" w:sz="4" w:space="0"/>
            </w:tcBorders>
            <w:noWrap/>
            <w:vAlign w:val="center"/>
          </w:tcPr>
          <w:p w14:paraId="08A883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2.60</w:t>
            </w:r>
          </w:p>
        </w:tc>
        <w:tc>
          <w:tcPr>
            <w:tcW w:w="602" w:type="pct"/>
            <w:tcBorders>
              <w:top w:val="nil"/>
              <w:left w:val="nil"/>
              <w:bottom w:val="single" w:color="000000" w:sz="4" w:space="0"/>
              <w:right w:val="single" w:color="000000" w:sz="4" w:space="0"/>
            </w:tcBorders>
            <w:noWrap/>
            <w:vAlign w:val="center"/>
          </w:tcPr>
          <w:p w14:paraId="57EF5DC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041C07B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6DFDF5A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85857D8">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13C03CE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02A4C33F">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43F0112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1.66</w:t>
            </w:r>
          </w:p>
        </w:tc>
        <w:tc>
          <w:tcPr>
            <w:tcW w:w="612" w:type="pct"/>
            <w:tcBorders>
              <w:top w:val="nil"/>
              <w:left w:val="nil"/>
              <w:bottom w:val="single" w:color="000000" w:sz="4" w:space="0"/>
              <w:right w:val="single" w:color="000000" w:sz="4" w:space="0"/>
            </w:tcBorders>
            <w:noWrap/>
            <w:vAlign w:val="center"/>
          </w:tcPr>
          <w:p w14:paraId="5031F31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1.66</w:t>
            </w:r>
          </w:p>
        </w:tc>
        <w:tc>
          <w:tcPr>
            <w:tcW w:w="602" w:type="pct"/>
            <w:tcBorders>
              <w:top w:val="nil"/>
              <w:left w:val="nil"/>
              <w:bottom w:val="single" w:color="000000" w:sz="4" w:space="0"/>
              <w:right w:val="single" w:color="000000" w:sz="4" w:space="0"/>
            </w:tcBorders>
            <w:noWrap/>
            <w:vAlign w:val="center"/>
          </w:tcPr>
          <w:p w14:paraId="267623F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6096FF7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151CAE1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E19D14A">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3BB7B2B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081F414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59BC35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286EB6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A6A234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46FD6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2E03B6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82AEB6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7ADEA6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87022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C9404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2B7268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EBCFE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1C3A6E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B0BF1A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CC43C7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4F8C91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B14E4D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C1A45E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63C30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3C2C71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8C828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DFD5DE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17D19B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563C2B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4ABFD3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4CF336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1667D5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A88EC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DF9BCD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07F915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4513CA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489BD6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685A0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18F5C8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F3F2C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C6CDA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8B0DD0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55448C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74F3A3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E69E32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0E996D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E294A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31F88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CE841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24CE63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510501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6D2EFF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9E3862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663EF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64EB8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AC88AA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E7FA89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B446F0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85F1DC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962EDA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3B290C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23859E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2F1534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AA9BAD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F47D80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47A06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0722FD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DD82DE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23831E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11F8C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45A73C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60FC19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CE2BBF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B7D61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4DC91A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6B2DF9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91D7F2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AF1D45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28313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380268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FCB9E1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84448B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4BC566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AE4B76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486291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DFC0C3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F63F45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DFC3E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2621B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C8139C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492430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800381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E5E858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1633F4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A52AE0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09DFE6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0DCCC5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17841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04727A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DB0271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E9FF90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87875A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9211BB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AEB5F8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8DEB35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66DBDA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BC3260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2DB3BA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DCA5F6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D486FD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90B1B7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91EC3D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383081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E9F4A7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08BE82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80FA6F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51636F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2B2CE7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FEACB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E5D244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95F85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5DD87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05D5CE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153D65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2B6DA9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884852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75E401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8E57F7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3E742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3F92B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5264DC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0AD3D1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547CBD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2FA498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D41A7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1B7ED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45D88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5A3C6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80FCBA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733776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6FA170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7F6F7B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DED010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2B1E14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ED273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437F9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1EF30E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C000DD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077BCA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4B7E74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C56572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CC593E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E468C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7CBC5E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0AFC97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434253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05A4C4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8430D8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C2AC60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68CEDC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081606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3E7280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FAA2D5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3912FF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A24401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F4BD47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91A731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510B8C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EF830B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D68C40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ACC17E1">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622569F4">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0C4872E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00A287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058FAF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47FE9F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D63B21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9C0487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55C598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7C9BB6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A65ABE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74919E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F29C4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55BA7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D889F5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4A00A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18A7DC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67FEFB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65371C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75D5CA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EA5AD4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33068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A73B0E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2FD569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0EC6B1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0CE759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777BF51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1643589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21852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14C85A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628E3F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69BFD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DB2299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A86C75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065863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15A55E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5B33C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C5D752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25C3D6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39A40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4CEE37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0270806">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0B896F1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auto" w:sz="4" w:space="0"/>
              <w:right w:val="single" w:color="000000" w:sz="4" w:space="0"/>
            </w:tcBorders>
            <w:noWrap/>
            <w:vAlign w:val="center"/>
          </w:tcPr>
          <w:p w14:paraId="1D47B7A1">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7D59DE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4DEC18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70619F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920B3D4">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3741E25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19664BD6">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514AEDF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6DCE09B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019FEE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6D1FD02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2DDB032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0B1D5BBD">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5D355996">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54D47D9D">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05F74D2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43101AB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4DCE4A9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465D645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1ACA1B2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021895FF">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7972C8C2">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414DA3A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2FE009B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69.29</w:t>
            </w:r>
          </w:p>
        </w:tc>
        <w:tc>
          <w:tcPr>
            <w:tcW w:w="948" w:type="pct"/>
            <w:tcBorders>
              <w:top w:val="single" w:color="auto" w:sz="4" w:space="0"/>
              <w:left w:val="single" w:color="auto" w:sz="4" w:space="0"/>
              <w:bottom w:val="single" w:color="auto" w:sz="4" w:space="0"/>
              <w:right w:val="single" w:color="auto" w:sz="4" w:space="0"/>
            </w:tcBorders>
            <w:noWrap/>
            <w:vAlign w:val="center"/>
          </w:tcPr>
          <w:p w14:paraId="0659A5A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5BCD8D6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69.29</w:t>
            </w:r>
          </w:p>
        </w:tc>
        <w:tc>
          <w:tcPr>
            <w:tcW w:w="612" w:type="pct"/>
            <w:tcBorders>
              <w:top w:val="single" w:color="auto" w:sz="4" w:space="0"/>
              <w:left w:val="single" w:color="auto" w:sz="4" w:space="0"/>
              <w:bottom w:val="single" w:color="auto" w:sz="4" w:space="0"/>
              <w:right w:val="single" w:color="auto" w:sz="4" w:space="0"/>
            </w:tcBorders>
            <w:noWrap/>
            <w:vAlign w:val="center"/>
          </w:tcPr>
          <w:p w14:paraId="702556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69.29</w:t>
            </w:r>
          </w:p>
        </w:tc>
        <w:tc>
          <w:tcPr>
            <w:tcW w:w="602" w:type="pct"/>
            <w:tcBorders>
              <w:top w:val="single" w:color="auto" w:sz="4" w:space="0"/>
              <w:left w:val="single" w:color="auto" w:sz="4" w:space="0"/>
              <w:bottom w:val="single" w:color="auto" w:sz="4" w:space="0"/>
              <w:right w:val="single" w:color="auto" w:sz="4" w:space="0"/>
            </w:tcBorders>
            <w:noWrap/>
            <w:vAlign w:val="center"/>
          </w:tcPr>
          <w:p w14:paraId="7E7A7D5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48B0306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322D6279">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5C7CFA86">
        <w:tblPrEx>
          <w:tblCellMar>
            <w:top w:w="0" w:type="dxa"/>
            <w:left w:w="108" w:type="dxa"/>
            <w:bottom w:w="0" w:type="dxa"/>
            <w:right w:w="108" w:type="dxa"/>
          </w:tblCellMar>
        </w:tblPrEx>
        <w:trPr>
          <w:trHeight w:val="585" w:hRule="atLeast"/>
          <w:tblHeader/>
        </w:trPr>
        <w:tc>
          <w:tcPr>
            <w:tcW w:w="5000" w:type="pct"/>
            <w:gridSpan w:val="5"/>
            <w:noWrap/>
            <w:vAlign w:val="center"/>
          </w:tcPr>
          <w:p w14:paraId="6F59224C">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0EC05E72">
        <w:tblPrEx>
          <w:tblCellMar>
            <w:top w:w="0" w:type="dxa"/>
            <w:left w:w="108" w:type="dxa"/>
            <w:bottom w:w="0" w:type="dxa"/>
            <w:right w:w="108" w:type="dxa"/>
          </w:tblCellMar>
        </w:tblPrEx>
        <w:trPr>
          <w:trHeight w:val="420" w:hRule="atLeast"/>
          <w:tblHeader/>
        </w:trPr>
        <w:tc>
          <w:tcPr>
            <w:tcW w:w="2433" w:type="pct"/>
            <w:gridSpan w:val="2"/>
            <w:noWrap/>
            <w:vAlign w:val="center"/>
          </w:tcPr>
          <w:p w14:paraId="163EEC77">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201113兴国县第十四幼儿园</w:t>
            </w:r>
          </w:p>
        </w:tc>
        <w:tc>
          <w:tcPr>
            <w:tcW w:w="1056" w:type="pct"/>
            <w:noWrap/>
            <w:vAlign w:val="bottom"/>
          </w:tcPr>
          <w:p w14:paraId="7C19501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48A7D42F">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13AF6209">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4A411279">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71373D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05EC15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759C7322">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26E49B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5DAD95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4CED6F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6B4875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3EBE29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08FDE388">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14FFD8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5B6181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327164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6437E844">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39A3C3A7">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1E63011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9A14995">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205E20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3B0600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69.29</w:t>
            </w:r>
          </w:p>
        </w:tc>
        <w:tc>
          <w:tcPr>
            <w:tcW w:w="684" w:type="pct"/>
            <w:tcBorders>
              <w:top w:val="single" w:color="000000" w:sz="4" w:space="0"/>
              <w:left w:val="nil"/>
              <w:bottom w:val="single" w:color="000000" w:sz="4" w:space="0"/>
              <w:right w:val="single" w:color="000000" w:sz="4" w:space="0"/>
            </w:tcBorders>
            <w:noWrap/>
            <w:vAlign w:val="center"/>
          </w:tcPr>
          <w:p w14:paraId="731D7E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62.09</w:t>
            </w:r>
          </w:p>
        </w:tc>
        <w:tc>
          <w:tcPr>
            <w:tcW w:w="825" w:type="pct"/>
            <w:tcBorders>
              <w:top w:val="single" w:color="000000" w:sz="4" w:space="0"/>
              <w:left w:val="nil"/>
              <w:bottom w:val="single" w:color="000000" w:sz="4" w:space="0"/>
              <w:right w:val="single" w:color="000000" w:sz="4" w:space="0"/>
            </w:tcBorders>
            <w:noWrap/>
            <w:vAlign w:val="center"/>
          </w:tcPr>
          <w:p w14:paraId="69FC23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7.20</w:t>
            </w:r>
          </w:p>
        </w:tc>
      </w:tr>
      <w:tr w14:paraId="4FEBD83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E3854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579" w:type="pct"/>
            <w:tcBorders>
              <w:top w:val="single" w:color="000000" w:sz="4" w:space="0"/>
              <w:left w:val="nil"/>
              <w:bottom w:val="single" w:color="000000" w:sz="4" w:space="0"/>
              <w:right w:val="single" w:color="000000" w:sz="4" w:space="0"/>
            </w:tcBorders>
            <w:noWrap/>
            <w:vAlign w:val="center"/>
          </w:tcPr>
          <w:p w14:paraId="222E15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1056" w:type="pct"/>
            <w:tcBorders>
              <w:top w:val="single" w:color="000000" w:sz="4" w:space="0"/>
              <w:left w:val="nil"/>
              <w:bottom w:val="single" w:color="000000" w:sz="4" w:space="0"/>
              <w:right w:val="single" w:color="000000" w:sz="4" w:space="0"/>
            </w:tcBorders>
            <w:noWrap/>
            <w:vAlign w:val="center"/>
          </w:tcPr>
          <w:p w14:paraId="7C946C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65.03</w:t>
            </w:r>
          </w:p>
        </w:tc>
        <w:tc>
          <w:tcPr>
            <w:tcW w:w="684" w:type="pct"/>
            <w:tcBorders>
              <w:top w:val="single" w:color="000000" w:sz="4" w:space="0"/>
              <w:left w:val="nil"/>
              <w:bottom w:val="single" w:color="000000" w:sz="4" w:space="0"/>
              <w:right w:val="single" w:color="000000" w:sz="4" w:space="0"/>
            </w:tcBorders>
            <w:noWrap/>
            <w:vAlign w:val="center"/>
          </w:tcPr>
          <w:p w14:paraId="13E51F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57.83</w:t>
            </w:r>
          </w:p>
        </w:tc>
        <w:tc>
          <w:tcPr>
            <w:tcW w:w="825" w:type="pct"/>
            <w:tcBorders>
              <w:top w:val="single" w:color="000000" w:sz="4" w:space="0"/>
              <w:left w:val="nil"/>
              <w:bottom w:val="single" w:color="000000" w:sz="4" w:space="0"/>
              <w:right w:val="single" w:color="000000" w:sz="4" w:space="0"/>
            </w:tcBorders>
            <w:noWrap/>
            <w:vAlign w:val="center"/>
          </w:tcPr>
          <w:p w14:paraId="2F2592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7.20</w:t>
            </w:r>
          </w:p>
        </w:tc>
      </w:tr>
      <w:tr w14:paraId="7811162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FE0BD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20502</w:t>
            </w:r>
          </w:p>
        </w:tc>
        <w:tc>
          <w:tcPr>
            <w:tcW w:w="1579" w:type="pct"/>
            <w:tcBorders>
              <w:top w:val="single" w:color="000000" w:sz="4" w:space="0"/>
              <w:left w:val="nil"/>
              <w:bottom w:val="single" w:color="000000" w:sz="4" w:space="0"/>
              <w:right w:val="single" w:color="000000" w:sz="4" w:space="0"/>
            </w:tcBorders>
            <w:noWrap/>
            <w:vAlign w:val="center"/>
          </w:tcPr>
          <w:p w14:paraId="35A5E1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普通教育</w:t>
            </w:r>
          </w:p>
        </w:tc>
        <w:tc>
          <w:tcPr>
            <w:tcW w:w="1056" w:type="pct"/>
            <w:tcBorders>
              <w:top w:val="single" w:color="000000" w:sz="4" w:space="0"/>
              <w:left w:val="nil"/>
              <w:bottom w:val="single" w:color="000000" w:sz="4" w:space="0"/>
              <w:right w:val="single" w:color="000000" w:sz="4" w:space="0"/>
            </w:tcBorders>
            <w:noWrap/>
            <w:vAlign w:val="center"/>
          </w:tcPr>
          <w:p w14:paraId="793BA0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65.03</w:t>
            </w:r>
          </w:p>
        </w:tc>
        <w:tc>
          <w:tcPr>
            <w:tcW w:w="684" w:type="pct"/>
            <w:tcBorders>
              <w:top w:val="single" w:color="000000" w:sz="4" w:space="0"/>
              <w:left w:val="nil"/>
              <w:bottom w:val="single" w:color="000000" w:sz="4" w:space="0"/>
              <w:right w:val="single" w:color="000000" w:sz="4" w:space="0"/>
            </w:tcBorders>
            <w:noWrap/>
            <w:vAlign w:val="center"/>
          </w:tcPr>
          <w:p w14:paraId="1B8D7D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57.83</w:t>
            </w:r>
          </w:p>
        </w:tc>
        <w:tc>
          <w:tcPr>
            <w:tcW w:w="825" w:type="pct"/>
            <w:tcBorders>
              <w:top w:val="single" w:color="000000" w:sz="4" w:space="0"/>
              <w:left w:val="nil"/>
              <w:bottom w:val="single" w:color="000000" w:sz="4" w:space="0"/>
              <w:right w:val="single" w:color="000000" w:sz="4" w:space="0"/>
            </w:tcBorders>
            <w:noWrap/>
            <w:vAlign w:val="center"/>
          </w:tcPr>
          <w:p w14:paraId="1BEA6F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7.20</w:t>
            </w:r>
          </w:p>
        </w:tc>
      </w:tr>
      <w:tr w14:paraId="5A1F52A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1BCE9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2050201</w:t>
            </w:r>
          </w:p>
        </w:tc>
        <w:tc>
          <w:tcPr>
            <w:tcW w:w="1579" w:type="pct"/>
            <w:tcBorders>
              <w:top w:val="single" w:color="000000" w:sz="4" w:space="0"/>
              <w:left w:val="nil"/>
              <w:bottom w:val="single" w:color="000000" w:sz="4" w:space="0"/>
              <w:right w:val="single" w:color="000000" w:sz="4" w:space="0"/>
            </w:tcBorders>
            <w:noWrap/>
            <w:vAlign w:val="center"/>
          </w:tcPr>
          <w:p w14:paraId="4238B8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学前教育</w:t>
            </w:r>
          </w:p>
        </w:tc>
        <w:tc>
          <w:tcPr>
            <w:tcW w:w="1056" w:type="pct"/>
            <w:tcBorders>
              <w:top w:val="single" w:color="000000" w:sz="4" w:space="0"/>
              <w:left w:val="nil"/>
              <w:bottom w:val="single" w:color="000000" w:sz="4" w:space="0"/>
              <w:right w:val="single" w:color="000000" w:sz="4" w:space="0"/>
            </w:tcBorders>
            <w:noWrap/>
            <w:vAlign w:val="center"/>
          </w:tcPr>
          <w:p w14:paraId="00CE6E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65.03</w:t>
            </w:r>
          </w:p>
        </w:tc>
        <w:tc>
          <w:tcPr>
            <w:tcW w:w="684" w:type="pct"/>
            <w:tcBorders>
              <w:top w:val="single" w:color="000000" w:sz="4" w:space="0"/>
              <w:left w:val="nil"/>
              <w:bottom w:val="single" w:color="000000" w:sz="4" w:space="0"/>
              <w:right w:val="single" w:color="000000" w:sz="4" w:space="0"/>
            </w:tcBorders>
            <w:noWrap/>
            <w:vAlign w:val="center"/>
          </w:tcPr>
          <w:p w14:paraId="4CC03D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57.83</w:t>
            </w:r>
          </w:p>
        </w:tc>
        <w:tc>
          <w:tcPr>
            <w:tcW w:w="825" w:type="pct"/>
            <w:tcBorders>
              <w:top w:val="single" w:color="000000" w:sz="4" w:space="0"/>
              <w:left w:val="nil"/>
              <w:bottom w:val="single" w:color="000000" w:sz="4" w:space="0"/>
              <w:right w:val="single" w:color="000000" w:sz="4" w:space="0"/>
            </w:tcBorders>
            <w:noWrap/>
            <w:vAlign w:val="center"/>
          </w:tcPr>
          <w:p w14:paraId="189AB2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7.20</w:t>
            </w:r>
          </w:p>
        </w:tc>
      </w:tr>
      <w:tr w14:paraId="594493D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D6EAD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6B9D9F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2FAFB6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2.60</w:t>
            </w:r>
          </w:p>
        </w:tc>
        <w:tc>
          <w:tcPr>
            <w:tcW w:w="684" w:type="pct"/>
            <w:tcBorders>
              <w:top w:val="single" w:color="000000" w:sz="4" w:space="0"/>
              <w:left w:val="nil"/>
              <w:bottom w:val="single" w:color="000000" w:sz="4" w:space="0"/>
              <w:right w:val="single" w:color="000000" w:sz="4" w:space="0"/>
            </w:tcBorders>
            <w:noWrap/>
            <w:vAlign w:val="center"/>
          </w:tcPr>
          <w:p w14:paraId="0460B8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2.60</w:t>
            </w:r>
          </w:p>
        </w:tc>
        <w:tc>
          <w:tcPr>
            <w:tcW w:w="825" w:type="pct"/>
            <w:tcBorders>
              <w:top w:val="single" w:color="000000" w:sz="4" w:space="0"/>
              <w:left w:val="nil"/>
              <w:bottom w:val="single" w:color="000000" w:sz="4" w:space="0"/>
              <w:right w:val="single" w:color="000000" w:sz="4" w:space="0"/>
            </w:tcBorders>
            <w:noWrap/>
            <w:vAlign w:val="center"/>
          </w:tcPr>
          <w:p w14:paraId="49C2C6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DF8BFA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FF76A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4E1EF9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38A4A0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2.46</w:t>
            </w:r>
          </w:p>
        </w:tc>
        <w:tc>
          <w:tcPr>
            <w:tcW w:w="684" w:type="pct"/>
            <w:tcBorders>
              <w:top w:val="single" w:color="000000" w:sz="4" w:space="0"/>
              <w:left w:val="nil"/>
              <w:bottom w:val="single" w:color="000000" w:sz="4" w:space="0"/>
              <w:right w:val="single" w:color="000000" w:sz="4" w:space="0"/>
            </w:tcBorders>
            <w:noWrap/>
            <w:vAlign w:val="center"/>
          </w:tcPr>
          <w:p w14:paraId="119A30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2.46</w:t>
            </w:r>
          </w:p>
        </w:tc>
        <w:tc>
          <w:tcPr>
            <w:tcW w:w="825" w:type="pct"/>
            <w:tcBorders>
              <w:top w:val="single" w:color="000000" w:sz="4" w:space="0"/>
              <w:left w:val="nil"/>
              <w:bottom w:val="single" w:color="000000" w:sz="4" w:space="0"/>
              <w:right w:val="single" w:color="000000" w:sz="4" w:space="0"/>
            </w:tcBorders>
            <w:noWrap/>
            <w:vAlign w:val="center"/>
          </w:tcPr>
          <w:p w14:paraId="42E58E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616379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8AE7B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0A32EB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11FD1C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2.46</w:t>
            </w:r>
          </w:p>
        </w:tc>
        <w:tc>
          <w:tcPr>
            <w:tcW w:w="684" w:type="pct"/>
            <w:tcBorders>
              <w:top w:val="single" w:color="000000" w:sz="4" w:space="0"/>
              <w:left w:val="nil"/>
              <w:bottom w:val="single" w:color="000000" w:sz="4" w:space="0"/>
              <w:right w:val="single" w:color="000000" w:sz="4" w:space="0"/>
            </w:tcBorders>
            <w:noWrap/>
            <w:vAlign w:val="center"/>
          </w:tcPr>
          <w:p w14:paraId="35B425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2.46</w:t>
            </w:r>
          </w:p>
        </w:tc>
        <w:tc>
          <w:tcPr>
            <w:tcW w:w="825" w:type="pct"/>
            <w:tcBorders>
              <w:top w:val="single" w:color="000000" w:sz="4" w:space="0"/>
              <w:left w:val="nil"/>
              <w:bottom w:val="single" w:color="000000" w:sz="4" w:space="0"/>
              <w:right w:val="single" w:color="000000" w:sz="4" w:space="0"/>
            </w:tcBorders>
            <w:noWrap/>
            <w:vAlign w:val="center"/>
          </w:tcPr>
          <w:p w14:paraId="2114AB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B2AAA8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81FA5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52A6AF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37A213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0.14</w:t>
            </w:r>
          </w:p>
        </w:tc>
        <w:tc>
          <w:tcPr>
            <w:tcW w:w="684" w:type="pct"/>
            <w:tcBorders>
              <w:top w:val="single" w:color="000000" w:sz="4" w:space="0"/>
              <w:left w:val="nil"/>
              <w:bottom w:val="single" w:color="000000" w:sz="4" w:space="0"/>
              <w:right w:val="single" w:color="000000" w:sz="4" w:space="0"/>
            </w:tcBorders>
            <w:noWrap/>
            <w:vAlign w:val="center"/>
          </w:tcPr>
          <w:p w14:paraId="7A89B9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0.14</w:t>
            </w:r>
          </w:p>
        </w:tc>
        <w:tc>
          <w:tcPr>
            <w:tcW w:w="825" w:type="pct"/>
            <w:tcBorders>
              <w:top w:val="single" w:color="000000" w:sz="4" w:space="0"/>
              <w:left w:val="nil"/>
              <w:bottom w:val="single" w:color="000000" w:sz="4" w:space="0"/>
              <w:right w:val="single" w:color="000000" w:sz="4" w:space="0"/>
            </w:tcBorders>
            <w:noWrap/>
            <w:vAlign w:val="center"/>
          </w:tcPr>
          <w:p w14:paraId="08AD35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28F9BB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F86C0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17F5A8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358106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0.14</w:t>
            </w:r>
          </w:p>
        </w:tc>
        <w:tc>
          <w:tcPr>
            <w:tcW w:w="684" w:type="pct"/>
            <w:tcBorders>
              <w:top w:val="single" w:color="000000" w:sz="4" w:space="0"/>
              <w:left w:val="nil"/>
              <w:bottom w:val="single" w:color="000000" w:sz="4" w:space="0"/>
              <w:right w:val="single" w:color="000000" w:sz="4" w:space="0"/>
            </w:tcBorders>
            <w:noWrap/>
            <w:vAlign w:val="center"/>
          </w:tcPr>
          <w:p w14:paraId="2879FE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0.14</w:t>
            </w:r>
          </w:p>
        </w:tc>
        <w:tc>
          <w:tcPr>
            <w:tcW w:w="825" w:type="pct"/>
            <w:tcBorders>
              <w:top w:val="single" w:color="000000" w:sz="4" w:space="0"/>
              <w:left w:val="nil"/>
              <w:bottom w:val="single" w:color="000000" w:sz="4" w:space="0"/>
              <w:right w:val="single" w:color="000000" w:sz="4" w:space="0"/>
            </w:tcBorders>
            <w:noWrap/>
            <w:vAlign w:val="center"/>
          </w:tcPr>
          <w:p w14:paraId="465590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24B3D5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9252A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62F21F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67965B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1.66</w:t>
            </w:r>
          </w:p>
        </w:tc>
        <w:tc>
          <w:tcPr>
            <w:tcW w:w="684" w:type="pct"/>
            <w:tcBorders>
              <w:top w:val="single" w:color="000000" w:sz="4" w:space="0"/>
              <w:left w:val="nil"/>
              <w:bottom w:val="single" w:color="000000" w:sz="4" w:space="0"/>
              <w:right w:val="single" w:color="000000" w:sz="4" w:space="0"/>
            </w:tcBorders>
            <w:noWrap/>
            <w:vAlign w:val="center"/>
          </w:tcPr>
          <w:p w14:paraId="560605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1.66</w:t>
            </w:r>
          </w:p>
        </w:tc>
        <w:tc>
          <w:tcPr>
            <w:tcW w:w="825" w:type="pct"/>
            <w:tcBorders>
              <w:top w:val="single" w:color="000000" w:sz="4" w:space="0"/>
              <w:left w:val="nil"/>
              <w:bottom w:val="single" w:color="000000" w:sz="4" w:space="0"/>
              <w:right w:val="single" w:color="000000" w:sz="4" w:space="0"/>
            </w:tcBorders>
            <w:noWrap/>
            <w:vAlign w:val="center"/>
          </w:tcPr>
          <w:p w14:paraId="71FA9D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620696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9D8DB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231E31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612E8C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1.66</w:t>
            </w:r>
          </w:p>
        </w:tc>
        <w:tc>
          <w:tcPr>
            <w:tcW w:w="684" w:type="pct"/>
            <w:tcBorders>
              <w:top w:val="single" w:color="000000" w:sz="4" w:space="0"/>
              <w:left w:val="nil"/>
              <w:bottom w:val="single" w:color="000000" w:sz="4" w:space="0"/>
              <w:right w:val="single" w:color="000000" w:sz="4" w:space="0"/>
            </w:tcBorders>
            <w:noWrap/>
            <w:vAlign w:val="center"/>
          </w:tcPr>
          <w:p w14:paraId="18BD91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1.66</w:t>
            </w:r>
          </w:p>
        </w:tc>
        <w:tc>
          <w:tcPr>
            <w:tcW w:w="825" w:type="pct"/>
            <w:tcBorders>
              <w:top w:val="single" w:color="000000" w:sz="4" w:space="0"/>
              <w:left w:val="nil"/>
              <w:bottom w:val="single" w:color="000000" w:sz="4" w:space="0"/>
              <w:right w:val="single" w:color="000000" w:sz="4" w:space="0"/>
            </w:tcBorders>
            <w:noWrap/>
            <w:vAlign w:val="center"/>
          </w:tcPr>
          <w:p w14:paraId="43F4AE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F1CDB4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AD3BC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0B1562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6ED123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1.05</w:t>
            </w:r>
          </w:p>
        </w:tc>
        <w:tc>
          <w:tcPr>
            <w:tcW w:w="684" w:type="pct"/>
            <w:tcBorders>
              <w:top w:val="single" w:color="000000" w:sz="4" w:space="0"/>
              <w:left w:val="nil"/>
              <w:bottom w:val="single" w:color="000000" w:sz="4" w:space="0"/>
              <w:right w:val="single" w:color="000000" w:sz="4" w:space="0"/>
            </w:tcBorders>
            <w:noWrap/>
            <w:vAlign w:val="center"/>
          </w:tcPr>
          <w:p w14:paraId="16EE89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1.05</w:t>
            </w:r>
          </w:p>
        </w:tc>
        <w:tc>
          <w:tcPr>
            <w:tcW w:w="825" w:type="pct"/>
            <w:tcBorders>
              <w:top w:val="single" w:color="000000" w:sz="4" w:space="0"/>
              <w:left w:val="nil"/>
              <w:bottom w:val="single" w:color="000000" w:sz="4" w:space="0"/>
              <w:right w:val="single" w:color="000000" w:sz="4" w:space="0"/>
            </w:tcBorders>
            <w:noWrap/>
            <w:vAlign w:val="center"/>
          </w:tcPr>
          <w:p w14:paraId="72E8AD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2ADE26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3DB1B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4FBEAC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04D754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0.61</w:t>
            </w:r>
          </w:p>
        </w:tc>
        <w:tc>
          <w:tcPr>
            <w:tcW w:w="684" w:type="pct"/>
            <w:tcBorders>
              <w:top w:val="single" w:color="000000" w:sz="4" w:space="0"/>
              <w:left w:val="nil"/>
              <w:bottom w:val="single" w:color="000000" w:sz="4" w:space="0"/>
              <w:right w:val="single" w:color="000000" w:sz="4" w:space="0"/>
            </w:tcBorders>
            <w:noWrap/>
            <w:vAlign w:val="center"/>
          </w:tcPr>
          <w:p w14:paraId="475112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0.61</w:t>
            </w:r>
          </w:p>
        </w:tc>
        <w:tc>
          <w:tcPr>
            <w:tcW w:w="825" w:type="pct"/>
            <w:tcBorders>
              <w:top w:val="single" w:color="000000" w:sz="4" w:space="0"/>
              <w:left w:val="nil"/>
              <w:bottom w:val="single" w:color="000000" w:sz="4" w:space="0"/>
              <w:right w:val="single" w:color="000000" w:sz="4" w:space="0"/>
            </w:tcBorders>
            <w:noWrap/>
            <w:vAlign w:val="center"/>
          </w:tcPr>
          <w:p w14:paraId="630DDA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09DB3078">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55079527">
        <w:tblPrEx>
          <w:tblCellMar>
            <w:top w:w="0" w:type="dxa"/>
            <w:left w:w="108" w:type="dxa"/>
            <w:bottom w:w="0" w:type="dxa"/>
            <w:right w:w="108" w:type="dxa"/>
          </w:tblCellMar>
        </w:tblPrEx>
        <w:trPr>
          <w:trHeight w:val="585" w:hRule="atLeast"/>
        </w:trPr>
        <w:tc>
          <w:tcPr>
            <w:tcW w:w="5000" w:type="pct"/>
            <w:gridSpan w:val="5"/>
            <w:noWrap/>
            <w:vAlign w:val="center"/>
          </w:tcPr>
          <w:p w14:paraId="2B2F36DB">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36B3E206">
        <w:tblPrEx>
          <w:tblCellMar>
            <w:top w:w="0" w:type="dxa"/>
            <w:left w:w="108" w:type="dxa"/>
            <w:bottom w:w="0" w:type="dxa"/>
            <w:right w:w="108" w:type="dxa"/>
          </w:tblCellMar>
        </w:tblPrEx>
        <w:trPr>
          <w:trHeight w:val="420" w:hRule="atLeast"/>
        </w:trPr>
        <w:tc>
          <w:tcPr>
            <w:tcW w:w="2398" w:type="pct"/>
            <w:gridSpan w:val="2"/>
            <w:noWrap/>
            <w:vAlign w:val="center"/>
          </w:tcPr>
          <w:p w14:paraId="461C6C7A">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201113兴国县第十四幼儿园</w:t>
            </w:r>
          </w:p>
        </w:tc>
        <w:tc>
          <w:tcPr>
            <w:tcW w:w="891" w:type="pct"/>
            <w:noWrap/>
            <w:vAlign w:val="bottom"/>
          </w:tcPr>
          <w:p w14:paraId="47EACD6E">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604DAAE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0F133433">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57CE6403">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4CB8C2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13DD8E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6912F8B7">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4AD033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2B752F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6F6752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39F035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2ABE4A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66E4688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36413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900C5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5D869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21CEA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4041B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06CD649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6E36A79">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F81DC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09F2E4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62.09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9D9E1C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62.09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87754D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7CC7564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31E17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A759D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4F6815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61.90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7444B4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61.90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014818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4CB87CD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9A3C9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2CDDF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6112AF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7.88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F4F960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7.88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4F2E4C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8D0DED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BF2DC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66640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79ED45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3.97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ACACC1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3.97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9C4C84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CC8598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828B4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5A47B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38CC16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0.64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7AD235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0.64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DEF284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E52C9B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859FE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E4170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绩效工资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4E12CF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9E8ACE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3.60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698262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156F9C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0CC80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A1B6A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CE8637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286D89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59F280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427EC2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D5557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2895B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80870D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9217DB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4EDB4D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3A3550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29202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0B817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2B0486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0.61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C0F3C2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0.61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F5925F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3C105C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D0FD1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43F1A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0F7B63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0.14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ED36AF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0.14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B41DB8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604942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4CA28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9C7A2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EDB79E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770507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B77131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85F445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8A6B3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C7B85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792486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39.54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7DDFA5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39.54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F5C5A9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A31CBF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70967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31FB7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B0D174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0.19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FE0A99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0.19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5497A1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08B6DF7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8CD4B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BED2F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B54A0E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0.19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5A24E3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0.19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CCB5B7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2E64336A">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6E3AB716">
        <w:tblPrEx>
          <w:tblCellMar>
            <w:top w:w="0" w:type="dxa"/>
            <w:left w:w="108" w:type="dxa"/>
            <w:bottom w:w="0" w:type="dxa"/>
            <w:right w:w="108" w:type="dxa"/>
          </w:tblCellMar>
        </w:tblPrEx>
        <w:trPr>
          <w:trHeight w:val="450" w:hRule="atLeast"/>
          <w:tblHeader/>
        </w:trPr>
        <w:tc>
          <w:tcPr>
            <w:tcW w:w="636" w:type="pct"/>
            <w:noWrap/>
            <w:vAlign w:val="bottom"/>
          </w:tcPr>
          <w:p w14:paraId="4560FB94">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3D201582">
            <w:pPr>
              <w:widowControl/>
              <w:jc w:val="left"/>
              <w:rPr>
                <w:rFonts w:ascii="Times New Roman" w:hAnsi="Times New Roman" w:eastAsia="宋体"/>
                <w:kern w:val="0"/>
                <w:sz w:val="20"/>
                <w:szCs w:val="20"/>
              </w:rPr>
            </w:pPr>
          </w:p>
        </w:tc>
        <w:tc>
          <w:tcPr>
            <w:tcW w:w="684" w:type="pct"/>
            <w:noWrap/>
            <w:vAlign w:val="bottom"/>
          </w:tcPr>
          <w:p w14:paraId="6F2AEA5D">
            <w:pPr>
              <w:widowControl/>
              <w:jc w:val="left"/>
              <w:rPr>
                <w:rFonts w:ascii="Times New Roman" w:hAnsi="Times New Roman" w:eastAsia="宋体"/>
                <w:kern w:val="0"/>
                <w:sz w:val="20"/>
                <w:szCs w:val="20"/>
              </w:rPr>
            </w:pPr>
          </w:p>
        </w:tc>
        <w:tc>
          <w:tcPr>
            <w:tcW w:w="538" w:type="pct"/>
            <w:noWrap/>
            <w:vAlign w:val="bottom"/>
          </w:tcPr>
          <w:p w14:paraId="20FD6BF4">
            <w:pPr>
              <w:widowControl/>
              <w:jc w:val="left"/>
              <w:rPr>
                <w:rFonts w:ascii="Times New Roman" w:hAnsi="Times New Roman" w:eastAsia="宋体"/>
                <w:kern w:val="0"/>
                <w:sz w:val="20"/>
                <w:szCs w:val="20"/>
              </w:rPr>
            </w:pPr>
          </w:p>
        </w:tc>
        <w:tc>
          <w:tcPr>
            <w:tcW w:w="2836" w:type="pct"/>
            <w:gridSpan w:val="5"/>
            <w:noWrap/>
            <w:vAlign w:val="center"/>
          </w:tcPr>
          <w:p w14:paraId="4ECFF2A6">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14A7DA29">
        <w:tblPrEx>
          <w:tblCellMar>
            <w:top w:w="0" w:type="dxa"/>
            <w:left w:w="108" w:type="dxa"/>
            <w:bottom w:w="0" w:type="dxa"/>
            <w:right w:w="108" w:type="dxa"/>
          </w:tblCellMar>
        </w:tblPrEx>
        <w:trPr>
          <w:trHeight w:val="485" w:hRule="atLeast"/>
          <w:tblHeader/>
        </w:trPr>
        <w:tc>
          <w:tcPr>
            <w:tcW w:w="5000" w:type="pct"/>
            <w:gridSpan w:val="9"/>
            <w:noWrap/>
            <w:vAlign w:val="center"/>
          </w:tcPr>
          <w:p w14:paraId="4F99C740">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33EBECE1">
        <w:tblPrEx>
          <w:tblCellMar>
            <w:top w:w="0" w:type="dxa"/>
            <w:left w:w="108" w:type="dxa"/>
            <w:bottom w:w="0" w:type="dxa"/>
            <w:right w:w="108" w:type="dxa"/>
          </w:tblCellMar>
        </w:tblPrEx>
        <w:trPr>
          <w:trHeight w:val="340" w:hRule="atLeast"/>
          <w:tblHeader/>
        </w:trPr>
        <w:tc>
          <w:tcPr>
            <w:tcW w:w="2163" w:type="pct"/>
            <w:gridSpan w:val="4"/>
            <w:noWrap/>
            <w:vAlign w:val="center"/>
          </w:tcPr>
          <w:p w14:paraId="57DA5F68">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201113兴国县第十四幼儿园</w:t>
            </w:r>
          </w:p>
        </w:tc>
        <w:tc>
          <w:tcPr>
            <w:tcW w:w="742" w:type="pct"/>
            <w:noWrap/>
            <w:vAlign w:val="bottom"/>
          </w:tcPr>
          <w:p w14:paraId="46DF0317">
            <w:pPr>
              <w:widowControl/>
              <w:jc w:val="left"/>
              <w:rPr>
                <w:rFonts w:ascii="Times New Roman" w:hAnsi="Times New Roman" w:eastAsia="宋体"/>
                <w:kern w:val="0"/>
                <w:sz w:val="20"/>
                <w:szCs w:val="20"/>
              </w:rPr>
            </w:pPr>
          </w:p>
        </w:tc>
        <w:tc>
          <w:tcPr>
            <w:tcW w:w="474" w:type="pct"/>
            <w:noWrap/>
            <w:vAlign w:val="bottom"/>
          </w:tcPr>
          <w:p w14:paraId="56806DCC">
            <w:pPr>
              <w:widowControl/>
              <w:jc w:val="left"/>
              <w:rPr>
                <w:rFonts w:ascii="Times New Roman" w:hAnsi="Times New Roman" w:eastAsia="宋体"/>
                <w:kern w:val="0"/>
                <w:sz w:val="20"/>
                <w:szCs w:val="20"/>
              </w:rPr>
            </w:pPr>
          </w:p>
        </w:tc>
        <w:tc>
          <w:tcPr>
            <w:tcW w:w="596" w:type="pct"/>
            <w:noWrap/>
            <w:vAlign w:val="bottom"/>
          </w:tcPr>
          <w:p w14:paraId="556CE48C">
            <w:pPr>
              <w:widowControl/>
              <w:jc w:val="left"/>
              <w:rPr>
                <w:rFonts w:ascii="Times New Roman" w:hAnsi="Times New Roman" w:eastAsia="宋体"/>
                <w:kern w:val="0"/>
                <w:sz w:val="20"/>
                <w:szCs w:val="20"/>
              </w:rPr>
            </w:pPr>
          </w:p>
        </w:tc>
        <w:tc>
          <w:tcPr>
            <w:tcW w:w="1023" w:type="pct"/>
            <w:gridSpan w:val="2"/>
            <w:noWrap/>
            <w:vAlign w:val="bottom"/>
          </w:tcPr>
          <w:p w14:paraId="5F196F7D">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7CBB72FF">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43EDDE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3D2F3A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3AF04A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052D6D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1DC847ED">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01350E8B">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3AFF67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481D68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7A539B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6224D587">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17E94D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785B92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579646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6EDB1FAC">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68B500C8">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74246B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7EB457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3615BA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728DD7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2D8E73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17786A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09D965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544BD3E5">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0C6D5A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0.80</w:t>
            </w:r>
          </w:p>
        </w:tc>
        <w:tc>
          <w:tcPr>
            <w:tcW w:w="684" w:type="pct"/>
            <w:tcBorders>
              <w:top w:val="single" w:color="000000" w:sz="4" w:space="0"/>
              <w:left w:val="nil"/>
              <w:bottom w:val="single" w:color="000000" w:sz="4" w:space="0"/>
              <w:right w:val="single" w:color="000000" w:sz="4" w:space="0"/>
            </w:tcBorders>
            <w:vAlign w:val="center"/>
          </w:tcPr>
          <w:p w14:paraId="5654D1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020641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3EC5D8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3EE208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0.80</w:t>
            </w:r>
          </w:p>
        </w:tc>
        <w:tc>
          <w:tcPr>
            <w:tcW w:w="596" w:type="pct"/>
            <w:tcBorders>
              <w:top w:val="single" w:color="000000" w:sz="4" w:space="0"/>
              <w:left w:val="single" w:color="000000" w:sz="4" w:space="0"/>
              <w:bottom w:val="single" w:color="000000" w:sz="4" w:space="0"/>
              <w:right w:val="nil"/>
            </w:tcBorders>
            <w:vAlign w:val="center"/>
          </w:tcPr>
          <w:p w14:paraId="5630E0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111B38C4">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53A652BF">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3B40AE64">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467674EC">
        <w:tblPrEx>
          <w:tblCellMar>
            <w:top w:w="0" w:type="dxa"/>
            <w:left w:w="108" w:type="dxa"/>
            <w:bottom w:w="0" w:type="dxa"/>
            <w:right w:w="108" w:type="dxa"/>
          </w:tblCellMar>
        </w:tblPrEx>
        <w:trPr>
          <w:trHeight w:val="507" w:hRule="atLeast"/>
          <w:tblHeader/>
        </w:trPr>
        <w:tc>
          <w:tcPr>
            <w:tcW w:w="976" w:type="pct"/>
            <w:noWrap/>
            <w:vAlign w:val="bottom"/>
          </w:tcPr>
          <w:p w14:paraId="79BDAFBB">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002E85C0">
            <w:pPr>
              <w:widowControl/>
              <w:jc w:val="left"/>
              <w:rPr>
                <w:rFonts w:ascii="Times New Roman" w:hAnsi="Times New Roman" w:eastAsia="宋体"/>
                <w:kern w:val="0"/>
                <w:sz w:val="20"/>
                <w:szCs w:val="20"/>
              </w:rPr>
            </w:pPr>
          </w:p>
        </w:tc>
        <w:tc>
          <w:tcPr>
            <w:tcW w:w="2801" w:type="pct"/>
            <w:gridSpan w:val="3"/>
            <w:noWrap/>
            <w:vAlign w:val="center"/>
          </w:tcPr>
          <w:p w14:paraId="59331B45">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7E941A49">
        <w:tblPrEx>
          <w:tblCellMar>
            <w:top w:w="0" w:type="dxa"/>
            <w:left w:w="108" w:type="dxa"/>
            <w:bottom w:w="0" w:type="dxa"/>
            <w:right w:w="108" w:type="dxa"/>
          </w:tblCellMar>
        </w:tblPrEx>
        <w:trPr>
          <w:trHeight w:val="564" w:hRule="atLeast"/>
          <w:tblHeader/>
        </w:trPr>
        <w:tc>
          <w:tcPr>
            <w:tcW w:w="5000" w:type="pct"/>
            <w:gridSpan w:val="5"/>
            <w:noWrap/>
            <w:vAlign w:val="center"/>
          </w:tcPr>
          <w:p w14:paraId="698FBDB0">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1B4722FB">
        <w:tblPrEx>
          <w:tblCellMar>
            <w:top w:w="0" w:type="dxa"/>
            <w:left w:w="108" w:type="dxa"/>
            <w:bottom w:w="0" w:type="dxa"/>
            <w:right w:w="108" w:type="dxa"/>
          </w:tblCellMar>
        </w:tblPrEx>
        <w:trPr>
          <w:trHeight w:val="405" w:hRule="atLeast"/>
          <w:tblHeader/>
        </w:trPr>
        <w:tc>
          <w:tcPr>
            <w:tcW w:w="2198" w:type="pct"/>
            <w:gridSpan w:val="2"/>
            <w:noWrap/>
            <w:vAlign w:val="center"/>
          </w:tcPr>
          <w:p w14:paraId="17E9524A">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201113兴国县第十四幼儿园</w:t>
            </w:r>
          </w:p>
        </w:tc>
        <w:tc>
          <w:tcPr>
            <w:tcW w:w="1099" w:type="pct"/>
            <w:noWrap/>
            <w:vAlign w:val="bottom"/>
          </w:tcPr>
          <w:p w14:paraId="4CFF7455">
            <w:pPr>
              <w:rPr>
                <w:rFonts w:hint="eastAsia" w:ascii="宋体" w:hAnsi="宋体" w:eastAsia="宋体" w:cs="Arial"/>
                <w:color w:val="000000"/>
                <w:kern w:val="0"/>
                <w:sz w:val="24"/>
                <w:szCs w:val="24"/>
              </w:rPr>
            </w:pPr>
          </w:p>
        </w:tc>
        <w:tc>
          <w:tcPr>
            <w:tcW w:w="766" w:type="pct"/>
            <w:noWrap/>
            <w:vAlign w:val="bottom"/>
          </w:tcPr>
          <w:p w14:paraId="68BD1FE4">
            <w:pPr>
              <w:widowControl/>
              <w:jc w:val="left"/>
              <w:rPr>
                <w:rFonts w:ascii="Times New Roman" w:hAnsi="Times New Roman" w:eastAsia="宋体"/>
                <w:kern w:val="0"/>
                <w:sz w:val="20"/>
                <w:szCs w:val="20"/>
              </w:rPr>
            </w:pPr>
          </w:p>
        </w:tc>
        <w:tc>
          <w:tcPr>
            <w:tcW w:w="935" w:type="pct"/>
            <w:noWrap/>
            <w:vAlign w:val="center"/>
          </w:tcPr>
          <w:p w14:paraId="1A9D6936">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34684191">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5CE2A4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0B629A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3E82A8AE">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47FBA8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72953A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2CC527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17DB38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78C3D1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086878E">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0CF019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376446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78C8B1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62032B7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7415D548">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7571F471">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300772BD">
        <w:tblPrEx>
          <w:tblCellMar>
            <w:top w:w="0" w:type="dxa"/>
            <w:left w:w="108" w:type="dxa"/>
            <w:bottom w:w="0" w:type="dxa"/>
            <w:right w:w="108" w:type="dxa"/>
          </w:tblCellMar>
        </w:tblPrEx>
        <w:trPr>
          <w:trHeight w:val="619" w:hRule="atLeast"/>
          <w:tblHeader/>
        </w:trPr>
        <w:tc>
          <w:tcPr>
            <w:tcW w:w="960" w:type="pct"/>
            <w:noWrap/>
            <w:vAlign w:val="bottom"/>
          </w:tcPr>
          <w:p w14:paraId="0D102F00">
            <w:pPr>
              <w:rPr>
                <w:rStyle w:val="12"/>
                <w:rFonts w:hint="eastAsia" w:ascii="仿宋" w:hAnsi="仿宋" w:eastAsia="仿宋"/>
                <w:bCs/>
                <w:sz w:val="32"/>
                <w:szCs w:val="32"/>
              </w:rPr>
            </w:pPr>
          </w:p>
        </w:tc>
        <w:tc>
          <w:tcPr>
            <w:tcW w:w="1233" w:type="pct"/>
            <w:noWrap/>
            <w:vAlign w:val="bottom"/>
          </w:tcPr>
          <w:p w14:paraId="7E0857B0">
            <w:pPr>
              <w:widowControl/>
              <w:jc w:val="left"/>
              <w:rPr>
                <w:rFonts w:ascii="Times New Roman" w:hAnsi="Times New Roman" w:eastAsia="宋体"/>
                <w:kern w:val="0"/>
                <w:sz w:val="20"/>
                <w:szCs w:val="20"/>
              </w:rPr>
            </w:pPr>
          </w:p>
        </w:tc>
        <w:tc>
          <w:tcPr>
            <w:tcW w:w="2805" w:type="pct"/>
            <w:gridSpan w:val="3"/>
            <w:noWrap/>
            <w:vAlign w:val="center"/>
          </w:tcPr>
          <w:p w14:paraId="272B9CC4">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40DBB06D">
        <w:tblPrEx>
          <w:tblCellMar>
            <w:top w:w="0" w:type="dxa"/>
            <w:left w:w="108" w:type="dxa"/>
            <w:bottom w:w="0" w:type="dxa"/>
            <w:right w:w="108" w:type="dxa"/>
          </w:tblCellMar>
        </w:tblPrEx>
        <w:trPr>
          <w:trHeight w:val="613" w:hRule="atLeast"/>
          <w:tblHeader/>
        </w:trPr>
        <w:tc>
          <w:tcPr>
            <w:tcW w:w="5000" w:type="pct"/>
            <w:gridSpan w:val="5"/>
            <w:noWrap/>
            <w:vAlign w:val="center"/>
          </w:tcPr>
          <w:p w14:paraId="6F32C4BD">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4F51C6D8">
        <w:tblPrEx>
          <w:tblCellMar>
            <w:top w:w="0" w:type="dxa"/>
            <w:left w:w="108" w:type="dxa"/>
            <w:bottom w:w="0" w:type="dxa"/>
            <w:right w:w="108" w:type="dxa"/>
          </w:tblCellMar>
        </w:tblPrEx>
        <w:trPr>
          <w:trHeight w:val="413" w:hRule="atLeast"/>
          <w:tblHeader/>
        </w:trPr>
        <w:tc>
          <w:tcPr>
            <w:tcW w:w="3282" w:type="pct"/>
            <w:gridSpan w:val="3"/>
            <w:noWrap/>
            <w:vAlign w:val="center"/>
          </w:tcPr>
          <w:p w14:paraId="5AD09509">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201113兴国县第十四幼儿园</w:t>
            </w:r>
          </w:p>
        </w:tc>
        <w:tc>
          <w:tcPr>
            <w:tcW w:w="762" w:type="pct"/>
            <w:noWrap/>
            <w:vAlign w:val="bottom"/>
          </w:tcPr>
          <w:p w14:paraId="662D82C8">
            <w:pPr>
              <w:widowControl/>
              <w:jc w:val="left"/>
              <w:rPr>
                <w:rFonts w:ascii="Times New Roman" w:hAnsi="Times New Roman" w:eastAsia="宋体"/>
                <w:kern w:val="0"/>
                <w:sz w:val="20"/>
                <w:szCs w:val="20"/>
              </w:rPr>
            </w:pPr>
          </w:p>
        </w:tc>
        <w:tc>
          <w:tcPr>
            <w:tcW w:w="954" w:type="pct"/>
            <w:noWrap/>
            <w:vAlign w:val="center"/>
          </w:tcPr>
          <w:p w14:paraId="148798B7">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11B4F028">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539545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6D0732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24EF10FE">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75C123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396640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36080E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08A31E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4623FC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712CA619">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7E7B24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372E66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4E6946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07C5186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4EC9126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3D2BF528">
      <w:pPr>
        <w:jc w:val="left"/>
        <w:rPr>
          <w:rStyle w:val="12"/>
          <w:rFonts w:hint="eastAsia" w:ascii="仿宋" w:hAnsi="仿宋" w:eastAsia="仿宋"/>
          <w:bCs/>
          <w:sz w:val="32"/>
          <w:szCs w:val="32"/>
        </w:rPr>
      </w:pPr>
    </w:p>
    <w:p w14:paraId="326557A4">
      <w:pPr>
        <w:jc w:val="left"/>
        <w:rPr>
          <w:rStyle w:val="12"/>
          <w:rFonts w:hint="eastAsia" w:ascii="仿宋" w:hAnsi="仿宋" w:eastAsia="仿宋"/>
          <w:bCs/>
          <w:sz w:val="32"/>
          <w:szCs w:val="32"/>
        </w:rPr>
      </w:pPr>
    </w:p>
    <w:p w14:paraId="6BAF09B4">
      <w:pPr>
        <w:jc w:val="left"/>
        <w:rPr>
          <w:rStyle w:val="12"/>
          <w:rFonts w:hint="eastAsia" w:ascii="仿宋" w:hAnsi="仿宋" w:eastAsia="仿宋"/>
          <w:bCs/>
          <w:sz w:val="32"/>
          <w:szCs w:val="32"/>
        </w:rPr>
      </w:pPr>
    </w:p>
    <w:p w14:paraId="69B6A7F8">
      <w:pPr>
        <w:jc w:val="left"/>
        <w:rPr>
          <w:rStyle w:val="12"/>
          <w:rFonts w:hint="eastAsia" w:ascii="仿宋" w:hAnsi="仿宋" w:eastAsia="仿宋"/>
          <w:bCs/>
          <w:sz w:val="32"/>
          <w:szCs w:val="32"/>
        </w:rPr>
      </w:pPr>
    </w:p>
    <w:p w14:paraId="1A7B4530">
      <w:pPr>
        <w:jc w:val="left"/>
        <w:rPr>
          <w:rStyle w:val="12"/>
          <w:rFonts w:hint="eastAsia" w:ascii="仿宋" w:hAnsi="仿宋" w:eastAsia="仿宋"/>
          <w:bCs/>
          <w:sz w:val="32"/>
          <w:szCs w:val="32"/>
        </w:rPr>
      </w:pPr>
    </w:p>
    <w:p w14:paraId="2ADE32E8">
      <w:pPr>
        <w:jc w:val="left"/>
        <w:rPr>
          <w:rStyle w:val="12"/>
          <w:rFonts w:hint="eastAsia" w:ascii="仿宋" w:hAnsi="仿宋" w:eastAsia="仿宋"/>
          <w:bCs/>
          <w:sz w:val="32"/>
          <w:szCs w:val="32"/>
        </w:rPr>
      </w:pPr>
    </w:p>
    <w:p w14:paraId="2AFB5AB1">
      <w:pPr>
        <w:jc w:val="left"/>
        <w:rPr>
          <w:rStyle w:val="12"/>
          <w:rFonts w:hint="eastAsia" w:ascii="仿宋" w:hAnsi="仿宋" w:eastAsia="仿宋"/>
          <w:bCs/>
          <w:sz w:val="32"/>
          <w:szCs w:val="32"/>
        </w:rPr>
      </w:pPr>
    </w:p>
    <w:p w14:paraId="51126D95">
      <w:pPr>
        <w:jc w:val="left"/>
        <w:rPr>
          <w:rStyle w:val="12"/>
          <w:rFonts w:hint="eastAsia" w:ascii="仿宋" w:hAnsi="仿宋" w:eastAsia="仿宋"/>
          <w:bCs/>
          <w:sz w:val="32"/>
          <w:szCs w:val="32"/>
        </w:rPr>
      </w:pPr>
    </w:p>
    <w:p w14:paraId="1084DE04">
      <w:pPr>
        <w:jc w:val="left"/>
        <w:rPr>
          <w:rStyle w:val="12"/>
          <w:rFonts w:hint="eastAsia" w:ascii="仿宋" w:hAnsi="仿宋" w:eastAsia="仿宋"/>
          <w:bCs/>
          <w:sz w:val="32"/>
          <w:szCs w:val="32"/>
        </w:rPr>
      </w:pPr>
    </w:p>
    <w:p w14:paraId="4169F4EF">
      <w:pPr>
        <w:jc w:val="left"/>
        <w:rPr>
          <w:rStyle w:val="12"/>
          <w:rFonts w:hint="eastAsia" w:ascii="仿宋" w:hAnsi="仿宋" w:eastAsia="仿宋"/>
          <w:bCs/>
          <w:sz w:val="32"/>
          <w:szCs w:val="32"/>
        </w:rPr>
      </w:pPr>
    </w:p>
    <w:p w14:paraId="3C07532F">
      <w:pPr>
        <w:jc w:val="left"/>
        <w:rPr>
          <w:rStyle w:val="12"/>
          <w:rFonts w:hint="eastAsia" w:ascii="仿宋" w:hAnsi="仿宋" w:eastAsia="仿宋"/>
          <w:bCs/>
          <w:sz w:val="32"/>
          <w:szCs w:val="32"/>
        </w:rPr>
      </w:pPr>
    </w:p>
    <w:p w14:paraId="27DB1387">
      <w:pPr>
        <w:jc w:val="left"/>
        <w:rPr>
          <w:rStyle w:val="12"/>
          <w:rFonts w:hint="eastAsia" w:ascii="仿宋" w:hAnsi="仿宋" w:eastAsia="仿宋"/>
          <w:bCs/>
          <w:sz w:val="32"/>
          <w:szCs w:val="32"/>
        </w:rPr>
      </w:pPr>
    </w:p>
    <w:p w14:paraId="7F99515D">
      <w:pPr>
        <w:jc w:val="left"/>
        <w:rPr>
          <w:rStyle w:val="12"/>
          <w:rFonts w:hint="eastAsia" w:ascii="仿宋" w:hAnsi="仿宋" w:eastAsia="仿宋"/>
          <w:bCs/>
          <w:sz w:val="32"/>
          <w:szCs w:val="32"/>
        </w:rPr>
      </w:pPr>
      <w:r>
        <w:rPr>
          <w:rStyle w:val="12"/>
          <w:rFonts w:hint="eastAsia" w:ascii="仿宋" w:hAnsi="仿宋" w:eastAsia="仿宋"/>
          <w:bCs/>
          <w:sz w:val="32"/>
          <w:szCs w:val="32"/>
        </w:rPr>
        <w:object>
          <v:shape id="_x0000_i1025" o:spt="75" type="#_x0000_t75" style="height:388.1pt;width:548.35pt;" o:ole="t" filled="f" o:preferrelative="t" stroked="f" coordsize="21600,21600">
            <v:path/>
            <v:fill on="f" focussize="0,0"/>
            <v:stroke on="f"/>
            <v:imagedata r:id="rId6" o:title=""/>
            <o:lock v:ext="edit" aspectratio="t"/>
            <w10:wrap type="none"/>
            <w10:anchorlock/>
          </v:shape>
          <o:OLEObject Type="Embed" ProgID="Excel.Sheet.8" ShapeID="_x0000_i1025" DrawAspect="Content" ObjectID="_1468075725" r:id="rId5">
            <o:LockedField>false</o:LockedField>
          </o:OLEObject>
        </w:object>
      </w:r>
      <w:r>
        <w:rPr>
          <w:rStyle w:val="12"/>
          <w:rFonts w:hint="eastAsia" w:ascii="仿宋" w:hAnsi="仿宋" w:eastAsia="仿宋"/>
          <w:bCs/>
          <w:sz w:val="32"/>
          <w:szCs w:val="32"/>
        </w:rPr>
        <w:br w:type="page"/>
      </w:r>
    </w:p>
    <w:p w14:paraId="1D28A2FA">
      <w:pPr>
        <w:rPr>
          <w:rFonts w:hint="eastAsia"/>
          <w:lang w:eastAsia="zh-CN"/>
        </w:rPr>
        <w:sectPr>
          <w:pgSz w:w="11906" w:h="16838"/>
          <w:pgMar w:top="720" w:right="720" w:bottom="720" w:left="720" w:header="851" w:footer="992" w:gutter="0"/>
          <w:cols w:space="425" w:num="1"/>
          <w:docGrid w:type="lines" w:linePitch="312" w:charSpace="0"/>
        </w:sectPr>
      </w:pPr>
    </w:p>
    <w:p w14:paraId="08E005D7">
      <w:pPr>
        <w:pStyle w:val="17"/>
        <w:numPr>
          <w:ilvl w:val="0"/>
          <w:numId w:val="0"/>
        </w:numPr>
        <w:bidi w:val="0"/>
        <w:ind w:left="420" w:leftChars="200"/>
        <w:jc w:val="center"/>
        <w:rPr>
          <w:rFonts w:hint="eastAsia"/>
          <w:lang w:eastAsia="zh-CN"/>
        </w:rPr>
      </w:pPr>
      <w:r>
        <w:rPr>
          <w:rFonts w:hint="eastAsia"/>
          <w:lang w:val="en-US" w:eastAsia="zh-CN"/>
        </w:rPr>
        <w:t>第三部分  兴国县第十四幼儿园2026年单位预算情况说明</w:t>
      </w:r>
    </w:p>
    <w:p w14:paraId="45381874">
      <w:pPr>
        <w:widowControl/>
        <w:spacing w:line="580" w:lineRule="exact"/>
        <w:jc w:val="center"/>
        <w:rPr>
          <w:rFonts w:ascii="仿宋_GB2312" w:eastAsia="仿宋_GB2312"/>
          <w:b/>
          <w:sz w:val="32"/>
          <w:szCs w:val="30"/>
        </w:rPr>
      </w:pPr>
    </w:p>
    <w:p w14:paraId="393C1345">
      <w:pPr>
        <w:pStyle w:val="17"/>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7FA2F76F">
      <w:pPr>
        <w:pStyle w:val="19"/>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755A282A">
      <w:pPr>
        <w:pStyle w:val="18"/>
        <w:bidi w:val="0"/>
        <w:rPr>
          <w:rFonts w:hint="eastAsia"/>
          <w:color w:val="auto"/>
          <w:lang w:val="en-US" w:eastAsia="zh-CN"/>
        </w:rPr>
      </w:pPr>
      <w:r>
        <w:rPr>
          <w:rFonts w:hint="eastAsia"/>
          <w:lang w:eastAsia="zh-CN"/>
        </w:rPr>
        <w:t>2026</w:t>
      </w:r>
      <w:r>
        <w:rPr>
          <w:rFonts w:hint="eastAsia"/>
        </w:rPr>
        <w:t>年</w:t>
      </w:r>
      <w:r>
        <w:rPr>
          <w:rFonts w:hint="eastAsia"/>
          <w:lang w:eastAsia="zh-CN"/>
        </w:rPr>
        <w:t>兴国县第十四幼儿园</w:t>
      </w:r>
      <w:r>
        <w:rPr>
          <w:rFonts w:hint="eastAsia"/>
        </w:rPr>
        <w:t>收入预算总额为269.29万元</w:t>
      </w:r>
      <w:r>
        <w:rPr>
          <w:rFonts w:hint="eastAsia"/>
          <w:lang w:eastAsia="zh-CN"/>
        </w:rPr>
        <w:t>，</w:t>
      </w:r>
      <w:r>
        <w:rPr>
          <w:rFonts w:hint="eastAsia"/>
        </w:rPr>
        <w:t>较上年预算安排增加</w:t>
      </w:r>
      <w:r>
        <w:rPr>
          <w:rFonts w:hint="eastAsia"/>
          <w:lang w:val="en-US" w:eastAsia="zh-CN"/>
        </w:rPr>
        <w:t>269.29</w:t>
      </w:r>
      <w:r>
        <w:rPr>
          <w:rFonts w:hint="eastAsia"/>
        </w:rPr>
        <w:t>万元</w:t>
      </w:r>
      <w:r>
        <w:rPr>
          <w:rFonts w:hint="eastAsia"/>
          <w:lang w:eastAsia="zh-CN"/>
        </w:rPr>
        <w:t>，</w:t>
      </w:r>
      <w:r>
        <w:rPr>
          <w:rFonts w:hint="eastAsia"/>
          <w:lang w:val="en-US" w:eastAsia="zh-CN"/>
        </w:rPr>
        <w:t>增减变化主要原因：</w:t>
      </w:r>
      <w:r>
        <w:rPr>
          <w:rFonts w:hint="eastAsia"/>
          <w:color w:val="auto"/>
          <w:lang w:val="en-US" w:eastAsia="zh-CN"/>
        </w:rPr>
        <w:t>我们幼儿园2025年9月新开园。</w:t>
      </w:r>
    </w:p>
    <w:p w14:paraId="63ADBDFC">
      <w:pPr>
        <w:pStyle w:val="18"/>
        <w:bidi w:val="0"/>
        <w:rPr>
          <w:rFonts w:hint="eastAsia"/>
        </w:rPr>
      </w:pPr>
      <w:r>
        <w:rPr>
          <w:rFonts w:hint="eastAsia"/>
          <w:lang w:eastAsia="zh-CN"/>
        </w:rPr>
        <w:t>本年收入合计269.29万元，较上年预算安排增加</w:t>
      </w:r>
      <w:r>
        <w:rPr>
          <w:rFonts w:hint="eastAsia"/>
          <w:lang w:val="en-US" w:eastAsia="zh-CN"/>
        </w:rPr>
        <w:t>269.29</w:t>
      </w:r>
      <w:r>
        <w:rPr>
          <w:rFonts w:hint="eastAsia"/>
          <w:lang w:eastAsia="zh-CN"/>
        </w:rPr>
        <w:t>万元；包括：财政拨款收入69.29万元，较上年预算安排增加</w:t>
      </w:r>
      <w:r>
        <w:rPr>
          <w:rFonts w:hint="eastAsia"/>
          <w:lang w:val="en-US" w:eastAsia="zh-CN"/>
        </w:rPr>
        <w:t>69.29</w:t>
      </w:r>
      <w:r>
        <w:rPr>
          <w:rFonts w:hint="eastAsia"/>
          <w:lang w:eastAsia="zh-CN"/>
        </w:rPr>
        <w:t>万元；教育收费资金收入100.00万元，较上年预算安排增加</w:t>
      </w:r>
      <w:r>
        <w:rPr>
          <w:rFonts w:hint="eastAsia"/>
          <w:lang w:val="en-US" w:eastAsia="zh-CN"/>
        </w:rPr>
        <w:t>100</w:t>
      </w:r>
      <w:r>
        <w:rPr>
          <w:rFonts w:hint="eastAsia"/>
          <w:lang w:eastAsia="zh-CN"/>
        </w:rPr>
        <w:t>万元；其他收入100.00万元，较上年预算安排增加</w:t>
      </w:r>
      <w:r>
        <w:rPr>
          <w:rFonts w:hint="eastAsia"/>
          <w:lang w:val="en-US" w:eastAsia="zh-CN"/>
        </w:rPr>
        <w:t>100</w:t>
      </w:r>
      <w:r>
        <w:rPr>
          <w:rFonts w:hint="eastAsia"/>
          <w:lang w:eastAsia="zh-CN"/>
        </w:rPr>
        <w:t>万元。</w:t>
      </w:r>
    </w:p>
    <w:p w14:paraId="74A48948">
      <w:pPr>
        <w:pStyle w:val="19"/>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1AF26949">
      <w:pPr>
        <w:pStyle w:val="18"/>
        <w:bidi w:val="0"/>
        <w:rPr>
          <w:rFonts w:hint="eastAsia" w:eastAsia="仿宋_GB2312"/>
          <w:lang w:eastAsia="zh-CN"/>
        </w:rPr>
      </w:pPr>
      <w:r>
        <w:rPr>
          <w:rFonts w:hint="eastAsia"/>
          <w:lang w:eastAsia="zh-CN"/>
        </w:rPr>
        <w:t>2026</w:t>
      </w:r>
      <w:r>
        <w:rPr>
          <w:rFonts w:hint="eastAsia"/>
        </w:rPr>
        <w:t>年</w:t>
      </w:r>
      <w:r>
        <w:rPr>
          <w:rFonts w:hint="eastAsia"/>
          <w:lang w:eastAsia="zh-CN"/>
        </w:rPr>
        <w:t>兴国县第十四幼儿园</w:t>
      </w:r>
      <w:r>
        <w:rPr>
          <w:rFonts w:hint="eastAsia"/>
        </w:rPr>
        <w:t>支出预算总额为269.29万元</w:t>
      </w:r>
      <w:r>
        <w:rPr>
          <w:rFonts w:hint="eastAsia"/>
          <w:lang w:eastAsia="zh-CN"/>
        </w:rPr>
        <w:t>，</w:t>
      </w:r>
      <w:r>
        <w:rPr>
          <w:rFonts w:hint="eastAsia"/>
        </w:rPr>
        <w:t>较上年预算安排增加</w:t>
      </w:r>
      <w:r>
        <w:rPr>
          <w:rFonts w:hint="eastAsia"/>
          <w:lang w:val="en-US" w:eastAsia="zh-CN"/>
        </w:rPr>
        <w:t>269.29</w:t>
      </w:r>
      <w:r>
        <w:rPr>
          <w:rFonts w:hint="eastAsia"/>
        </w:rPr>
        <w:t>万元</w:t>
      </w:r>
      <w:r>
        <w:rPr>
          <w:rFonts w:hint="eastAsia"/>
          <w:lang w:eastAsia="zh-CN"/>
        </w:rPr>
        <w:t>，</w:t>
      </w:r>
      <w:r>
        <w:rPr>
          <w:rFonts w:hint="eastAsia"/>
          <w:color w:val="auto"/>
          <w:lang w:eastAsia="zh-CN"/>
        </w:rPr>
        <w:t>增减变化主要原因是：</w:t>
      </w:r>
      <w:r>
        <w:rPr>
          <w:rFonts w:hint="eastAsia"/>
          <w:color w:val="auto"/>
          <w:lang w:val="en-US" w:eastAsia="zh-CN"/>
        </w:rPr>
        <w:t>我们幼儿园2025年9月新开园。</w:t>
      </w:r>
      <w:r>
        <w:rPr>
          <w:rFonts w:hint="eastAsia"/>
          <w:color w:val="auto"/>
        </w:rPr>
        <w:t xml:space="preserve"> </w:t>
      </w:r>
    </w:p>
    <w:p w14:paraId="53B0380C">
      <w:pPr>
        <w:pStyle w:val="18"/>
        <w:bidi w:val="0"/>
        <w:rPr>
          <w:rFonts w:hint="eastAsia"/>
        </w:rPr>
      </w:pPr>
      <w:r>
        <w:rPr>
          <w:rFonts w:hint="eastAsia"/>
        </w:rPr>
        <w:t>按支出项目类别划分：基本支出162.09万元</w:t>
      </w:r>
      <w:r>
        <w:rPr>
          <w:rFonts w:hint="eastAsia"/>
          <w:lang w:eastAsia="zh-CN"/>
        </w:rPr>
        <w:t>，</w:t>
      </w:r>
      <w:r>
        <w:rPr>
          <w:rFonts w:hint="eastAsia"/>
        </w:rPr>
        <w:t>较上年预算安排增加</w:t>
      </w:r>
      <w:r>
        <w:rPr>
          <w:rFonts w:hint="eastAsia"/>
          <w:lang w:val="en-US" w:eastAsia="zh-CN"/>
        </w:rPr>
        <w:t>162.09</w:t>
      </w:r>
      <w:r>
        <w:rPr>
          <w:rFonts w:hint="eastAsia"/>
        </w:rPr>
        <w:t>万元</w:t>
      </w:r>
      <w:r>
        <w:rPr>
          <w:rFonts w:hint="eastAsia"/>
          <w:lang w:eastAsia="zh-CN"/>
        </w:rPr>
        <w:t>；</w:t>
      </w:r>
      <w:r>
        <w:rPr>
          <w:rFonts w:hint="eastAsia"/>
        </w:rPr>
        <w:t>项目支出107.20万元</w:t>
      </w:r>
      <w:r>
        <w:rPr>
          <w:rFonts w:hint="eastAsia"/>
          <w:lang w:eastAsia="zh-CN"/>
        </w:rPr>
        <w:t>，</w:t>
      </w:r>
      <w:r>
        <w:rPr>
          <w:rFonts w:hint="eastAsia"/>
        </w:rPr>
        <w:t>较上年预算安排增加</w:t>
      </w:r>
      <w:r>
        <w:rPr>
          <w:rFonts w:hint="eastAsia"/>
          <w:lang w:val="en-US" w:eastAsia="zh-CN"/>
        </w:rPr>
        <w:t>107.2</w:t>
      </w:r>
      <w:r>
        <w:rPr>
          <w:rFonts w:hint="eastAsia"/>
        </w:rPr>
        <w:t>万元。</w:t>
      </w:r>
    </w:p>
    <w:p w14:paraId="54960B11">
      <w:pPr>
        <w:pStyle w:val="18"/>
        <w:bidi w:val="0"/>
        <w:rPr>
          <w:rFonts w:hint="eastAsia"/>
        </w:rPr>
      </w:pPr>
      <w:r>
        <w:rPr>
          <w:rFonts w:hint="eastAsia"/>
        </w:rPr>
        <w:t>按支出功能科目划分：教育支出165.03万元，较上年预算安排增加</w:t>
      </w:r>
      <w:r>
        <w:rPr>
          <w:rFonts w:hint="eastAsia"/>
          <w:lang w:val="en-US" w:eastAsia="zh-CN"/>
        </w:rPr>
        <w:t>165.03</w:t>
      </w:r>
      <w:r>
        <w:rPr>
          <w:rFonts w:hint="eastAsia"/>
        </w:rPr>
        <w:t>万元；社会保障和就业支出2.60万元，较上年预算安排增加</w:t>
      </w:r>
      <w:r>
        <w:rPr>
          <w:rFonts w:hint="eastAsia"/>
          <w:lang w:val="en-US" w:eastAsia="zh-CN"/>
        </w:rPr>
        <w:t>2.60</w:t>
      </w:r>
      <w:r>
        <w:rPr>
          <w:rFonts w:hint="eastAsia"/>
        </w:rPr>
        <w:t>万元；</w:t>
      </w:r>
      <w:r>
        <w:rPr>
          <w:rFonts w:hint="eastAsia"/>
          <w:lang w:val="en-US" w:eastAsia="zh-CN"/>
        </w:rPr>
        <w:t>住房保障支出0.00万元，较上年预算安排增加0.00万元；</w:t>
      </w:r>
      <w:r>
        <w:rPr>
          <w:rFonts w:hint="eastAsia"/>
        </w:rPr>
        <w:t>卫生健康支出1.66万元，较上年预算安排增加</w:t>
      </w:r>
      <w:r>
        <w:rPr>
          <w:rFonts w:hint="eastAsia"/>
          <w:lang w:val="en-US" w:eastAsia="zh-CN"/>
        </w:rPr>
        <w:t>1.66</w:t>
      </w:r>
      <w:r>
        <w:rPr>
          <w:rFonts w:hint="eastAsia"/>
        </w:rPr>
        <w:t>万元；其他支出100.00万元，较上年预算安排增加</w:t>
      </w:r>
      <w:r>
        <w:rPr>
          <w:rFonts w:hint="eastAsia"/>
          <w:lang w:val="en-US" w:eastAsia="zh-CN"/>
        </w:rPr>
        <w:t>100.00</w:t>
      </w:r>
      <w:r>
        <w:rPr>
          <w:rFonts w:hint="eastAsia"/>
        </w:rPr>
        <w:t>万元。</w:t>
      </w:r>
    </w:p>
    <w:p w14:paraId="0D3E9CC6">
      <w:pPr>
        <w:pStyle w:val="18"/>
        <w:bidi w:val="0"/>
        <w:rPr>
          <w:rFonts w:hint="eastAsia"/>
        </w:rPr>
      </w:pPr>
      <w:r>
        <w:rPr>
          <w:rFonts w:hint="eastAsia"/>
        </w:rPr>
        <w:t>按支出经济分类划分：工资福利支出61.90万元，较上年预算安排增加</w:t>
      </w:r>
      <w:r>
        <w:rPr>
          <w:rFonts w:hint="eastAsia"/>
          <w:lang w:val="en-US" w:eastAsia="zh-CN"/>
        </w:rPr>
        <w:t>61.90</w:t>
      </w:r>
      <w:r>
        <w:rPr>
          <w:rFonts w:hint="eastAsia"/>
        </w:rPr>
        <w:t>万元；商品和服务支出207.20万元，较上年预算安排增加</w:t>
      </w:r>
      <w:r>
        <w:rPr>
          <w:rFonts w:hint="eastAsia"/>
          <w:lang w:val="en-US" w:eastAsia="zh-CN"/>
        </w:rPr>
        <w:t>207.20</w:t>
      </w:r>
      <w:r>
        <w:rPr>
          <w:rFonts w:hint="eastAsia"/>
        </w:rPr>
        <w:t>万元；对个人和家庭的补助</w:t>
      </w:r>
      <w:r>
        <w:rPr>
          <w:rFonts w:hint="eastAsia"/>
          <w:lang w:val="en-US" w:eastAsia="zh-CN"/>
        </w:rPr>
        <w:t>0</w:t>
      </w:r>
      <w:r>
        <w:rPr>
          <w:rFonts w:hint="eastAsia"/>
        </w:rPr>
        <w:t>.19万元，较上年预算安排增加</w:t>
      </w:r>
      <w:r>
        <w:rPr>
          <w:rFonts w:hint="eastAsia"/>
          <w:lang w:val="en-US" w:eastAsia="zh-CN"/>
        </w:rPr>
        <w:t>0.19</w:t>
      </w:r>
      <w:r>
        <w:rPr>
          <w:rFonts w:hint="eastAsia"/>
        </w:rPr>
        <w:t>万元。</w:t>
      </w:r>
    </w:p>
    <w:p w14:paraId="4BC15CD4">
      <w:pPr>
        <w:pStyle w:val="19"/>
        <w:numPr>
          <w:ilvl w:val="0"/>
          <w:numId w:val="0"/>
        </w:numPr>
        <w:bidi w:val="0"/>
        <w:ind w:left="420" w:leftChars="200"/>
        <w:rPr>
          <w:rFonts w:hint="eastAsia"/>
          <w:lang w:val="en-US" w:eastAsia="zh-CN"/>
        </w:rPr>
      </w:pPr>
      <w:r>
        <w:rPr>
          <w:rFonts w:hint="eastAsia"/>
          <w:lang w:val="en-US" w:eastAsia="zh-CN"/>
        </w:rPr>
        <w:t xml:space="preserve"> （三）财政拨款支出情况</w:t>
      </w:r>
    </w:p>
    <w:p w14:paraId="678B6C80">
      <w:pPr>
        <w:pStyle w:val="18"/>
        <w:bidi w:val="0"/>
        <w:rPr>
          <w:rFonts w:hint="eastAsia" w:eastAsia="仿宋_GB2312"/>
          <w:lang w:eastAsia="zh-CN"/>
        </w:rPr>
      </w:pPr>
      <w:r>
        <w:rPr>
          <w:rFonts w:hint="eastAsia"/>
          <w:lang w:eastAsia="zh-CN"/>
        </w:rPr>
        <w:t>2026</w:t>
      </w:r>
      <w:r>
        <w:rPr>
          <w:rFonts w:hint="eastAsia"/>
        </w:rPr>
        <w:t>年</w:t>
      </w:r>
      <w:r>
        <w:rPr>
          <w:rFonts w:hint="eastAsia"/>
          <w:lang w:eastAsia="zh-CN"/>
        </w:rPr>
        <w:t>兴国县第十四幼儿园</w:t>
      </w:r>
      <w:r>
        <w:rPr>
          <w:rFonts w:hint="eastAsia"/>
        </w:rPr>
        <w:t>财政拨款支出预算总额69.29万元</w:t>
      </w:r>
      <w:r>
        <w:rPr>
          <w:rFonts w:hint="eastAsia"/>
          <w:lang w:eastAsia="zh-CN"/>
        </w:rPr>
        <w:t>，</w:t>
      </w:r>
      <w:r>
        <w:rPr>
          <w:rFonts w:hint="eastAsia"/>
        </w:rPr>
        <w:t>较上年预算安排增加</w:t>
      </w:r>
      <w:r>
        <w:rPr>
          <w:rFonts w:hint="eastAsia"/>
          <w:lang w:val="en-US" w:eastAsia="zh-CN"/>
        </w:rPr>
        <w:t>69.29</w:t>
      </w:r>
      <w:r>
        <w:rPr>
          <w:rFonts w:hint="eastAsia"/>
        </w:rPr>
        <w:t>万元</w:t>
      </w:r>
      <w:r>
        <w:rPr>
          <w:rFonts w:hint="eastAsia"/>
          <w:lang w:eastAsia="zh-CN"/>
        </w:rPr>
        <w:t>，</w:t>
      </w:r>
      <w:r>
        <w:rPr>
          <w:rFonts w:hint="eastAsia"/>
          <w:color w:val="auto"/>
          <w:lang w:eastAsia="zh-CN"/>
        </w:rPr>
        <w:t>增减变化主要原因是：</w:t>
      </w:r>
      <w:r>
        <w:rPr>
          <w:rFonts w:hint="eastAsia"/>
          <w:color w:val="auto"/>
          <w:lang w:val="en-US" w:eastAsia="zh-CN"/>
        </w:rPr>
        <w:t>我们幼儿园2025年9月新开园。</w:t>
      </w:r>
    </w:p>
    <w:p w14:paraId="63DCA4DA">
      <w:pPr>
        <w:pStyle w:val="18"/>
        <w:bidi w:val="0"/>
        <w:rPr>
          <w:rFonts w:hint="eastAsia"/>
        </w:rPr>
      </w:pPr>
      <w:r>
        <w:rPr>
          <w:rFonts w:hint="eastAsia"/>
        </w:rPr>
        <w:t>按支出功能科目划分：教育支出65.03万元，社会保障和就业支出2.60万元，卫生健康支出1.66万元。</w:t>
      </w:r>
    </w:p>
    <w:p w14:paraId="4267A1F1">
      <w:pPr>
        <w:pStyle w:val="18"/>
        <w:bidi w:val="0"/>
        <w:rPr>
          <w:rFonts w:hint="eastAsia"/>
        </w:rPr>
      </w:pPr>
      <w:r>
        <w:rPr>
          <w:rFonts w:hint="eastAsia"/>
        </w:rPr>
        <w:t>按支出项目类别划分：基本支出62.09万元</w:t>
      </w:r>
      <w:r>
        <w:rPr>
          <w:rFonts w:hint="eastAsia"/>
          <w:lang w:eastAsia="zh-CN"/>
        </w:rPr>
        <w:t>，</w:t>
      </w:r>
      <w:r>
        <w:rPr>
          <w:rFonts w:hint="eastAsia"/>
        </w:rPr>
        <w:t>项目支出7.20万元。</w:t>
      </w:r>
    </w:p>
    <w:p w14:paraId="71F3B456">
      <w:pPr>
        <w:pStyle w:val="18"/>
        <w:bidi w:val="0"/>
        <w:rPr>
          <w:rFonts w:hint="eastAsia"/>
        </w:rPr>
      </w:pPr>
      <w:r>
        <w:rPr>
          <w:rFonts w:hint="eastAsia"/>
        </w:rPr>
        <w:t>按支</w:t>
      </w:r>
      <w:r>
        <w:rPr>
          <w:rFonts w:hint="eastAsia"/>
          <w:lang w:val="en-US" w:eastAsia="zh-CN"/>
        </w:rPr>
        <w:t>出经济分类</w:t>
      </w:r>
      <w:r>
        <w:rPr>
          <w:rFonts w:hint="eastAsia"/>
        </w:rPr>
        <w:t>划分</w:t>
      </w:r>
      <w:r>
        <w:rPr>
          <w:rFonts w:hint="eastAsia"/>
          <w:lang w:eastAsia="zh-CN"/>
        </w:rPr>
        <w:t>：</w:t>
      </w:r>
      <w:r>
        <w:rPr>
          <w:rFonts w:hint="eastAsia"/>
        </w:rPr>
        <w:t>工资福利支出61.90万元，商品和服务支出7.20万元，对个人和家庭的补助0.19万元。</w:t>
      </w:r>
    </w:p>
    <w:p w14:paraId="54077255">
      <w:pPr>
        <w:pStyle w:val="19"/>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02D2437F">
      <w:pPr>
        <w:pStyle w:val="18"/>
        <w:bidi w:val="0"/>
        <w:rPr>
          <w:rFonts w:hint="eastAsia" w:eastAsia="仿宋_GB2312"/>
          <w:color w:val="auto"/>
          <w:lang w:eastAsia="zh-CN"/>
        </w:rPr>
      </w:pPr>
      <w:r>
        <w:rPr>
          <w:rFonts w:hint="eastAsia"/>
          <w:color w:val="auto"/>
        </w:rPr>
        <w:t>本</w:t>
      </w:r>
      <w:r>
        <w:rPr>
          <w:rFonts w:hint="eastAsia"/>
          <w:color w:val="auto"/>
          <w:lang w:val="en-US" w:eastAsia="zh-CN"/>
        </w:rPr>
        <w:t>单位</w:t>
      </w:r>
      <w:r>
        <w:rPr>
          <w:rFonts w:hint="eastAsia"/>
          <w:color w:val="auto"/>
        </w:rPr>
        <w:t>没有使用政府性基金预算拨款安排的支出</w:t>
      </w:r>
      <w:r>
        <w:rPr>
          <w:rFonts w:hint="eastAsia"/>
          <w:color w:val="auto"/>
          <w:lang w:eastAsia="zh-CN"/>
        </w:rPr>
        <w:t>。</w:t>
      </w:r>
    </w:p>
    <w:p w14:paraId="5608CD73">
      <w:pPr>
        <w:pStyle w:val="19"/>
        <w:numPr>
          <w:ilvl w:val="0"/>
          <w:numId w:val="0"/>
        </w:numPr>
        <w:bidi w:val="0"/>
        <w:ind w:firstLine="643" w:firstLineChars="200"/>
        <w:rPr>
          <w:rFonts w:hint="eastAsia"/>
          <w:lang w:val="en-US" w:eastAsia="zh-CN"/>
        </w:rPr>
      </w:pPr>
      <w:r>
        <w:rPr>
          <w:rFonts w:hint="eastAsia"/>
          <w:lang w:val="en-US" w:eastAsia="zh-CN"/>
        </w:rPr>
        <w:t>（五）国有资本经营情况</w:t>
      </w:r>
    </w:p>
    <w:p w14:paraId="6EA5B884">
      <w:pPr>
        <w:pStyle w:val="18"/>
        <w:bidi w:val="0"/>
        <w:rPr>
          <w:rFonts w:hint="eastAsia" w:eastAsia="仿宋_GB2312"/>
          <w:color w:val="auto"/>
          <w:lang w:eastAsia="zh-CN"/>
        </w:rPr>
      </w:pPr>
      <w:r>
        <w:rPr>
          <w:rFonts w:hint="eastAsia"/>
        </w:rPr>
        <w:t>本单位非行政参公单位，无机关运行</w:t>
      </w:r>
      <w:r>
        <w:rPr>
          <w:rFonts w:hint="eastAsia"/>
          <w:lang w:val="en-US" w:eastAsia="zh-CN"/>
        </w:rPr>
        <w:t>单位</w:t>
      </w:r>
      <w:r>
        <w:rPr>
          <w:rFonts w:hint="eastAsia"/>
          <w:lang w:eastAsia="zh-CN"/>
        </w:rPr>
        <w:t>。</w:t>
      </w:r>
    </w:p>
    <w:p w14:paraId="5BFDA2C8">
      <w:pPr>
        <w:pStyle w:val="19"/>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18CBC75E">
      <w:pPr>
        <w:pStyle w:val="18"/>
        <w:bidi w:val="0"/>
        <w:rPr>
          <w:rFonts w:hint="eastAsia" w:ascii="Adobe 仿宋 Std R" w:hAnsi="Adobe 仿宋 Std R" w:eastAsia="仿宋_GB2312"/>
          <w:sz w:val="32"/>
          <w:szCs w:val="32"/>
          <w:lang w:eastAsia="zh-CN"/>
        </w:rPr>
      </w:pPr>
      <w:r>
        <w:rPr>
          <w:rFonts w:hint="eastAsia"/>
        </w:rPr>
        <w:t>本单位非行政参公单位，无机关运行经费</w:t>
      </w:r>
      <w:r>
        <w:rPr>
          <w:rFonts w:hint="eastAsia"/>
          <w:lang w:eastAsia="zh-CN"/>
        </w:rPr>
        <w:t>。</w:t>
      </w:r>
    </w:p>
    <w:p w14:paraId="0CA87A8C">
      <w:pPr>
        <w:pStyle w:val="19"/>
        <w:numPr>
          <w:ilvl w:val="0"/>
          <w:numId w:val="0"/>
        </w:numPr>
        <w:bidi w:val="0"/>
        <w:ind w:firstLine="643" w:firstLineChars="200"/>
        <w:rPr>
          <w:rFonts w:hint="eastAsia"/>
          <w:lang w:val="en-US" w:eastAsia="zh-CN"/>
        </w:rPr>
      </w:pPr>
      <w:r>
        <w:rPr>
          <w:rFonts w:hint="eastAsia"/>
          <w:lang w:val="en-US" w:eastAsia="zh-CN"/>
        </w:rPr>
        <w:t>（七）政府采购情况</w:t>
      </w:r>
    </w:p>
    <w:p w14:paraId="7EEA88A2">
      <w:pPr>
        <w:pStyle w:val="18"/>
        <w:bidi w:val="0"/>
        <w:rPr>
          <w:rFonts w:hint="eastAsia"/>
          <w:lang w:eastAsia="zh-CN"/>
        </w:rPr>
      </w:pPr>
      <w:r>
        <w:rPr>
          <w:rFonts w:hint="eastAsia"/>
          <w:lang w:eastAsia="zh-CN"/>
        </w:rPr>
        <w:t>2026年政府采购总额2.50</w:t>
      </w:r>
      <w:r>
        <w:rPr>
          <w:rFonts w:hint="eastAsia"/>
          <w:lang w:val="en-US" w:eastAsia="zh-CN"/>
        </w:rPr>
        <w:t xml:space="preserve"> </w:t>
      </w:r>
      <w:r>
        <w:rPr>
          <w:rFonts w:hint="eastAsia"/>
          <w:lang w:eastAsia="zh-CN"/>
        </w:rPr>
        <w:t>万元，其中： 政府采购货物预算  0.00 万元， 政府采购工程预算 0.00</w:t>
      </w:r>
      <w:r>
        <w:rPr>
          <w:rFonts w:hint="eastAsia"/>
          <w:lang w:val="en-US" w:eastAsia="zh-CN"/>
        </w:rPr>
        <w:t xml:space="preserve"> </w:t>
      </w:r>
      <w:r>
        <w:rPr>
          <w:rFonts w:hint="eastAsia"/>
          <w:lang w:eastAsia="zh-CN"/>
        </w:rPr>
        <w:t>万元， 政府采购服务预算 2.50 万元。</w:t>
      </w:r>
    </w:p>
    <w:p w14:paraId="0BF00ECC">
      <w:pPr>
        <w:pStyle w:val="19"/>
        <w:numPr>
          <w:ilvl w:val="0"/>
          <w:numId w:val="0"/>
        </w:numPr>
        <w:bidi w:val="0"/>
        <w:ind w:firstLine="643" w:firstLineChars="200"/>
        <w:rPr>
          <w:rFonts w:hint="eastAsia"/>
          <w:lang w:val="en-US" w:eastAsia="zh-CN"/>
        </w:rPr>
      </w:pPr>
      <w:r>
        <w:rPr>
          <w:rFonts w:hint="eastAsia"/>
          <w:lang w:val="en-US" w:eastAsia="zh-CN"/>
        </w:rPr>
        <w:t>（八）国有资产占有使用情况</w:t>
      </w:r>
    </w:p>
    <w:p w14:paraId="1B77B604">
      <w:pPr>
        <w:pStyle w:val="18"/>
        <w:bidi w:val="0"/>
        <w:rPr>
          <w:rFonts w:hint="eastAsia"/>
          <w:lang w:eastAsia="zh-CN"/>
        </w:rPr>
      </w:pPr>
      <w:r>
        <w:rPr>
          <w:rFonts w:hint="eastAsia"/>
          <w:lang w:eastAsia="zh-CN"/>
        </w:rPr>
        <w:t xml:space="preserve">截至2025年7月31日， </w:t>
      </w:r>
      <w:r>
        <w:rPr>
          <w:rFonts w:hint="eastAsia"/>
          <w:lang w:val="en-US" w:eastAsia="zh-CN"/>
        </w:rPr>
        <w:t>单位</w:t>
      </w:r>
      <w:r>
        <w:rPr>
          <w:rFonts w:hint="eastAsia"/>
          <w:lang w:eastAsia="zh-CN"/>
        </w:rPr>
        <w:t xml:space="preserve">共有车辆 </w:t>
      </w:r>
      <w:r>
        <w:rPr>
          <w:rFonts w:hint="eastAsia"/>
          <w:lang w:val="en-US" w:eastAsia="zh-CN"/>
        </w:rPr>
        <w:t>0</w:t>
      </w:r>
      <w:r>
        <w:rPr>
          <w:rFonts w:hint="eastAsia"/>
          <w:lang w:eastAsia="zh-CN"/>
        </w:rPr>
        <w:t>辆，其中：一般公务用车实有数</w:t>
      </w:r>
      <w:r>
        <w:rPr>
          <w:rFonts w:hint="eastAsia"/>
          <w:lang w:val="en-US" w:eastAsia="zh-CN"/>
        </w:rPr>
        <w:t>0</w:t>
      </w:r>
      <w:r>
        <w:rPr>
          <w:rFonts w:hint="eastAsia"/>
          <w:lang w:eastAsia="zh-CN"/>
        </w:rPr>
        <w:t>辆。</w:t>
      </w:r>
    </w:p>
    <w:p w14:paraId="320EA6D5">
      <w:pPr>
        <w:pStyle w:val="18"/>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无</w:t>
      </w:r>
      <w:r>
        <w:rPr>
          <w:rFonts w:hint="eastAsia"/>
          <w:lang w:eastAsia="zh-CN"/>
        </w:rPr>
        <w:t>。</w:t>
      </w:r>
    </w:p>
    <w:p w14:paraId="2A593310">
      <w:pPr>
        <w:pStyle w:val="19"/>
        <w:numPr>
          <w:ilvl w:val="0"/>
          <w:numId w:val="0"/>
        </w:numPr>
        <w:bidi w:val="0"/>
        <w:ind w:firstLine="643" w:firstLineChars="200"/>
        <w:rPr>
          <w:rFonts w:hint="eastAsia"/>
          <w:lang w:val="en-US" w:eastAsia="zh-CN"/>
        </w:rPr>
      </w:pPr>
      <w:r>
        <w:rPr>
          <w:rFonts w:hint="eastAsia"/>
          <w:lang w:val="en-US" w:eastAsia="zh-CN"/>
        </w:rPr>
        <w:t>（九）</w:t>
      </w:r>
      <w:r>
        <w:rPr>
          <w:rFonts w:hint="eastAsia"/>
          <w:color w:val="auto"/>
          <w:lang w:val="en-US" w:eastAsia="zh-CN"/>
        </w:rPr>
        <w:t>学前教育生均公用经费</w:t>
      </w:r>
      <w:r>
        <w:rPr>
          <w:rFonts w:hint="eastAsia"/>
          <w:lang w:val="en-US" w:eastAsia="zh-CN"/>
        </w:rPr>
        <w:t>项目情况说明</w:t>
      </w:r>
    </w:p>
    <w:p w14:paraId="22E1C101">
      <w:pPr>
        <w:pStyle w:val="18"/>
        <w:bidi w:val="0"/>
        <w:rPr>
          <w:rFonts w:hint="eastAsia"/>
          <w:lang w:val="en-US" w:eastAsia="zh-CN"/>
        </w:rPr>
      </w:pPr>
      <w:r>
        <w:rPr>
          <w:rFonts w:hint="eastAsia"/>
          <w:lang w:eastAsia="zh-CN"/>
        </w:rPr>
        <w:t>1）项目概述：</w:t>
      </w:r>
      <w:r>
        <w:rPr>
          <w:rFonts w:hint="eastAsia"/>
          <w:lang w:val="en-US" w:eastAsia="zh-CN"/>
        </w:rPr>
        <w:t>按照生均600元/生/年的标准拨付生均公用经费，保障学校正常运转、完成教育教学活动和其他日常工作任务等方面的支出。</w:t>
      </w:r>
    </w:p>
    <w:p w14:paraId="0B9EAC7E">
      <w:pPr>
        <w:pStyle w:val="18"/>
        <w:bidi w:val="0"/>
        <w:ind w:left="0" w:leftChars="0" w:firstLine="640" w:firstLineChars="200"/>
        <w:rPr>
          <w:rFonts w:hint="eastAsia"/>
          <w:lang w:eastAsia="zh-CN"/>
        </w:rPr>
      </w:pPr>
      <w:r>
        <w:rPr>
          <w:rFonts w:hint="eastAsia"/>
          <w:lang w:eastAsia="zh-CN"/>
        </w:rPr>
        <w:t>2）立项依据：</w:t>
      </w:r>
      <w:r>
        <w:rPr>
          <w:rFonts w:hint="eastAsia"/>
          <w:lang w:val="en-US" w:eastAsia="zh-CN"/>
        </w:rPr>
        <w:t>根据《江西省财政厅 教育厅关于制定学前教育生均公用经费标准的通知》（赣财教〔2018〕18号）文件精神立项。</w:t>
      </w:r>
    </w:p>
    <w:p w14:paraId="1C2C1969">
      <w:pPr>
        <w:pStyle w:val="18"/>
        <w:bidi w:val="0"/>
        <w:rPr>
          <w:rFonts w:hint="default"/>
          <w:lang w:val="en-US" w:eastAsia="zh-CN"/>
        </w:rPr>
      </w:pPr>
      <w:r>
        <w:rPr>
          <w:rFonts w:hint="eastAsia"/>
          <w:lang w:eastAsia="zh-CN"/>
        </w:rPr>
        <w:t>3）实施主体：</w:t>
      </w:r>
      <w:r>
        <w:rPr>
          <w:rFonts w:hint="eastAsia"/>
          <w:lang w:val="en-US" w:eastAsia="zh-CN"/>
        </w:rPr>
        <w:t>兴国县第十四幼儿园。</w:t>
      </w:r>
    </w:p>
    <w:p w14:paraId="63FBA86F">
      <w:pPr>
        <w:pStyle w:val="18"/>
        <w:bidi w:val="0"/>
        <w:rPr>
          <w:rFonts w:hint="eastAsia"/>
          <w:lang w:val="en-US" w:eastAsia="zh-CN"/>
        </w:rPr>
      </w:pPr>
      <w:r>
        <w:rPr>
          <w:rFonts w:hint="eastAsia"/>
          <w:lang w:eastAsia="zh-CN"/>
        </w:rPr>
        <w:t>4）实施方案：</w:t>
      </w:r>
      <w:r>
        <w:rPr>
          <w:rFonts w:hint="eastAsia"/>
          <w:lang w:val="en-US" w:eastAsia="zh-CN"/>
        </w:rPr>
        <w:t>根据《江西省财政厅 教育厅关于制定学前教育生均公用经费标准的通知》（赣财教〔2018〕18号）文件精神立项的标准执行并管理经费。</w:t>
      </w:r>
    </w:p>
    <w:p w14:paraId="23FC808F">
      <w:pPr>
        <w:pStyle w:val="18"/>
        <w:bidi w:val="0"/>
        <w:ind w:left="0" w:leftChars="0" w:firstLine="640" w:firstLineChars="200"/>
        <w:rPr>
          <w:rFonts w:hint="eastAsia"/>
          <w:lang w:eastAsia="zh-CN"/>
        </w:rPr>
      </w:pPr>
      <w:r>
        <w:rPr>
          <w:rFonts w:hint="eastAsia"/>
          <w:lang w:eastAsia="zh-CN"/>
        </w:rPr>
        <w:t>5）实施周期：</w:t>
      </w:r>
      <w:r>
        <w:rPr>
          <w:rFonts w:hint="eastAsia"/>
          <w:color w:val="auto"/>
          <w:lang w:eastAsia="zh-CN"/>
        </w:rPr>
        <w:t>202</w:t>
      </w:r>
      <w:r>
        <w:rPr>
          <w:rFonts w:hint="eastAsia"/>
          <w:color w:val="auto"/>
          <w:lang w:val="en-US" w:eastAsia="zh-CN"/>
        </w:rPr>
        <w:t>6</w:t>
      </w:r>
      <w:r>
        <w:rPr>
          <w:rFonts w:hint="eastAsia"/>
          <w:color w:val="auto"/>
          <w:lang w:eastAsia="zh-CN"/>
        </w:rPr>
        <w:t>年1月1日至202</w:t>
      </w:r>
      <w:r>
        <w:rPr>
          <w:rFonts w:hint="eastAsia"/>
          <w:color w:val="auto"/>
          <w:lang w:val="en-US" w:eastAsia="zh-CN"/>
        </w:rPr>
        <w:t>6</w:t>
      </w:r>
      <w:r>
        <w:rPr>
          <w:rFonts w:hint="eastAsia"/>
          <w:color w:val="auto"/>
          <w:lang w:eastAsia="zh-CN"/>
        </w:rPr>
        <w:t>年12月31日。</w:t>
      </w:r>
    </w:p>
    <w:p w14:paraId="0B4E7892">
      <w:pPr>
        <w:pStyle w:val="18"/>
        <w:bidi w:val="0"/>
        <w:rPr>
          <w:rFonts w:hint="eastAsia"/>
          <w:color w:val="auto"/>
          <w:lang w:eastAsia="zh-CN"/>
        </w:rPr>
      </w:pPr>
      <w:r>
        <w:rPr>
          <w:rFonts w:hint="eastAsia"/>
          <w:lang w:eastAsia="zh-CN"/>
        </w:rPr>
        <w:t>6）年度预算安排：</w:t>
      </w:r>
      <w:r>
        <w:rPr>
          <w:rFonts w:hint="eastAsia"/>
          <w:color w:val="auto"/>
          <w:lang w:eastAsia="zh-CN"/>
        </w:rPr>
        <w:t>项目库申报金额</w:t>
      </w:r>
      <w:r>
        <w:rPr>
          <w:rFonts w:hint="eastAsia"/>
          <w:color w:val="auto"/>
          <w:lang w:val="en-US" w:eastAsia="zh-CN"/>
        </w:rPr>
        <w:t>7.20</w:t>
      </w:r>
      <w:r>
        <w:rPr>
          <w:rFonts w:hint="eastAsia"/>
          <w:color w:val="auto"/>
          <w:lang w:eastAsia="zh-CN"/>
        </w:rPr>
        <w:t>万元；预算批复金额</w:t>
      </w:r>
      <w:r>
        <w:rPr>
          <w:rFonts w:hint="eastAsia"/>
          <w:color w:val="auto"/>
          <w:lang w:val="en-US" w:eastAsia="zh-CN"/>
        </w:rPr>
        <w:t>7.20</w:t>
      </w:r>
      <w:r>
        <w:rPr>
          <w:rFonts w:hint="eastAsia"/>
          <w:color w:val="auto"/>
          <w:lang w:eastAsia="zh-CN"/>
        </w:rPr>
        <w:t>万元。</w:t>
      </w:r>
    </w:p>
    <w:p w14:paraId="3DAF209F">
      <w:pPr>
        <w:pStyle w:val="18"/>
        <w:bidi w:val="0"/>
        <w:rPr>
          <w:rFonts w:hint="eastAsia"/>
          <w:color w:val="auto"/>
          <w:lang w:eastAsia="zh-CN"/>
        </w:rPr>
      </w:pPr>
    </w:p>
    <w:p w14:paraId="60B4C8BF">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1C9B0B89">
      <w:pPr>
        <w:pStyle w:val="18"/>
        <w:bidi w:val="0"/>
        <w:rPr>
          <w:rFonts w:hint="eastAsia"/>
          <w:lang w:eastAsia="zh-CN"/>
        </w:rPr>
      </w:pPr>
      <w:r>
        <w:rPr>
          <w:rFonts w:hint="eastAsia"/>
          <w:lang w:eastAsia="zh-CN"/>
        </w:rPr>
        <w:t>2026年兴国县第十四幼儿园财政拨款“三公”经费安排0.80万元，其中：</w:t>
      </w:r>
    </w:p>
    <w:p w14:paraId="3FF93969">
      <w:pPr>
        <w:pStyle w:val="18"/>
        <w:bidi w:val="0"/>
        <w:rPr>
          <w:rFonts w:hint="eastAsia"/>
          <w:lang w:val="en-US" w:eastAsia="zh-CN"/>
        </w:rPr>
      </w:pPr>
      <w:r>
        <w:rPr>
          <w:rFonts w:hint="eastAsia"/>
          <w:lang w:eastAsia="zh-CN"/>
        </w:rPr>
        <w:t>因公出国0.00万元，比上年增加</w:t>
      </w:r>
      <w:r>
        <w:rPr>
          <w:rFonts w:hint="eastAsia"/>
          <w:lang w:val="en-US" w:eastAsia="zh-CN"/>
        </w:rPr>
        <w:t>0</w:t>
      </w:r>
      <w:r>
        <w:rPr>
          <w:rFonts w:hint="eastAsia"/>
          <w:lang w:eastAsia="zh-CN"/>
        </w:rPr>
        <w:t>万元，主要原因是：</w:t>
      </w:r>
      <w:r>
        <w:rPr>
          <w:rFonts w:hint="eastAsia"/>
          <w:lang w:val="en-US" w:eastAsia="zh-CN"/>
        </w:rPr>
        <w:t>2025年9月我们幼儿园新开办。</w:t>
      </w:r>
    </w:p>
    <w:p w14:paraId="799CA0A7">
      <w:pPr>
        <w:pStyle w:val="18"/>
        <w:bidi w:val="0"/>
        <w:rPr>
          <w:rFonts w:hint="eastAsia"/>
          <w:lang w:val="en-US" w:eastAsia="zh-CN"/>
        </w:rPr>
      </w:pPr>
      <w:r>
        <w:rPr>
          <w:rFonts w:hint="eastAsia"/>
          <w:lang w:eastAsia="zh-CN"/>
        </w:rPr>
        <w:t>公务接待0.80万元，比上年增加</w:t>
      </w:r>
      <w:r>
        <w:rPr>
          <w:rFonts w:hint="eastAsia"/>
          <w:lang w:val="en-US" w:eastAsia="zh-CN"/>
        </w:rPr>
        <w:t>0.80</w:t>
      </w:r>
      <w:r>
        <w:rPr>
          <w:rFonts w:hint="eastAsia"/>
          <w:lang w:eastAsia="zh-CN"/>
        </w:rPr>
        <w:t>万元，主要原因是：</w:t>
      </w:r>
      <w:r>
        <w:rPr>
          <w:rFonts w:hint="eastAsia"/>
          <w:lang w:val="en-US" w:eastAsia="zh-CN"/>
        </w:rPr>
        <w:t>2025年9月我们幼儿园新开办。</w:t>
      </w:r>
    </w:p>
    <w:p w14:paraId="62AEA04D">
      <w:pPr>
        <w:pStyle w:val="18"/>
        <w:bidi w:val="0"/>
        <w:rPr>
          <w:rFonts w:hint="eastAsia"/>
          <w:lang w:eastAsia="zh-CN"/>
        </w:rPr>
      </w:pPr>
      <w:r>
        <w:rPr>
          <w:rFonts w:hint="eastAsia"/>
          <w:lang w:eastAsia="zh-CN"/>
        </w:rPr>
        <w:t>公务用车运行0.00万元，比上年增加</w:t>
      </w:r>
      <w:r>
        <w:rPr>
          <w:rFonts w:hint="eastAsia"/>
          <w:lang w:val="en-US" w:eastAsia="zh-CN"/>
        </w:rPr>
        <w:t>0</w:t>
      </w:r>
      <w:r>
        <w:rPr>
          <w:rFonts w:hint="eastAsia"/>
          <w:lang w:eastAsia="zh-CN"/>
        </w:rPr>
        <w:t>万元，主要原因是：</w:t>
      </w:r>
      <w:r>
        <w:rPr>
          <w:rFonts w:hint="eastAsia"/>
          <w:lang w:val="en-US" w:eastAsia="zh-CN"/>
        </w:rPr>
        <w:t>2025年9月我们幼儿园新开办。</w:t>
      </w:r>
    </w:p>
    <w:p w14:paraId="406165A5">
      <w:pPr>
        <w:pStyle w:val="18"/>
        <w:bidi w:val="0"/>
        <w:rPr>
          <w:rFonts w:hint="eastAsia"/>
          <w:lang w:val="en-US" w:eastAsia="zh-CN"/>
        </w:rPr>
      </w:pPr>
      <w:r>
        <w:rPr>
          <w:rFonts w:hint="eastAsia"/>
          <w:lang w:eastAsia="zh-CN"/>
        </w:rPr>
        <w:t>公务用车购置0.00万元，比上年增加</w:t>
      </w:r>
      <w:r>
        <w:rPr>
          <w:rFonts w:hint="eastAsia"/>
          <w:lang w:val="en-US" w:eastAsia="zh-CN"/>
        </w:rPr>
        <w:t>0</w:t>
      </w:r>
      <w:r>
        <w:rPr>
          <w:rFonts w:hint="eastAsia"/>
          <w:lang w:eastAsia="zh-CN"/>
        </w:rPr>
        <w:t>万元，主要原因是：</w:t>
      </w:r>
      <w:r>
        <w:rPr>
          <w:rFonts w:hint="eastAsia"/>
          <w:lang w:val="en-US" w:eastAsia="zh-CN"/>
        </w:rPr>
        <w:t>2025年9月我们幼儿园新开办。</w:t>
      </w:r>
    </w:p>
    <w:p w14:paraId="0B800314">
      <w:pPr>
        <w:pStyle w:val="18"/>
        <w:bidi w:val="0"/>
        <w:rPr>
          <w:rFonts w:hint="eastAsia"/>
          <w:lang w:val="en-US" w:eastAsia="zh-CN"/>
        </w:rPr>
      </w:pPr>
    </w:p>
    <w:p w14:paraId="4FF199A8">
      <w:pPr>
        <w:pStyle w:val="18"/>
        <w:bidi w:val="0"/>
        <w:rPr>
          <w:rFonts w:hint="eastAsia"/>
          <w:lang w:val="en-US" w:eastAsia="zh-CN"/>
        </w:rPr>
      </w:pPr>
    </w:p>
    <w:p w14:paraId="6FE79056">
      <w:pPr>
        <w:pStyle w:val="18"/>
        <w:bidi w:val="0"/>
        <w:rPr>
          <w:rFonts w:hint="eastAsia"/>
          <w:lang w:val="en-US" w:eastAsia="zh-CN"/>
        </w:rPr>
      </w:pPr>
    </w:p>
    <w:p w14:paraId="69221669">
      <w:pPr>
        <w:pStyle w:val="18"/>
        <w:bidi w:val="0"/>
        <w:rPr>
          <w:rFonts w:hint="eastAsia"/>
          <w:lang w:val="en-US" w:eastAsia="zh-CN"/>
        </w:rPr>
      </w:pPr>
    </w:p>
    <w:p w14:paraId="3B7B977F">
      <w:pPr>
        <w:pStyle w:val="18"/>
        <w:bidi w:val="0"/>
        <w:rPr>
          <w:rFonts w:hint="eastAsia"/>
          <w:lang w:val="en-US" w:eastAsia="zh-CN"/>
        </w:rPr>
      </w:pPr>
    </w:p>
    <w:p w14:paraId="6E5638F0">
      <w:pPr>
        <w:pStyle w:val="17"/>
        <w:numPr>
          <w:ilvl w:val="0"/>
          <w:numId w:val="0"/>
        </w:numPr>
        <w:bidi w:val="0"/>
        <w:ind w:left="420" w:leftChars="200"/>
        <w:jc w:val="center"/>
        <w:rPr>
          <w:rFonts w:hint="eastAsia"/>
          <w:lang w:val="en-US" w:eastAsia="zh-CN"/>
        </w:rPr>
      </w:pPr>
      <w:r>
        <w:rPr>
          <w:rFonts w:hint="eastAsia"/>
          <w:lang w:val="en-US" w:eastAsia="zh-CN"/>
        </w:rPr>
        <w:t>第四部分   名词解释</w:t>
      </w:r>
    </w:p>
    <w:p w14:paraId="2A10DD3C">
      <w:pPr>
        <w:pStyle w:val="17"/>
        <w:numPr>
          <w:ilvl w:val="0"/>
          <w:numId w:val="0"/>
        </w:numPr>
        <w:bidi w:val="0"/>
        <w:ind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4F7DFDB1">
      <w:pPr>
        <w:pStyle w:val="18"/>
        <w:bidi w:val="0"/>
        <w:ind w:left="0" w:leftChars="0" w:firstLine="640" w:firstLineChars="20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51836F07">
      <w:pPr>
        <w:pStyle w:val="18"/>
        <w:bidi w:val="0"/>
        <w:ind w:left="0" w:leftChars="0" w:firstLine="640" w:firstLineChars="20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2DDE99A3">
      <w:pPr>
        <w:pStyle w:val="18"/>
        <w:bidi w:val="0"/>
        <w:ind w:left="0" w:leftChars="0" w:firstLine="640" w:firstLineChars="200"/>
        <w:rPr>
          <w:rFonts w:hint="eastAsia"/>
          <w:lang w:eastAsia="zh-CN"/>
        </w:rPr>
      </w:pPr>
      <w:r>
        <w:rPr>
          <w:rFonts w:hint="eastAsia"/>
          <w:lang w:eastAsia="zh-CN"/>
        </w:rPr>
        <w:t>（三）事业收入：指事业单位开展专业业务活动及辅助活动取得的收入。</w:t>
      </w:r>
    </w:p>
    <w:p w14:paraId="78E50A1B">
      <w:pPr>
        <w:pStyle w:val="18"/>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2E37E50F">
      <w:pPr>
        <w:pStyle w:val="18"/>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672F9F90">
      <w:pPr>
        <w:pStyle w:val="18"/>
        <w:bidi w:val="0"/>
        <w:rPr>
          <w:rFonts w:hint="eastAsia"/>
          <w:lang w:eastAsia="zh-CN"/>
        </w:rPr>
      </w:pPr>
      <w:r>
        <w:rPr>
          <w:rFonts w:hint="eastAsia"/>
          <w:lang w:eastAsia="zh-CN"/>
        </w:rPr>
        <w:t>（六）上级补助收入：指事业单位从主管部门和上级单位取得的非财政补助收入。</w:t>
      </w:r>
    </w:p>
    <w:p w14:paraId="7BE36D60">
      <w:pPr>
        <w:pStyle w:val="18"/>
        <w:bidi w:val="0"/>
        <w:rPr>
          <w:rFonts w:hint="eastAsia"/>
          <w:lang w:eastAsia="zh-CN"/>
        </w:rPr>
      </w:pPr>
      <w:r>
        <w:rPr>
          <w:rFonts w:hint="eastAsia"/>
          <w:lang w:eastAsia="zh-CN"/>
        </w:rPr>
        <w:t>（七）其他收入：指除财政拨款、事业收入、事业单位经营收入等以外的各项收入。</w:t>
      </w:r>
    </w:p>
    <w:p w14:paraId="5C246C24">
      <w:pPr>
        <w:pStyle w:val="18"/>
        <w:bidi w:val="0"/>
        <w:rPr>
          <w:rFonts w:hint="eastAsia"/>
          <w:lang w:eastAsia="zh-CN"/>
        </w:rPr>
      </w:pPr>
      <w:r>
        <w:rPr>
          <w:rFonts w:hint="eastAsia"/>
          <w:lang w:eastAsia="zh-CN"/>
        </w:rPr>
        <w:t>（八）使用非财政拨款结余：指历年滚存非限定用途的非财政拨款结余弥补本年度收支差额的数额。</w:t>
      </w:r>
    </w:p>
    <w:p w14:paraId="6793BF89">
      <w:pPr>
        <w:pStyle w:val="18"/>
        <w:bidi w:val="0"/>
        <w:rPr>
          <w:rFonts w:hint="eastAsia"/>
          <w:lang w:eastAsia="zh-CN"/>
        </w:rPr>
      </w:pPr>
      <w:r>
        <w:rPr>
          <w:rFonts w:hint="eastAsia"/>
          <w:lang w:eastAsia="zh-CN"/>
        </w:rPr>
        <w:t>（九）上年结转和结余：指以前年度全部结转和结余的资金数，包括当年结转结余资金和历年滚存结转结余资金。</w:t>
      </w:r>
    </w:p>
    <w:p w14:paraId="32801D54">
      <w:pPr>
        <w:ind w:firstLine="640" w:firstLineChars="200"/>
        <w:rPr>
          <w:rFonts w:ascii="Adobe 仿宋 Std R" w:hAnsi="Adobe 仿宋 Std R" w:eastAsia="Adobe 仿宋 Std R"/>
          <w:sz w:val="32"/>
          <w:szCs w:val="32"/>
        </w:rPr>
      </w:pPr>
    </w:p>
    <w:p w14:paraId="499CB8F3">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5B626392">
      <w:pPr>
        <w:pStyle w:val="18"/>
        <w:bidi w:val="0"/>
        <w:ind w:left="638" w:leftChars="304" w:firstLine="0" w:firstLineChars="0"/>
        <w:rPr>
          <w:rFonts w:hint="eastAsia"/>
          <w:color w:val="auto"/>
          <w:lang w:eastAsia="zh-CN"/>
        </w:rPr>
      </w:pPr>
      <w:r>
        <w:rPr>
          <w:rFonts w:hint="eastAsia"/>
          <w:color w:val="auto"/>
          <w:lang w:eastAsia="zh-CN"/>
        </w:rPr>
        <w:t>（一）行政运行：反映行政单位（事业单位）的基本支出。</w:t>
      </w:r>
    </w:p>
    <w:p w14:paraId="65ECBA63">
      <w:pPr>
        <w:pStyle w:val="18"/>
        <w:bidi w:val="0"/>
        <w:rPr>
          <w:rFonts w:hint="eastAsia"/>
          <w:color w:val="auto"/>
          <w:lang w:eastAsia="zh-CN"/>
        </w:rPr>
      </w:pPr>
      <w:r>
        <w:rPr>
          <w:rFonts w:hint="eastAsia"/>
          <w:color w:val="auto"/>
          <w:lang w:eastAsia="zh-CN"/>
        </w:rPr>
        <w:t>（二）一般行政管理事务：反映行政单位（包括事业单位）</w:t>
      </w:r>
    </w:p>
    <w:p w14:paraId="55662D6F">
      <w:pPr>
        <w:pStyle w:val="18"/>
        <w:bidi w:val="0"/>
        <w:ind w:left="0" w:leftChars="0" w:firstLine="0" w:firstLineChars="0"/>
        <w:rPr>
          <w:rFonts w:hint="eastAsia"/>
          <w:color w:val="auto"/>
          <w:lang w:eastAsia="zh-CN"/>
        </w:rPr>
      </w:pPr>
      <w:r>
        <w:rPr>
          <w:rFonts w:hint="eastAsia"/>
          <w:color w:val="auto"/>
          <w:lang w:eastAsia="zh-CN"/>
        </w:rPr>
        <w:t>未单独设置项级科目的其他项目支出。</w:t>
      </w:r>
    </w:p>
    <w:p w14:paraId="709B72B0">
      <w:pPr>
        <w:pStyle w:val="18"/>
        <w:bidi w:val="0"/>
        <w:rPr>
          <w:rFonts w:hint="eastAsia"/>
          <w:color w:val="auto"/>
          <w:lang w:eastAsia="zh-CN"/>
        </w:rPr>
      </w:pPr>
      <w:r>
        <w:rPr>
          <w:rFonts w:hint="eastAsia"/>
          <w:color w:val="auto"/>
          <w:lang w:eastAsia="zh-CN"/>
        </w:rPr>
        <w:t>（三）机关事业单位基本养老保险缴费支出：反映机关事</w:t>
      </w:r>
    </w:p>
    <w:p w14:paraId="4C9877F0">
      <w:pPr>
        <w:pStyle w:val="18"/>
        <w:bidi w:val="0"/>
        <w:ind w:left="0" w:leftChars="0" w:firstLine="0" w:firstLineChars="0"/>
        <w:rPr>
          <w:rFonts w:hint="eastAsia"/>
          <w:color w:val="auto"/>
          <w:lang w:eastAsia="zh-CN"/>
        </w:rPr>
      </w:pPr>
      <w:r>
        <w:rPr>
          <w:rFonts w:hint="eastAsia"/>
          <w:color w:val="auto"/>
          <w:lang w:eastAsia="zh-CN"/>
        </w:rPr>
        <w:t>业单位实施养老保险制度由单位缴纳的基本养老保险费的支出。</w:t>
      </w:r>
    </w:p>
    <w:p w14:paraId="5F661002">
      <w:pPr>
        <w:pStyle w:val="18"/>
        <w:bidi w:val="0"/>
        <w:rPr>
          <w:rFonts w:hint="eastAsia"/>
          <w:color w:val="auto"/>
          <w:lang w:eastAsia="zh-CN"/>
        </w:rPr>
      </w:pPr>
      <w:r>
        <w:rPr>
          <w:rFonts w:hint="eastAsia"/>
          <w:color w:val="auto"/>
          <w:lang w:eastAsia="zh-CN"/>
        </w:rPr>
        <w:t>（四）行政单位医疗：反映行政事业单位基本医疗保险缴费经费。</w:t>
      </w:r>
    </w:p>
    <w:p w14:paraId="1BDEA812">
      <w:pPr>
        <w:pStyle w:val="18"/>
        <w:bidi w:val="0"/>
        <w:rPr>
          <w:rFonts w:hint="eastAsia"/>
          <w:color w:val="auto"/>
          <w:lang w:eastAsia="zh-CN"/>
        </w:rPr>
      </w:pPr>
      <w:r>
        <w:rPr>
          <w:rFonts w:hint="eastAsia"/>
          <w:color w:val="auto"/>
          <w:lang w:eastAsia="zh-CN"/>
        </w:rPr>
        <w:t>（五）事业单位医疗：反映财政单位集中安排的事业单位</w:t>
      </w:r>
    </w:p>
    <w:p w14:paraId="7602F577">
      <w:pPr>
        <w:pStyle w:val="18"/>
        <w:bidi w:val="0"/>
        <w:ind w:left="0" w:leftChars="0" w:firstLine="0" w:firstLineChars="0"/>
        <w:rPr>
          <w:rFonts w:hint="eastAsia"/>
          <w:color w:val="auto"/>
          <w:lang w:eastAsia="zh-CN"/>
        </w:rPr>
      </w:pPr>
      <w:r>
        <w:rPr>
          <w:rFonts w:hint="eastAsia"/>
          <w:color w:val="auto"/>
          <w:lang w:eastAsia="zh-CN"/>
        </w:rPr>
        <w:t>基本医疗保险缴费经费。</w:t>
      </w:r>
    </w:p>
    <w:p w14:paraId="2F69464D">
      <w:pPr>
        <w:pStyle w:val="18"/>
        <w:numPr>
          <w:ilvl w:val="0"/>
          <w:numId w:val="3"/>
        </w:numPr>
        <w:bidi w:val="0"/>
        <w:rPr>
          <w:rFonts w:hint="eastAsia"/>
          <w:color w:val="auto"/>
          <w:lang w:eastAsia="zh-CN"/>
        </w:rPr>
      </w:pPr>
      <w:r>
        <w:rPr>
          <w:rFonts w:hint="eastAsia"/>
          <w:color w:val="auto"/>
          <w:lang w:eastAsia="zh-CN"/>
        </w:rPr>
        <w:t>死亡抚恤：反映单位遗属人员生活补助。</w:t>
      </w:r>
    </w:p>
    <w:p w14:paraId="2344DD36">
      <w:pPr>
        <w:pStyle w:val="18"/>
        <w:numPr>
          <w:ilvl w:val="0"/>
          <w:numId w:val="0"/>
        </w:numPr>
        <w:bidi w:val="0"/>
        <w:rPr>
          <w:rFonts w:hint="eastAsia"/>
          <w:color w:val="auto"/>
          <w:lang w:eastAsia="zh-CN"/>
        </w:rPr>
      </w:pPr>
    </w:p>
    <w:p w14:paraId="36372E9B">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2ECB8F30">
      <w:pPr>
        <w:pStyle w:val="18"/>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1393FAF9">
      <w:pPr>
        <w:pStyle w:val="18"/>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p w14:paraId="3436C1BA">
      <w:pPr>
        <w:pStyle w:val="18"/>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014B45">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320BB176"/>
    <w:multiLevelType w:val="singleLevel"/>
    <w:tmpl w:val="320BB176"/>
    <w:lvl w:ilvl="0" w:tentative="0">
      <w:start w:val="6"/>
      <w:numFmt w:val="chineseCounting"/>
      <w:suff w:val="nothing"/>
      <w:lvlText w:val="（%1）"/>
      <w:lvlJc w:val="left"/>
      <w:rPr>
        <w:rFonts w:hint="eastAsia"/>
      </w:rPr>
    </w:lvl>
  </w:abstractNum>
  <w:abstractNum w:abstractNumId="2">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VhOThjOGQ0YjllMWM4OWZhMmY1N2E4OGVjMDc0Zm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48762F"/>
    <w:rsid w:val="056335EC"/>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6D4104"/>
    <w:rsid w:val="0D7F0935"/>
    <w:rsid w:val="0D906017"/>
    <w:rsid w:val="0DB3098E"/>
    <w:rsid w:val="0DC46BAD"/>
    <w:rsid w:val="0E4868F2"/>
    <w:rsid w:val="0EC56195"/>
    <w:rsid w:val="0ED334BB"/>
    <w:rsid w:val="0EED77D1"/>
    <w:rsid w:val="0EFE5F92"/>
    <w:rsid w:val="0F2509E1"/>
    <w:rsid w:val="0F78258A"/>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CFA16FF"/>
    <w:rsid w:val="1D022362"/>
    <w:rsid w:val="1D156539"/>
    <w:rsid w:val="1D2E3157"/>
    <w:rsid w:val="1D683EAA"/>
    <w:rsid w:val="1D743E4F"/>
    <w:rsid w:val="1DC43CB7"/>
    <w:rsid w:val="1DE62972"/>
    <w:rsid w:val="1DED3012"/>
    <w:rsid w:val="1E002D45"/>
    <w:rsid w:val="1E332A67"/>
    <w:rsid w:val="1E426EBA"/>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546A83"/>
    <w:rsid w:val="2E661E7F"/>
    <w:rsid w:val="2ED008F1"/>
    <w:rsid w:val="2EDA06B6"/>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9B0E37"/>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0F1A65"/>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9416B6"/>
    <w:rsid w:val="4394233B"/>
    <w:rsid w:val="43B35A16"/>
    <w:rsid w:val="441308E0"/>
    <w:rsid w:val="44183669"/>
    <w:rsid w:val="45B7128B"/>
    <w:rsid w:val="45C970A0"/>
    <w:rsid w:val="45EA198E"/>
    <w:rsid w:val="461E51EB"/>
    <w:rsid w:val="467D28D5"/>
    <w:rsid w:val="46902609"/>
    <w:rsid w:val="46B35164"/>
    <w:rsid w:val="46C430DC"/>
    <w:rsid w:val="46D1677D"/>
    <w:rsid w:val="474F6361"/>
    <w:rsid w:val="475F022D"/>
    <w:rsid w:val="47704B50"/>
    <w:rsid w:val="485F6737"/>
    <w:rsid w:val="48967C7F"/>
    <w:rsid w:val="48A27B87"/>
    <w:rsid w:val="48BC3499"/>
    <w:rsid w:val="493F20C4"/>
    <w:rsid w:val="49A3337A"/>
    <w:rsid w:val="49BE0F52"/>
    <w:rsid w:val="4A0A0193"/>
    <w:rsid w:val="4A15374B"/>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7E2762"/>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4D3123"/>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28F77C1"/>
    <w:rsid w:val="629372B1"/>
    <w:rsid w:val="631906FD"/>
    <w:rsid w:val="638D7E1B"/>
    <w:rsid w:val="63B35731"/>
    <w:rsid w:val="63E33020"/>
    <w:rsid w:val="63F313D6"/>
    <w:rsid w:val="641F4B74"/>
    <w:rsid w:val="64300B2F"/>
    <w:rsid w:val="644A7E43"/>
    <w:rsid w:val="644B29EB"/>
    <w:rsid w:val="64BE02A9"/>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055BF"/>
    <w:rsid w:val="6CA82785"/>
    <w:rsid w:val="6CB20E55"/>
    <w:rsid w:val="6CE85848"/>
    <w:rsid w:val="6D15191A"/>
    <w:rsid w:val="6D3A6CB4"/>
    <w:rsid w:val="6D6B4986"/>
    <w:rsid w:val="6DEA61F3"/>
    <w:rsid w:val="6DFC5FDF"/>
    <w:rsid w:val="6E0D2F46"/>
    <w:rsid w:val="6E3D6323"/>
    <w:rsid w:val="6E9E40AE"/>
    <w:rsid w:val="6EA27AB3"/>
    <w:rsid w:val="6EA671D1"/>
    <w:rsid w:val="6EA97E5C"/>
    <w:rsid w:val="6ECC5FE7"/>
    <w:rsid w:val="6EDB6140"/>
    <w:rsid w:val="6F824716"/>
    <w:rsid w:val="6F9E1043"/>
    <w:rsid w:val="6FB14B95"/>
    <w:rsid w:val="6FBB39A3"/>
    <w:rsid w:val="6FD42CB7"/>
    <w:rsid w:val="6FEF7AF1"/>
    <w:rsid w:val="70077DE7"/>
    <w:rsid w:val="70206657"/>
    <w:rsid w:val="7029485D"/>
    <w:rsid w:val="70B56644"/>
    <w:rsid w:val="710366B1"/>
    <w:rsid w:val="71CF1988"/>
    <w:rsid w:val="71D13952"/>
    <w:rsid w:val="722021E3"/>
    <w:rsid w:val="722113D7"/>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A577BDB"/>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43CC8"/>
    <w:rsid w:val="7DA55C93"/>
    <w:rsid w:val="7DCD5C31"/>
    <w:rsid w:val="7E4D2CFE"/>
    <w:rsid w:val="7E741677"/>
    <w:rsid w:val="7E8D404B"/>
    <w:rsid w:val="7F46479C"/>
    <w:rsid w:val="7F511C2E"/>
    <w:rsid w:val="7F6364A4"/>
    <w:rsid w:val="7FA75CF2"/>
    <w:rsid w:val="7FB7473A"/>
    <w:rsid w:val="7FC01BA7"/>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d9b67a94-d0c9-4d2c-9be3-963a1614e94f</errorID>
      <errorWord>*</errorWord>
      <group>L1_Punc</group>
      <groupName>标点问题</groupName>
      <ability>L2_Punc</ability>
      <abilityName>标点符号检查</abilityName>
      <candidateList/>
      <explain/>
      <paraID>279216BD</paraID>
      <start>0</start>
      <end>1</end>
      <status>unmodified</status>
      <modifiedWord/>
      <trackRevisions>false</trackRevisions>
    </reviewItem>
    <reviewItem>
      <errorID>e4552dde-b488-46cb-aab9-7ee96c6cdb27</errorID>
      <errorWord>*</errorWord>
      <group>L1_Punc</group>
      <groupName>标点问题</groupName>
      <ability>L2_Punc</ability>
      <abilityName>标点符号检查</abilityName>
      <candidateList/>
      <explain/>
      <paraID>6FD0A8CE</paraID>
      <start>0</start>
      <end>1</end>
      <status>unmodified</status>
      <modifiedWord/>
      <trackRevisions>false</trackRevisions>
    </reviewItem>
    <reviewItem>
      <errorID>a30da050-7ef7-42b0-b544-f44414a61f16</errorID>
      <errorWord>*</errorWord>
      <group>L1_Punc</group>
      <groupName>标点问题</groupName>
      <ability>L2_Punc</ability>
      <abilityName>标点符号检查</abilityName>
      <candidateList/>
      <explain/>
      <paraID>7F2793DA</paraID>
      <start>0</start>
      <end>1</end>
      <status>unmodified</status>
      <modifiedWord/>
      <trackRevisions>false</trackRevisions>
    </reviewItem>
    <reviewItem>
      <errorID>453dd32d-335c-439a-8a64-ff3c8d98eff9</errorID>
      <errorWord>*</errorWord>
      <group>L1_Punc</group>
      <groupName>标点问题</groupName>
      <ability>L2_Punc</ability>
      <abilityName>标点符号检查</abilityName>
      <candidateList/>
      <explain/>
      <paraID>14FFD834</paraID>
      <start>0</start>
      <end>1</end>
      <status>unmodified</status>
      <modifiedWord/>
      <trackRevisions>false</trackRevisions>
    </reviewItem>
    <reviewItem>
      <errorID>89fea87a-878f-469c-9dfc-e1be600703b9</errorID>
      <errorWord>*</errorWord>
      <group>L1_Punc</group>
      <groupName>标点问题</groupName>
      <ability>L2_Punc</ability>
      <abilityName>标点符号检查</abilityName>
      <candidateList/>
      <explain/>
      <paraID>5B61813F</paraID>
      <start>0</start>
      <end>1</end>
      <status>unmodified</status>
      <modifiedWord/>
      <trackRevisions>false</trackRevisions>
    </reviewItem>
    <reviewItem>
      <errorID>a5880ad8-cf30-4517-bb9c-3f233af6bb4e</errorID>
      <errorWord>*</errorWord>
      <group>L1_Punc</group>
      <groupName>标点问题</groupName>
      <ability>L2_Punc</ability>
      <abilityName>标点符号检查</abilityName>
      <candidateList/>
      <explain/>
      <paraID>436413A0</paraID>
      <start>0</start>
      <end>1</end>
      <status>unmodified</status>
      <modifiedWord/>
      <trackRevisions>false</trackRevisions>
    </reviewItem>
    <reviewItem>
      <errorID>4dd75c9e-6b60-4161-8f5b-3f60f9adc571</errorID>
      <errorWord>*</errorWord>
      <group>L1_Punc</group>
      <groupName>标点问题</groupName>
      <ability>L2_Punc</ability>
      <abilityName>标点符号检查</abilityName>
      <candidateList/>
      <explain/>
      <paraID>1900C529</paraID>
      <start>0</start>
      <end>1</end>
      <status>unmodified</status>
      <modifiedWord/>
      <trackRevisions>false</trackRevisions>
    </reviewItem>
    <reviewItem>
      <errorID>e2df6874-df8f-4372-8112-82f9fad7e394</errorID>
      <errorWord>*</errorWord>
      <group>L1_Punc</group>
      <groupName>标点问题</groupName>
      <ability>L2_Punc</ability>
      <abilityName>标点符号检查</abilityName>
      <candidateList/>
      <explain/>
      <paraID> CF01946</paraID>
      <start>0</start>
      <end>1</end>
      <status>unmodified</status>
      <modifiedWord/>
      <trackRevisions>false</trackRevisions>
    </reviewItem>
    <reviewItem>
      <errorID>48cd2604-7882-480a-853a-cb5a8ed06a71</errorID>
      <errorWord>*</errorWord>
      <group>L1_Punc</group>
      <groupName>标点问题</groupName>
      <ability>L2_Punc</ability>
      <abilityName>标点符号检查</abilityName>
      <candidateList/>
      <explain/>
      <paraID>37644675</paraID>
      <start>0</start>
      <end>1</end>
      <status>unmodified</status>
      <modifiedWord/>
      <trackRevisions>false</trackRevisions>
    </reviewItem>
    <reviewItem>
      <errorID>066c7558-a693-4508-b504-f5e4c55c53fc</errorID>
      <errorWord>*</errorWord>
      <group>L1_Punc</group>
      <groupName>标点问题</groupName>
      <ability>L2_Punc</ability>
      <abilityName>标点符号检查</abilityName>
      <candidateList/>
      <explain/>
      <paraID>7E7B24FC</paraID>
      <start>0</start>
      <end>1</end>
      <status>unmodified</status>
      <modifiedWord/>
      <trackRevisions>false</trackRevisions>
    </reviewItem>
    <reviewItem>
      <errorID>ffabe65f-431e-4edd-b439-86b38c617d33</errorID>
      <errorWord>*</errorWord>
      <group>L1_Punc</group>
      <groupName>标点问题</groupName>
      <ability>L2_Punc</ability>
      <abilityName>标点符号检查</abilityName>
      <candidateList/>
      <explain/>
      <paraID>372E66D5</paraID>
      <start>0</start>
      <end>1</end>
      <status>unmodified</status>
      <modifiedWord/>
      <trackRevisions>false</trackRevisions>
    </reviewItem>
  </reviewItems>
  <config/>
</contractReview>
</file>

<file path=customXml/itemProps1.xml><?xml version="1.0" encoding="utf-8"?>
<ds:datastoreItem xmlns:ds="http://schemas.openxmlformats.org/officeDocument/2006/customXml" ds:itemID="{8a1d8737-65c0-4819-8750-43647f4d2dcd}">
  <ds:schemaRefs/>
</ds:datastoreItem>
</file>

<file path=docProps/app.xml><?xml version="1.0" encoding="utf-8"?>
<Properties xmlns="http://schemas.openxmlformats.org/officeDocument/2006/extended-properties" xmlns:vt="http://schemas.openxmlformats.org/officeDocument/2006/docPropsVTypes">
  <Template>Normal.dotm</Template>
  <Pages>20</Pages>
  <Words>4704</Words>
  <Characters>5906</Characters>
  <Lines>47</Lines>
  <Paragraphs>13</Paragraphs>
  <TotalTime>68</TotalTime>
  <ScaleCrop>false</ScaleCrop>
  <LinksUpToDate>false</LinksUpToDate>
  <CharactersWithSpaces>6003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2026-03-13T09:13:52Z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5E69F2F11786411E9A7A7D56EE7E96E1_13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