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11515">
      <w:pPr>
        <w:pStyle w:val="16"/>
        <w:bidi w:val="0"/>
        <w:rPr>
          <w:rFonts w:hint="eastAsia"/>
        </w:rPr>
      </w:pPr>
      <w:r>
        <w:rPr>
          <w:rFonts w:hint="eastAsia"/>
          <w:lang w:eastAsia="zh-CN"/>
        </w:rPr>
        <w:t>兴国县第十一小学2026</w:t>
      </w:r>
      <w:r>
        <w:rPr>
          <w:rFonts w:hint="eastAsia"/>
        </w:rPr>
        <w:t>年</w:t>
      </w:r>
      <w:r>
        <w:rPr>
          <w:rFonts w:hint="eastAsia"/>
          <w:lang w:val="en-US" w:eastAsia="zh-CN"/>
        </w:rPr>
        <w:t>单位</w:t>
      </w:r>
      <w:r>
        <w:rPr>
          <w:rFonts w:hint="eastAsia"/>
        </w:rPr>
        <w:t>预算</w:t>
      </w:r>
    </w:p>
    <w:p w14:paraId="7EE860A3">
      <w:pPr>
        <w:pStyle w:val="13"/>
        <w:spacing w:line="600" w:lineRule="atLeast"/>
        <w:jc w:val="center"/>
        <w:rPr>
          <w:rFonts w:ascii="黑体" w:hAnsi="黑体" w:eastAsia="黑体"/>
          <w:color w:val="000000"/>
          <w:sz w:val="32"/>
          <w:szCs w:val="32"/>
        </w:rPr>
      </w:pPr>
    </w:p>
    <w:p w14:paraId="61DF1611">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D7C7F42">
      <w:pPr>
        <w:pStyle w:val="13"/>
        <w:rPr>
          <w:rFonts w:ascii="宋体" w:hAnsi="宋体"/>
          <w:color w:val="000000"/>
        </w:rPr>
      </w:pPr>
    </w:p>
    <w:p w14:paraId="41D9854D">
      <w:pPr>
        <w:pStyle w:val="17"/>
        <w:numPr>
          <w:ilvl w:val="0"/>
          <w:numId w:val="0"/>
        </w:numPr>
        <w:bidi w:val="0"/>
        <w:ind w:left="420" w:leftChars="200"/>
        <w:jc w:val="left"/>
        <w:rPr>
          <w:rFonts w:hint="eastAsia"/>
          <w:lang w:eastAsia="zh-CN"/>
        </w:rPr>
      </w:pPr>
      <w:r>
        <w:rPr>
          <w:rFonts w:hint="eastAsia"/>
          <w:lang w:val="en-US" w:eastAsia="zh-CN"/>
        </w:rPr>
        <w:t>第一部分  兴国县第十一小学概况</w:t>
      </w:r>
    </w:p>
    <w:p w14:paraId="4702F96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03E81DE3">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44F484C">
      <w:pPr>
        <w:pStyle w:val="18"/>
        <w:bidi w:val="0"/>
        <w:rPr>
          <w:rFonts w:hint="eastAsia" w:ascii="仿宋_GB2312" w:hAnsi="仿宋_GB2312" w:eastAsia="仿宋_GB2312" w:cs="仿宋_GB2312"/>
        </w:rPr>
      </w:pPr>
    </w:p>
    <w:p w14:paraId="01AF2E27">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兴国县第十一小学2026</w:t>
      </w:r>
      <w:r>
        <w:rPr>
          <w:rFonts w:hint="eastAsia"/>
        </w:rPr>
        <w:t>年</w:t>
      </w:r>
      <w:r>
        <w:rPr>
          <w:rFonts w:hint="eastAsia"/>
          <w:lang w:val="en-US" w:eastAsia="zh-CN"/>
        </w:rPr>
        <w:t>单位</w:t>
      </w:r>
      <w:r>
        <w:rPr>
          <w:rFonts w:hint="eastAsia"/>
        </w:rPr>
        <w:t>预算表</w:t>
      </w:r>
    </w:p>
    <w:p w14:paraId="258F422A">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3660645A">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78159FB">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7AE8F31">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2E79623">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66143737">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0E7115BE">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F0AEB17">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029E5AB4">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63A74A0">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05EA8C67">
      <w:pPr>
        <w:pStyle w:val="18"/>
        <w:bidi w:val="0"/>
        <w:ind w:left="0" w:leftChars="0" w:firstLine="0" w:firstLineChars="0"/>
        <w:rPr>
          <w:rFonts w:hint="eastAsia" w:ascii="仿宋_GB2312" w:hAnsi="仿宋_GB2312" w:eastAsia="仿宋_GB2312" w:cs="仿宋_GB2312"/>
        </w:rPr>
      </w:pPr>
    </w:p>
    <w:p w14:paraId="7C9B246F">
      <w:pPr>
        <w:pStyle w:val="17"/>
        <w:numPr>
          <w:ilvl w:val="0"/>
          <w:numId w:val="0"/>
        </w:numPr>
        <w:bidi w:val="0"/>
        <w:ind w:left="420" w:leftChars="200"/>
        <w:jc w:val="left"/>
        <w:rPr>
          <w:rFonts w:hint="eastAsia"/>
          <w:lang w:eastAsia="zh-CN"/>
        </w:rPr>
      </w:pPr>
      <w:r>
        <w:rPr>
          <w:rFonts w:hint="eastAsia"/>
          <w:lang w:eastAsia="zh-CN"/>
        </w:rPr>
        <w:t>第三部分 兴国县第十一小学 2026年</w:t>
      </w:r>
      <w:r>
        <w:rPr>
          <w:rFonts w:hint="eastAsia"/>
          <w:lang w:val="en-US" w:eastAsia="zh-CN"/>
        </w:rPr>
        <w:t>单位</w:t>
      </w:r>
      <w:r>
        <w:rPr>
          <w:rFonts w:hint="eastAsia"/>
          <w:lang w:eastAsia="zh-CN"/>
        </w:rPr>
        <w:t>预算情况说明</w:t>
      </w:r>
    </w:p>
    <w:p w14:paraId="56B5E2BA">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6698C551">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534831F">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3D4DCD8B">
      <w:pPr>
        <w:pStyle w:val="17"/>
        <w:numPr>
          <w:ilvl w:val="0"/>
          <w:numId w:val="0"/>
        </w:numPr>
        <w:bidi w:val="0"/>
        <w:ind w:left="420" w:leftChars="200"/>
        <w:jc w:val="left"/>
        <w:rPr>
          <w:rFonts w:hint="eastAsia"/>
          <w:lang w:eastAsia="zh-CN"/>
        </w:rPr>
      </w:pPr>
      <w:r>
        <w:rPr>
          <w:rFonts w:hint="eastAsia"/>
          <w:lang w:eastAsia="zh-CN"/>
        </w:rPr>
        <w:t>第四部分  名词解释</w:t>
      </w:r>
    </w:p>
    <w:p w14:paraId="3E99D921">
      <w:pPr>
        <w:rPr>
          <w:rFonts w:hint="eastAsia"/>
          <w:lang w:eastAsia="zh-CN"/>
        </w:rPr>
      </w:pPr>
    </w:p>
    <w:p w14:paraId="1A07E3E9">
      <w:pPr>
        <w:widowControl/>
        <w:spacing w:line="580" w:lineRule="exact"/>
        <w:jc w:val="both"/>
        <w:rPr>
          <w:rFonts w:ascii="仿宋_GB2312" w:eastAsia="仿宋_GB2312"/>
          <w:b/>
          <w:sz w:val="32"/>
          <w:szCs w:val="30"/>
        </w:rPr>
      </w:pPr>
    </w:p>
    <w:p w14:paraId="417824C6">
      <w:pPr>
        <w:pStyle w:val="17"/>
        <w:numPr>
          <w:ilvl w:val="0"/>
          <w:numId w:val="0"/>
        </w:numPr>
        <w:bidi w:val="0"/>
        <w:ind w:left="420" w:leftChars="200"/>
        <w:jc w:val="center"/>
        <w:rPr>
          <w:rFonts w:hint="eastAsia"/>
          <w:lang w:eastAsia="zh-CN"/>
        </w:rPr>
      </w:pPr>
      <w:r>
        <w:rPr>
          <w:rFonts w:hint="eastAsia"/>
          <w:lang w:eastAsia="zh-CN"/>
        </w:rPr>
        <w:t>第一部分  兴国县第十一小学概况</w:t>
      </w:r>
    </w:p>
    <w:p w14:paraId="0A57A6D4">
      <w:pPr>
        <w:widowControl/>
        <w:spacing w:line="580" w:lineRule="exact"/>
        <w:jc w:val="left"/>
        <w:rPr>
          <w:rFonts w:asciiTheme="minorEastAsia" w:hAnsiTheme="minorEastAsia"/>
          <w:b/>
          <w:sz w:val="36"/>
          <w:szCs w:val="36"/>
        </w:rPr>
      </w:pPr>
    </w:p>
    <w:p w14:paraId="4A2290C5">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4E83C80">
      <w:pPr>
        <w:pStyle w:val="18"/>
        <w:bidi w:val="0"/>
        <w:rPr>
          <w:rFonts w:hint="eastAsia" w:ascii="仿宋_GB2312" w:hAnsi="仿宋_GB2312" w:eastAsia="仿宋_GB2312" w:cs="仿宋_GB2312"/>
        </w:rPr>
      </w:pPr>
      <w:r>
        <w:rPr>
          <w:rFonts w:hint="eastAsia" w:ascii="仿宋_GB2312" w:hAnsi="仿宋_GB2312" w:eastAsia="仿宋_GB2312" w:cs="仿宋_GB2312"/>
        </w:rPr>
        <w:t>（一）负责全面贯彻党的教育方针，认真执行国家和上级有关部门制定的法律法规和有关政策，正确处理国家、学校和教职工个人三者之间的关系。</w:t>
      </w:r>
    </w:p>
    <w:p w14:paraId="6585C3B6">
      <w:pPr>
        <w:pStyle w:val="18"/>
        <w:bidi w:val="0"/>
        <w:rPr>
          <w:rFonts w:hint="eastAsia" w:ascii="仿宋_GB2312" w:hAnsi="仿宋_GB2312" w:eastAsia="仿宋_GB2312" w:cs="仿宋_GB2312"/>
        </w:rPr>
      </w:pPr>
      <w:r>
        <w:rPr>
          <w:rFonts w:hint="eastAsia" w:ascii="仿宋_GB2312" w:hAnsi="仿宋_GB2312" w:eastAsia="仿宋_GB2312" w:cs="仿宋_GB2312"/>
        </w:rPr>
        <w:t>（二）根据上级主管部门下达的任务，制定学校的发展规划和学年、学期工作计划及各项工作管理制度和相应的检查评比考核办法，并认真组织实施，实现校长任期工作目标。</w:t>
      </w:r>
    </w:p>
    <w:p w14:paraId="50A582B2">
      <w:pPr>
        <w:pStyle w:val="18"/>
        <w:bidi w:val="0"/>
        <w:rPr>
          <w:rFonts w:hint="eastAsia" w:ascii="仿宋_GB2312" w:hAnsi="仿宋_GB2312" w:eastAsia="仿宋_GB2312" w:cs="仿宋_GB2312"/>
        </w:rPr>
      </w:pPr>
      <w:r>
        <w:rPr>
          <w:rFonts w:hint="eastAsia" w:ascii="仿宋_GB2312" w:hAnsi="仿宋_GB2312" w:eastAsia="仿宋_GB2312" w:cs="仿宋_GB2312"/>
        </w:rPr>
        <w:t>（三）坚持管理育人、教书育人、服务育人的工作方针，提高教职工队伍的综合素质。增强教师事业心和责任感，调动教师工作的积极性，争创一流的教育教学工作质量。培养和选拔使用干部。</w:t>
      </w:r>
    </w:p>
    <w:p w14:paraId="76226DCD">
      <w:pPr>
        <w:pStyle w:val="18"/>
        <w:bidi w:val="0"/>
        <w:rPr>
          <w:rFonts w:hint="eastAsia" w:ascii="仿宋_GB2312" w:hAnsi="仿宋_GB2312" w:eastAsia="仿宋_GB2312" w:cs="仿宋_GB2312"/>
        </w:rPr>
      </w:pPr>
      <w:r>
        <w:rPr>
          <w:rFonts w:hint="eastAsia" w:ascii="仿宋_GB2312" w:hAnsi="仿宋_GB2312" w:eastAsia="仿宋_GB2312" w:cs="仿宋_GB2312"/>
        </w:rPr>
        <w:t>（四）加强学校人事教育教学、总务等各方面工作的组织管理，推动学校内部综合改革的不断深化，建立科学、高效、有活力的管理运行机制，使学校走向自我完善、自我发展的道路。</w:t>
      </w:r>
    </w:p>
    <w:p w14:paraId="15517D79">
      <w:pPr>
        <w:pStyle w:val="18"/>
        <w:bidi w:val="0"/>
        <w:rPr>
          <w:rFonts w:hint="eastAsia" w:ascii="仿宋_GB2312" w:hAnsi="仿宋_GB2312" w:eastAsia="仿宋_GB2312" w:cs="仿宋_GB2312"/>
        </w:rPr>
      </w:pPr>
      <w:r>
        <w:rPr>
          <w:rFonts w:hint="eastAsia" w:ascii="仿宋_GB2312" w:hAnsi="仿宋_GB2312" w:eastAsia="仿宋_GB2312" w:cs="仿宋_GB2312"/>
        </w:rPr>
        <w:t>（五）自觉接受党组织的监督，定期向党组织汇报工作，尊</w:t>
      </w:r>
      <w:r>
        <w:rPr>
          <w:rFonts w:hint="eastAsia" w:cs="仿宋_GB2312"/>
          <w:lang w:eastAsia="zh-CN"/>
        </w:rPr>
        <w:t>重和</w:t>
      </w:r>
      <w:r>
        <w:rPr>
          <w:rFonts w:hint="eastAsia" w:ascii="仿宋_GB2312" w:hAnsi="仿宋_GB2312" w:eastAsia="仿宋_GB2312" w:cs="仿宋_GB2312"/>
        </w:rPr>
        <w:t>支持教职工群众参与学校民主管理的权利。</w:t>
      </w:r>
    </w:p>
    <w:p w14:paraId="77D18E20">
      <w:pPr>
        <w:pStyle w:val="18"/>
        <w:bidi w:val="0"/>
        <w:rPr>
          <w:rFonts w:hint="eastAsia" w:ascii="仿宋_GB2312" w:hAnsi="仿宋_GB2312" w:eastAsia="仿宋_GB2312" w:cs="仿宋_GB2312"/>
        </w:rPr>
      </w:pPr>
      <w:r>
        <w:rPr>
          <w:rFonts w:hint="eastAsia" w:ascii="仿宋_GB2312" w:hAnsi="仿宋_GB2312" w:eastAsia="仿宋_GB2312" w:cs="仿宋_GB2312"/>
        </w:rPr>
        <w:t>（六）全身心地投入工作，关心群众生活。自觉加强自我制约机制，保证校长负责制机制下的学校健康发展。</w:t>
      </w:r>
    </w:p>
    <w:p w14:paraId="3931D2C7">
      <w:pPr>
        <w:pStyle w:val="18"/>
        <w:bidi w:val="0"/>
        <w:rPr>
          <w:rFonts w:hint="eastAsia" w:ascii="仿宋_GB2312" w:hAnsi="仿宋_GB2312" w:eastAsia="仿宋_GB2312" w:cs="仿宋_GB2312"/>
        </w:rPr>
      </w:pPr>
    </w:p>
    <w:p w14:paraId="63322986">
      <w:pPr>
        <w:pStyle w:val="17"/>
        <w:numPr>
          <w:ilvl w:val="0"/>
          <w:numId w:val="0"/>
        </w:numPr>
        <w:bidi w:val="0"/>
        <w:ind w:left="420" w:leftChars="200" w:firstLine="320" w:firstLineChars="100"/>
        <w:rPr>
          <w:rFonts w:hint="eastAsia"/>
        </w:rPr>
      </w:pPr>
      <w:r>
        <w:rPr>
          <w:rFonts w:hint="eastAsia"/>
        </w:rPr>
        <w:t>二、机构设置及人员情况</w:t>
      </w:r>
    </w:p>
    <w:p w14:paraId="21A6836B">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兴国县第十一小学内设处室</w:t>
      </w:r>
      <w:r>
        <w:rPr>
          <w:rFonts w:hint="eastAsia" w:cs="仿宋_GB2312"/>
          <w:u w:val="none"/>
          <w:lang w:val="en-US" w:eastAsia="zh-CN"/>
        </w:rPr>
        <w:t>4</w:t>
      </w:r>
      <w:r>
        <w:rPr>
          <w:rFonts w:hint="eastAsia" w:ascii="仿宋_GB2312" w:hAnsi="仿宋_GB2312" w:eastAsia="仿宋_GB2312" w:cs="仿宋_GB2312"/>
          <w:lang w:eastAsia="zh-CN"/>
        </w:rPr>
        <w:t>个，包括：</w:t>
      </w:r>
      <w:r>
        <w:rPr>
          <w:rFonts w:hint="eastAsia" w:cs="仿宋_GB2312"/>
          <w:u w:val="none"/>
          <w:lang w:val="en-US" w:eastAsia="zh-CN"/>
        </w:rPr>
        <w:t>教导处、总务处、少先队大队、电教处</w:t>
      </w:r>
      <w:r>
        <w:rPr>
          <w:rFonts w:hint="eastAsia" w:ascii="仿宋_GB2312" w:hAnsi="仿宋_GB2312" w:eastAsia="仿宋_GB2312" w:cs="仿宋_GB2312"/>
          <w:u w:val="none"/>
        </w:rPr>
        <w:t>。</w:t>
      </w:r>
    </w:p>
    <w:p w14:paraId="71DEE9C7">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2026年</w:t>
      </w:r>
      <w:r>
        <w:rPr>
          <w:rFonts w:hint="eastAsia" w:ascii="仿宋_GB2312" w:hAnsi="仿宋_GB2312" w:eastAsia="仿宋_GB2312" w:cs="仿宋_GB2312"/>
          <w:lang w:eastAsia="zh-CN"/>
        </w:rPr>
        <w:t>本单位编制人数小计</w:t>
      </w:r>
      <w:r>
        <w:rPr>
          <w:rFonts w:hint="eastAsia" w:cs="仿宋_GB2312"/>
          <w:lang w:val="en-US" w:eastAsia="zh-CN"/>
        </w:rPr>
        <w:t>2</w:t>
      </w: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其中：行政编制人数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参照公务员管理的事业编制人数</w:t>
      </w:r>
      <w:r>
        <w:rPr>
          <w:rFonts w:hint="eastAsia" w:ascii="仿宋_GB2312" w:hAnsi="仿宋_GB2312" w:eastAsia="仿宋_GB2312" w:cs="仿宋_GB2312"/>
          <w:lang w:val="en-US" w:eastAsia="zh-CN"/>
        </w:rPr>
        <w:t xml:space="preserve"> 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全部补助事业编制人数</w:t>
      </w:r>
      <w:r>
        <w:rPr>
          <w:rFonts w:hint="eastAsia" w:cs="仿宋_GB2312"/>
          <w:lang w:val="en-US" w:eastAsia="zh-CN"/>
        </w:rPr>
        <w:t>2</w:t>
      </w: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自收自支编制人数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人。实有人数小计</w:t>
      </w:r>
      <w:r>
        <w:rPr>
          <w:rFonts w:hint="eastAsia" w:cs="仿宋_GB2312"/>
          <w:lang w:val="en-US" w:eastAsia="zh-CN"/>
        </w:rPr>
        <w:t>2</w:t>
      </w: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其中：在职人数小计</w:t>
      </w:r>
      <w:r>
        <w:rPr>
          <w:rFonts w:hint="eastAsia" w:cs="仿宋_GB2312"/>
          <w:lang w:val="en-US" w:eastAsia="zh-CN"/>
        </w:rPr>
        <w:t>2</w:t>
      </w: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人（行政在职人数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参照公务员管理的事业单位在职人数</w:t>
      </w:r>
      <w:r>
        <w:rPr>
          <w:rFonts w:hint="eastAsia" w:ascii="仿宋_GB2312" w:hAnsi="仿宋_GB2312" w:eastAsia="仿宋_GB2312" w:cs="仿宋_GB2312"/>
          <w:lang w:val="en-US" w:eastAsia="zh-CN"/>
        </w:rPr>
        <w:t xml:space="preserve"> 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全部补助事业在职人数</w:t>
      </w:r>
      <w:r>
        <w:rPr>
          <w:rFonts w:hint="eastAsia" w:cs="仿宋_GB2312"/>
          <w:lang w:val="en-US" w:eastAsia="zh-CN"/>
        </w:rPr>
        <w:t>2</w:t>
      </w:r>
      <w:r>
        <w:rPr>
          <w:rFonts w:hint="eastAsia" w:ascii="仿宋_GB2312" w:hAnsi="仿宋_GB2312" w:eastAsia="仿宋_GB2312" w:cs="仿宋_GB2312"/>
          <w:lang w:val="en-US" w:eastAsia="zh-CN"/>
        </w:rPr>
        <w:t>8</w:t>
      </w:r>
      <w:r>
        <w:rPr>
          <w:rFonts w:hint="eastAsia" w:ascii="仿宋_GB2312" w:hAnsi="仿宋_GB2312" w:eastAsia="仿宋_GB2312" w:cs="仿宋_GB2312"/>
          <w:lang w:eastAsia="zh-CN"/>
        </w:rPr>
        <w:t>人）；离休人数小计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人；退休人数小计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lang w:eastAsia="zh-CN"/>
        </w:rPr>
        <w:t>人。</w:t>
      </w:r>
    </w:p>
    <w:p w14:paraId="555AD75D">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2026年在校学生</w:t>
      </w:r>
      <w:r>
        <w:rPr>
          <w:rFonts w:hint="eastAsia" w:cs="仿宋_GB2312"/>
          <w:lang w:val="en-US" w:eastAsia="zh-CN"/>
        </w:rPr>
        <w:t>463</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其中：本科生人数</w:t>
      </w:r>
      <w:r>
        <w:rPr>
          <w:rFonts w:hint="eastAsia" w:cs="仿宋_GB2312"/>
          <w:lang w:val="en-US" w:eastAsia="zh-CN"/>
        </w:rPr>
        <w:t>0</w:t>
      </w:r>
      <w:r>
        <w:rPr>
          <w:rFonts w:hint="eastAsia" w:ascii="仿宋_GB2312" w:hAnsi="仿宋_GB2312" w:eastAsia="仿宋_GB2312" w:cs="仿宋_GB2312"/>
          <w:lang w:eastAsia="zh-CN"/>
        </w:rPr>
        <w:t>人，专科生人数</w:t>
      </w:r>
      <w:r>
        <w:rPr>
          <w:rFonts w:hint="eastAsia" w:cs="仿宋_GB2312"/>
          <w:lang w:val="en-US" w:eastAsia="zh-CN"/>
        </w:rPr>
        <w:t>0</w:t>
      </w:r>
      <w:r>
        <w:rPr>
          <w:rFonts w:hint="eastAsia" w:ascii="仿宋_GB2312" w:hAnsi="仿宋_GB2312" w:eastAsia="仿宋_GB2312" w:cs="仿宋_GB2312"/>
          <w:lang w:eastAsia="zh-CN"/>
        </w:rPr>
        <w:t>人，高中生人数</w:t>
      </w:r>
      <w:r>
        <w:rPr>
          <w:rFonts w:hint="eastAsia" w:cs="仿宋_GB2312"/>
          <w:lang w:val="en-US" w:eastAsia="zh-CN"/>
        </w:rPr>
        <w:t>0</w:t>
      </w:r>
      <w:r>
        <w:rPr>
          <w:rFonts w:hint="eastAsia" w:ascii="仿宋_GB2312" w:hAnsi="仿宋_GB2312" w:eastAsia="仿宋_GB2312" w:cs="仿宋_GB2312"/>
          <w:lang w:eastAsia="zh-CN"/>
        </w:rPr>
        <w:t>人，初中生人数</w:t>
      </w:r>
      <w:r>
        <w:rPr>
          <w:rFonts w:hint="eastAsia" w:cs="仿宋_GB2312"/>
          <w:lang w:val="en-US" w:eastAsia="zh-CN"/>
        </w:rPr>
        <w:t>0</w:t>
      </w:r>
      <w:r>
        <w:rPr>
          <w:rFonts w:hint="eastAsia" w:ascii="仿宋_GB2312" w:hAnsi="仿宋_GB2312" w:eastAsia="仿宋_GB2312" w:cs="仿宋_GB2312"/>
          <w:lang w:eastAsia="zh-CN"/>
        </w:rPr>
        <w:t>人，小学生人数</w:t>
      </w:r>
      <w:r>
        <w:rPr>
          <w:rFonts w:hint="eastAsia" w:cs="仿宋_GB2312"/>
          <w:lang w:val="en-US" w:eastAsia="zh-CN"/>
        </w:rPr>
        <w:t>463</w:t>
      </w:r>
      <w:r>
        <w:rPr>
          <w:rFonts w:hint="eastAsia" w:ascii="仿宋_GB2312" w:hAnsi="仿宋_GB2312" w:eastAsia="仿宋_GB2312" w:cs="仿宋_GB2312"/>
          <w:lang w:eastAsia="zh-CN"/>
        </w:rPr>
        <w:t>人，学前教育幼儿人数</w:t>
      </w:r>
      <w:r>
        <w:rPr>
          <w:rFonts w:hint="eastAsia" w:cs="仿宋_GB2312"/>
          <w:lang w:val="en-US" w:eastAsia="zh-CN"/>
        </w:rPr>
        <w:t>0</w:t>
      </w:r>
      <w:r>
        <w:rPr>
          <w:rFonts w:hint="eastAsia" w:ascii="仿宋_GB2312" w:hAnsi="仿宋_GB2312" w:eastAsia="仿宋_GB2312" w:cs="仿宋_GB2312"/>
          <w:lang w:eastAsia="zh-CN"/>
        </w:rPr>
        <w:t>人。</w:t>
      </w:r>
    </w:p>
    <w:p w14:paraId="4788E898">
      <w:pPr>
        <w:widowControl/>
        <w:spacing w:line="580" w:lineRule="exact"/>
        <w:jc w:val="center"/>
        <w:rPr>
          <w:rFonts w:ascii="仿宋_GB2312" w:eastAsia="仿宋_GB2312"/>
          <w:b/>
          <w:szCs w:val="30"/>
        </w:rPr>
      </w:pPr>
    </w:p>
    <w:p w14:paraId="62BF159F">
      <w:pPr>
        <w:pStyle w:val="17"/>
        <w:numPr>
          <w:ilvl w:val="0"/>
          <w:numId w:val="0"/>
        </w:numPr>
        <w:bidi w:val="0"/>
        <w:ind w:left="420" w:leftChars="200"/>
        <w:jc w:val="center"/>
        <w:rPr>
          <w:rFonts w:hint="eastAsia"/>
          <w:lang w:eastAsia="zh-CN"/>
        </w:rPr>
      </w:pPr>
      <w:r>
        <w:rPr>
          <w:rFonts w:hint="eastAsia"/>
          <w:lang w:eastAsia="zh-CN"/>
        </w:rPr>
        <w:t>第二部分  兴国县第十一小学2026年</w:t>
      </w:r>
      <w:r>
        <w:rPr>
          <w:rFonts w:hint="eastAsia"/>
          <w:lang w:val="en-US" w:eastAsia="zh-CN"/>
        </w:rPr>
        <w:t>单位</w:t>
      </w:r>
      <w:r>
        <w:rPr>
          <w:rFonts w:hint="eastAsia"/>
          <w:lang w:eastAsia="zh-CN"/>
        </w:rPr>
        <w:t>预算表</w:t>
      </w:r>
    </w:p>
    <w:p w14:paraId="184A2B08">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1C231D9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7AA2E802">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C698189">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96C44C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201110兴国县第十一小学</w:t>
            </w:r>
          </w:p>
        </w:tc>
        <w:tc>
          <w:tcPr>
            <w:tcW w:w="1655" w:type="pct"/>
            <w:noWrap/>
            <w:vAlign w:val="bottom"/>
          </w:tcPr>
          <w:p w14:paraId="639CA467">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07564C0">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565186C">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46EBC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35E044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11A13D0">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0E3EB5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CDD48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8E41C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58A34C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62E7D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5093AB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1AECB2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378.04</w:t>
            </w:r>
          </w:p>
        </w:tc>
        <w:tc>
          <w:tcPr>
            <w:tcW w:w="1655" w:type="pct"/>
            <w:tcBorders>
              <w:top w:val="nil"/>
              <w:left w:val="nil"/>
              <w:bottom w:val="single" w:color="000000" w:sz="4" w:space="0"/>
              <w:right w:val="single" w:color="000000" w:sz="4" w:space="0"/>
            </w:tcBorders>
            <w:noWrap/>
            <w:vAlign w:val="center"/>
          </w:tcPr>
          <w:p w14:paraId="640327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3781CE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312.63</w:t>
            </w:r>
          </w:p>
        </w:tc>
      </w:tr>
      <w:tr w14:paraId="5B77EA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FB84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0ACCB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378.04</w:t>
            </w:r>
          </w:p>
        </w:tc>
        <w:tc>
          <w:tcPr>
            <w:tcW w:w="1655" w:type="pct"/>
            <w:tcBorders>
              <w:top w:val="nil"/>
              <w:left w:val="nil"/>
              <w:bottom w:val="single" w:color="000000" w:sz="4" w:space="0"/>
              <w:right w:val="single" w:color="000000" w:sz="4" w:space="0"/>
            </w:tcBorders>
            <w:noWrap/>
            <w:vAlign w:val="center"/>
          </w:tcPr>
          <w:p w14:paraId="79431F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451EE5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39.87</w:t>
            </w:r>
          </w:p>
        </w:tc>
      </w:tr>
      <w:tr w14:paraId="626868D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A7B15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8E541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B2B35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D8BC6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25.54</w:t>
            </w:r>
          </w:p>
        </w:tc>
      </w:tr>
      <w:tr w14:paraId="1F8AE51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974E7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52E1B2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6C681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4D7EEB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300.00</w:t>
            </w:r>
          </w:p>
        </w:tc>
      </w:tr>
      <w:tr w14:paraId="138034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80E0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5865B9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F1A1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0808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2BD12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C871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52720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1191A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9C83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F7D9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97DB5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ADDA3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8DFE6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068CB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607A5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181A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F6934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BE33F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8B1C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955D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E08E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431E4C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78F0E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FDE5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B3E15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4F2BB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0183AC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300.00</w:t>
            </w:r>
          </w:p>
        </w:tc>
        <w:tc>
          <w:tcPr>
            <w:tcW w:w="1655" w:type="pct"/>
            <w:tcBorders>
              <w:top w:val="nil"/>
              <w:left w:val="nil"/>
              <w:bottom w:val="single" w:color="000000" w:sz="4" w:space="0"/>
              <w:right w:val="single" w:color="000000" w:sz="4" w:space="0"/>
            </w:tcBorders>
            <w:noWrap/>
            <w:vAlign w:val="center"/>
          </w:tcPr>
          <w:p w14:paraId="09B659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C652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D0F4D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0139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D02C7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0299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3800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59D4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BEBC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4BE09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957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FC31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84D18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C570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4F2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185E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2600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3A13A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B8874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0675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7920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A216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5A228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1164C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0CDA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6E3B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1659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44BD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EAB03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4452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DEE4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BB01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0438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0334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691B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CC11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50B7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2383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2CC8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67B1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009F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D47C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8C27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2B7A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2D2C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61DA4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EEBB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1F51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3B3E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7D8F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41716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CA16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05CA9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2852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69E9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9E00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7D96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F097E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8D75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8643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1D06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DDFA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92F0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73A82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0D60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B8A9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A5C6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3AE6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DE91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C9AD7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96C7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E48A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CA11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3FE8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8397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1E53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CAC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283B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FACAE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003E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17D8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9FDA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B2BD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9FAF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8DA1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927E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468F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CB35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C01FC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D5887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5BE7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65FF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11AB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7B64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83DE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4C1B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CFA6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1C40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312E3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90285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678.04</w:t>
            </w:r>
          </w:p>
        </w:tc>
        <w:tc>
          <w:tcPr>
            <w:tcW w:w="1655" w:type="pct"/>
            <w:tcBorders>
              <w:top w:val="nil"/>
              <w:left w:val="nil"/>
              <w:bottom w:val="single" w:color="auto" w:sz="4" w:space="0"/>
              <w:right w:val="single" w:color="000000" w:sz="4" w:space="0"/>
            </w:tcBorders>
            <w:noWrap/>
            <w:vAlign w:val="center"/>
          </w:tcPr>
          <w:p w14:paraId="2034C0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E32F4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678.04</w:t>
            </w:r>
          </w:p>
        </w:tc>
      </w:tr>
      <w:tr w14:paraId="29F385A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EE125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EC9F9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9F10F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E0B79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AB35B2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BED949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11ED9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6D5A5B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3F6501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CF7720">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7E773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67B31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678.04</w:t>
            </w:r>
          </w:p>
        </w:tc>
        <w:tc>
          <w:tcPr>
            <w:tcW w:w="1655" w:type="pct"/>
            <w:tcBorders>
              <w:top w:val="single" w:color="auto" w:sz="4" w:space="0"/>
              <w:left w:val="single" w:color="auto" w:sz="4" w:space="0"/>
              <w:bottom w:val="single" w:color="auto" w:sz="4" w:space="0"/>
              <w:right w:val="single" w:color="auto" w:sz="4" w:space="0"/>
            </w:tcBorders>
            <w:noWrap/>
            <w:vAlign w:val="center"/>
          </w:tcPr>
          <w:p w14:paraId="349D81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F6A57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678.04</w:t>
            </w:r>
          </w:p>
        </w:tc>
      </w:tr>
    </w:tbl>
    <w:p w14:paraId="3F95086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A0AC9DC">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D120063">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6FB5EDFA">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8D24A09">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填报单位：201110兴国县第十一小学</w:t>
            </w:r>
          </w:p>
        </w:tc>
        <w:tc>
          <w:tcPr>
            <w:tcW w:w="366" w:type="pct"/>
            <w:tcBorders>
              <w:top w:val="nil"/>
              <w:left w:val="nil"/>
              <w:bottom w:val="single" w:color="auto" w:sz="4" w:space="0"/>
              <w:right w:val="nil"/>
            </w:tcBorders>
            <w:shd w:val="clear" w:color="auto" w:fill="auto"/>
            <w:noWrap/>
            <w:vAlign w:val="bottom"/>
          </w:tcPr>
          <w:p w14:paraId="66564503">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22A59BE9">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7360733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439C7CC5">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453144B">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47101342">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48206F03">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AEF60BF">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1BC82CD2">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4966138">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1F5761A">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501061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13EEF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F1B4C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5A82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7288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795CB8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589BF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7A903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E3787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7F889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75A6D3F">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8146E83">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1CDC5C32">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F6CD608">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621DC82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CB70ED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D1D19F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74598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07D30ECC">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CBEB11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DE679E9">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E78883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B49E8F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382E4E8">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95E92BC">
            <w:pPr>
              <w:widowControl/>
              <w:jc w:val="left"/>
              <w:rPr>
                <w:rFonts w:ascii="宋体" w:hAnsi="宋体" w:eastAsia="宋体" w:cs="Arial"/>
                <w:color w:val="000000"/>
                <w:kern w:val="0"/>
                <w:sz w:val="13"/>
                <w:szCs w:val="13"/>
              </w:rPr>
            </w:pPr>
          </w:p>
        </w:tc>
      </w:tr>
      <w:tr w14:paraId="2C4A8F05">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884150">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35E47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E9AC1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DB295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DB669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756F3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3B4BC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93198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4309F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95644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FA0B74">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7E9E2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33C34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145BF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9B0C92D">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FCBE4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兴国县第十一小学</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0036D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678.04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8942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010F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378.04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7543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378.04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4DD94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002F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C6FD0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B88AC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52C3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C2BB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78369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2C355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8BF4F6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0639F2D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15A71EE4">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580E459">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5C8E235">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60700E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：201110兴国县第十一小学</w:t>
            </w:r>
          </w:p>
        </w:tc>
        <w:tc>
          <w:tcPr>
            <w:tcW w:w="914" w:type="pct"/>
            <w:tcBorders>
              <w:top w:val="nil"/>
              <w:left w:val="nil"/>
              <w:bottom w:val="nil"/>
              <w:right w:val="nil"/>
            </w:tcBorders>
            <w:shd w:val="clear" w:color="auto" w:fill="auto"/>
            <w:noWrap/>
            <w:vAlign w:val="bottom"/>
          </w:tcPr>
          <w:p w14:paraId="25BC47C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678099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50307F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DF7B9A">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69D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4C897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978F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5A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1B6D67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D5169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D34B2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DC2D4D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D7288C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5ECC636">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C2A525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31E313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01BFA1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7F655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B8B094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601E61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71E18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03B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C01E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24B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678.04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EB4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344.70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95A2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333.34</w:t>
            </w:r>
          </w:p>
        </w:tc>
      </w:tr>
      <w:tr w14:paraId="2441583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12F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F5D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3C80F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312.63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2FEF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7867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33.34</w:t>
            </w:r>
          </w:p>
        </w:tc>
      </w:tr>
      <w:tr w14:paraId="1FDCD73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9C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A8A5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85D2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312.63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0C2A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E8325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33.34</w:t>
            </w:r>
          </w:p>
        </w:tc>
      </w:tr>
      <w:tr w14:paraId="4F11BB0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72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130F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CC8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312.63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160F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279.29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864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33.34</w:t>
            </w:r>
          </w:p>
        </w:tc>
      </w:tr>
      <w:tr w14:paraId="773BDE9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B5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AE38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E42E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C539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FECF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E25A6E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B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C5AB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D054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8EE8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7495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79154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21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56FF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DD97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E725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7EC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2DB45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E8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367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B599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2CD5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7979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1B8D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E1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3C3A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FE7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ED6D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33F6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A498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BE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EC76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C29B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B9EE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F1E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3D9F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9D1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A5C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451E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5C84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991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D8BB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9B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BFCE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098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1AB9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6FF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78823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788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97D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B845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37BB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579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9C089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7D2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0635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F9BF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52F8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5264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r>
      <w:tr w14:paraId="1349346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6D3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DC93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1BD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5F4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1B63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r>
      <w:tr w14:paraId="333E57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C0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355E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13B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74BA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2B79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w:t>
            </w:r>
          </w:p>
        </w:tc>
      </w:tr>
    </w:tbl>
    <w:p w14:paraId="640015B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51220D99">
        <w:tblPrEx>
          <w:tblCellMar>
            <w:top w:w="0" w:type="dxa"/>
            <w:left w:w="108" w:type="dxa"/>
            <w:bottom w:w="0" w:type="dxa"/>
            <w:right w:w="108" w:type="dxa"/>
          </w:tblCellMar>
        </w:tblPrEx>
        <w:trPr>
          <w:trHeight w:val="585" w:hRule="atLeast"/>
          <w:tblHeader/>
        </w:trPr>
        <w:tc>
          <w:tcPr>
            <w:tcW w:w="5000" w:type="pct"/>
            <w:gridSpan w:val="7"/>
            <w:noWrap/>
            <w:vAlign w:val="center"/>
          </w:tcPr>
          <w:p w14:paraId="2033881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FDBA28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4973235">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201110兴国县第十一小学</w:t>
            </w:r>
          </w:p>
        </w:tc>
        <w:tc>
          <w:tcPr>
            <w:tcW w:w="577" w:type="pct"/>
            <w:noWrap/>
            <w:vAlign w:val="bottom"/>
          </w:tcPr>
          <w:p w14:paraId="3924E57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5143B4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58FAC9C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E253AD8">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45CD9B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7A3D850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BF2847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FCC03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3096C5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F201D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9FFAFE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374E59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751A8B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27FE20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50227D1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ED311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90B116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378.04</w:t>
            </w:r>
          </w:p>
        </w:tc>
        <w:tc>
          <w:tcPr>
            <w:tcW w:w="948" w:type="pct"/>
            <w:tcBorders>
              <w:top w:val="nil"/>
              <w:left w:val="nil"/>
              <w:bottom w:val="single" w:color="000000" w:sz="4" w:space="0"/>
              <w:right w:val="single" w:color="000000" w:sz="4" w:space="0"/>
            </w:tcBorders>
            <w:noWrap/>
            <w:vAlign w:val="center"/>
          </w:tcPr>
          <w:p w14:paraId="67B2DC7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1C7CF0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312.63</w:t>
            </w:r>
          </w:p>
        </w:tc>
        <w:tc>
          <w:tcPr>
            <w:tcW w:w="612" w:type="pct"/>
            <w:tcBorders>
              <w:top w:val="nil"/>
              <w:left w:val="nil"/>
              <w:bottom w:val="single" w:color="000000" w:sz="4" w:space="0"/>
              <w:right w:val="single" w:color="000000" w:sz="4" w:space="0"/>
            </w:tcBorders>
            <w:noWrap/>
            <w:vAlign w:val="center"/>
          </w:tcPr>
          <w:p w14:paraId="08A40D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312.63</w:t>
            </w:r>
          </w:p>
        </w:tc>
        <w:tc>
          <w:tcPr>
            <w:tcW w:w="602" w:type="pct"/>
            <w:tcBorders>
              <w:top w:val="nil"/>
              <w:left w:val="nil"/>
              <w:bottom w:val="single" w:color="000000" w:sz="4" w:space="0"/>
              <w:right w:val="single" w:color="000000" w:sz="4" w:space="0"/>
            </w:tcBorders>
            <w:noWrap/>
            <w:vAlign w:val="center"/>
          </w:tcPr>
          <w:p w14:paraId="6D7787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8FCFD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5C6D7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8D5D5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F6594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378.04</w:t>
            </w:r>
          </w:p>
        </w:tc>
        <w:tc>
          <w:tcPr>
            <w:tcW w:w="948" w:type="pct"/>
            <w:tcBorders>
              <w:top w:val="nil"/>
              <w:left w:val="single" w:color="000000" w:sz="4" w:space="0"/>
              <w:bottom w:val="single" w:color="000000" w:sz="4" w:space="0"/>
              <w:right w:val="single" w:color="000000" w:sz="4" w:space="0"/>
            </w:tcBorders>
            <w:noWrap/>
            <w:vAlign w:val="center"/>
          </w:tcPr>
          <w:p w14:paraId="22C0A9A9">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499A09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39.87</w:t>
            </w:r>
          </w:p>
        </w:tc>
        <w:tc>
          <w:tcPr>
            <w:tcW w:w="612" w:type="pct"/>
            <w:tcBorders>
              <w:top w:val="nil"/>
              <w:left w:val="nil"/>
              <w:bottom w:val="single" w:color="000000" w:sz="4" w:space="0"/>
              <w:right w:val="single" w:color="000000" w:sz="4" w:space="0"/>
            </w:tcBorders>
            <w:noWrap/>
            <w:vAlign w:val="center"/>
          </w:tcPr>
          <w:p w14:paraId="1AC463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39.87</w:t>
            </w:r>
          </w:p>
        </w:tc>
        <w:tc>
          <w:tcPr>
            <w:tcW w:w="602" w:type="pct"/>
            <w:tcBorders>
              <w:top w:val="nil"/>
              <w:left w:val="nil"/>
              <w:bottom w:val="single" w:color="000000" w:sz="4" w:space="0"/>
              <w:right w:val="single" w:color="000000" w:sz="4" w:space="0"/>
            </w:tcBorders>
            <w:noWrap/>
            <w:vAlign w:val="center"/>
          </w:tcPr>
          <w:p w14:paraId="3B4DC7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83838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C3FB4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6241A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9FDAA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501EE1A">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4CA96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25.54</w:t>
            </w:r>
          </w:p>
        </w:tc>
        <w:tc>
          <w:tcPr>
            <w:tcW w:w="612" w:type="pct"/>
            <w:tcBorders>
              <w:top w:val="nil"/>
              <w:left w:val="nil"/>
              <w:bottom w:val="single" w:color="000000" w:sz="4" w:space="0"/>
              <w:right w:val="single" w:color="000000" w:sz="4" w:space="0"/>
            </w:tcBorders>
            <w:noWrap/>
            <w:vAlign w:val="center"/>
          </w:tcPr>
          <w:p w14:paraId="369C87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25.54</w:t>
            </w:r>
          </w:p>
        </w:tc>
        <w:tc>
          <w:tcPr>
            <w:tcW w:w="602" w:type="pct"/>
            <w:tcBorders>
              <w:top w:val="nil"/>
              <w:left w:val="nil"/>
              <w:bottom w:val="single" w:color="000000" w:sz="4" w:space="0"/>
              <w:right w:val="single" w:color="000000" w:sz="4" w:space="0"/>
            </w:tcBorders>
            <w:noWrap/>
            <w:vAlign w:val="center"/>
          </w:tcPr>
          <w:p w14:paraId="6E07E7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D270C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1DDD3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2F832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4A6A30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0B8CB9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37C5D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BE08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7469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3D78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11D5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8FB4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30E7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88FD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1237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485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CBF7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8262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942F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9295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10BA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3C8B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A927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46D4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00B8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AEB1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F053B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86D9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6FAD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2449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3AB1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339B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DFC4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DF5E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9B17C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D014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77D9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038F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0EC1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4F80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F4FF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79DF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F921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7AB1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1CAB6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FF1D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3A611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D962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34BC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27A5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2C71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B600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1819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B7E6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A03B8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EC1B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D1750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3D79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2D3A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8ACC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1F3AC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FC26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2DF5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1333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F3DD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6E35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479B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D396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0A11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8C69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19EE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8677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2812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8967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C99F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91EF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AF4F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C470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F38F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8302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24B6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397B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2D6E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2B4FC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4BCE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4DEF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1AAA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6372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D613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EAC6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A60A1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F8434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9DF2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B824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0402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6BBB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FD00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81E1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B831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818D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F899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652B5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213C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2A2A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F705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B1CD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0AF6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A0C0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03D4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03C8F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4EF3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18B1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8AEB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F75D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A468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BA71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EE90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00ED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B4FC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36F2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1E02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679B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38C7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BB9B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8D8D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D572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7167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0149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7BA6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5A42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9B1F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B78A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1788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BE41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C60E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B053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A3A9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07D7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B44E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2191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7DCC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C15E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050BE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6458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95FD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8164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478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36C0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2F21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BAC6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C150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4430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8150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67E7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664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BC33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A814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0545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5C9D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D909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CC59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843C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D3D2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969B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0740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194B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C8B4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B168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E6F5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15A8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AF9722">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310F58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7D88B2E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17679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C50E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CC61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37F2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59AD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46D4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60F5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A7EA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817F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59F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872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0819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1D7A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C6B2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CDA0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F66F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185F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D8CA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7877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C0FD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BA56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59C4F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E8A3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C0CB5B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B7CA8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BF875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2B29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C27E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FF3D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576F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6C0F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4FAF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2FE2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1F927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9288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05C2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2234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0C51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52C82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8BF61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02F60C71">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0BB92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1A70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F0CE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5DC28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4CD2DD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406E1C4">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FC355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A04C21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4AF21D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7678C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0E6E0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544333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CD6F9E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ECC86B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ECEF15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6B797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49D31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23EF1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764A0A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53F4C7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C7664F7">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57B25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40600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378.04</w:t>
            </w:r>
          </w:p>
        </w:tc>
        <w:tc>
          <w:tcPr>
            <w:tcW w:w="948" w:type="pct"/>
            <w:tcBorders>
              <w:top w:val="single" w:color="auto" w:sz="4" w:space="0"/>
              <w:left w:val="single" w:color="auto" w:sz="4" w:space="0"/>
              <w:bottom w:val="single" w:color="auto" w:sz="4" w:space="0"/>
              <w:right w:val="single" w:color="auto" w:sz="4" w:space="0"/>
            </w:tcBorders>
            <w:noWrap/>
            <w:vAlign w:val="center"/>
          </w:tcPr>
          <w:p w14:paraId="63ABFA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01905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378.04</w:t>
            </w:r>
          </w:p>
        </w:tc>
        <w:tc>
          <w:tcPr>
            <w:tcW w:w="612" w:type="pct"/>
            <w:tcBorders>
              <w:top w:val="single" w:color="auto" w:sz="4" w:space="0"/>
              <w:left w:val="single" w:color="auto" w:sz="4" w:space="0"/>
              <w:bottom w:val="single" w:color="auto" w:sz="4" w:space="0"/>
              <w:right w:val="single" w:color="auto" w:sz="4" w:space="0"/>
            </w:tcBorders>
            <w:noWrap/>
            <w:vAlign w:val="center"/>
          </w:tcPr>
          <w:p w14:paraId="664B8B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378.04</w:t>
            </w:r>
          </w:p>
        </w:tc>
        <w:tc>
          <w:tcPr>
            <w:tcW w:w="602" w:type="pct"/>
            <w:tcBorders>
              <w:top w:val="single" w:color="auto" w:sz="4" w:space="0"/>
              <w:left w:val="single" w:color="auto" w:sz="4" w:space="0"/>
              <w:bottom w:val="single" w:color="auto" w:sz="4" w:space="0"/>
              <w:right w:val="single" w:color="auto" w:sz="4" w:space="0"/>
            </w:tcBorders>
            <w:noWrap/>
            <w:vAlign w:val="center"/>
          </w:tcPr>
          <w:p w14:paraId="6D21E9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1CAE1C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195FB2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4B4A3926">
        <w:tblPrEx>
          <w:tblCellMar>
            <w:top w:w="0" w:type="dxa"/>
            <w:left w:w="108" w:type="dxa"/>
            <w:bottom w:w="0" w:type="dxa"/>
            <w:right w:w="108" w:type="dxa"/>
          </w:tblCellMar>
        </w:tblPrEx>
        <w:trPr>
          <w:trHeight w:val="585" w:hRule="atLeast"/>
          <w:tblHeader/>
        </w:trPr>
        <w:tc>
          <w:tcPr>
            <w:tcW w:w="5000" w:type="pct"/>
            <w:gridSpan w:val="5"/>
            <w:noWrap/>
            <w:vAlign w:val="center"/>
          </w:tcPr>
          <w:p w14:paraId="69B7225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877B754">
        <w:tblPrEx>
          <w:tblCellMar>
            <w:top w:w="0" w:type="dxa"/>
            <w:left w:w="108" w:type="dxa"/>
            <w:bottom w:w="0" w:type="dxa"/>
            <w:right w:w="108" w:type="dxa"/>
          </w:tblCellMar>
        </w:tblPrEx>
        <w:trPr>
          <w:trHeight w:val="420" w:hRule="atLeast"/>
          <w:tblHeader/>
        </w:trPr>
        <w:tc>
          <w:tcPr>
            <w:tcW w:w="2433" w:type="pct"/>
            <w:gridSpan w:val="2"/>
            <w:noWrap/>
            <w:vAlign w:val="center"/>
          </w:tcPr>
          <w:p w14:paraId="66A35BD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201110兴国县第十一小学</w:t>
            </w:r>
          </w:p>
        </w:tc>
        <w:tc>
          <w:tcPr>
            <w:tcW w:w="1056" w:type="pct"/>
            <w:noWrap/>
            <w:vAlign w:val="bottom"/>
          </w:tcPr>
          <w:p w14:paraId="724714F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0B87AA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10F92F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49B899D">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4385B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4EC7B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AECF5AE">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F262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6D447B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96D5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6EBF6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4B51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437784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20D3B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206B2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DB61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7D0D6A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752A89C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A7D387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AC235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F6ADF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463FC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378.04</w:t>
            </w:r>
          </w:p>
        </w:tc>
        <w:tc>
          <w:tcPr>
            <w:tcW w:w="684" w:type="pct"/>
            <w:tcBorders>
              <w:top w:val="single" w:color="000000" w:sz="4" w:space="0"/>
              <w:left w:val="nil"/>
              <w:bottom w:val="single" w:color="000000" w:sz="4" w:space="0"/>
              <w:right w:val="single" w:color="000000" w:sz="4" w:space="0"/>
            </w:tcBorders>
            <w:noWrap/>
            <w:vAlign w:val="center"/>
          </w:tcPr>
          <w:p w14:paraId="15CF9C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344.70</w:t>
            </w:r>
          </w:p>
        </w:tc>
        <w:tc>
          <w:tcPr>
            <w:tcW w:w="825" w:type="pct"/>
            <w:tcBorders>
              <w:top w:val="single" w:color="000000" w:sz="4" w:space="0"/>
              <w:left w:val="nil"/>
              <w:bottom w:val="single" w:color="000000" w:sz="4" w:space="0"/>
              <w:right w:val="single" w:color="000000" w:sz="4" w:space="0"/>
            </w:tcBorders>
            <w:noWrap/>
            <w:vAlign w:val="center"/>
          </w:tcPr>
          <w:p w14:paraId="48E418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33.34</w:t>
            </w:r>
          </w:p>
        </w:tc>
      </w:tr>
      <w:tr w14:paraId="208D48D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E5CE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4E981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0C9632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312.63</w:t>
            </w:r>
          </w:p>
        </w:tc>
        <w:tc>
          <w:tcPr>
            <w:tcW w:w="684" w:type="pct"/>
            <w:tcBorders>
              <w:top w:val="single" w:color="000000" w:sz="4" w:space="0"/>
              <w:left w:val="nil"/>
              <w:bottom w:val="single" w:color="000000" w:sz="4" w:space="0"/>
              <w:right w:val="single" w:color="000000" w:sz="4" w:space="0"/>
            </w:tcBorders>
            <w:noWrap/>
            <w:vAlign w:val="center"/>
          </w:tcPr>
          <w:p w14:paraId="52239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279.29</w:t>
            </w:r>
          </w:p>
        </w:tc>
        <w:tc>
          <w:tcPr>
            <w:tcW w:w="825" w:type="pct"/>
            <w:tcBorders>
              <w:top w:val="single" w:color="000000" w:sz="4" w:space="0"/>
              <w:left w:val="nil"/>
              <w:bottom w:val="single" w:color="000000" w:sz="4" w:space="0"/>
              <w:right w:val="single" w:color="000000" w:sz="4" w:space="0"/>
            </w:tcBorders>
            <w:noWrap/>
            <w:vAlign w:val="center"/>
          </w:tcPr>
          <w:p w14:paraId="3DA6C0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33.34</w:t>
            </w:r>
          </w:p>
        </w:tc>
      </w:tr>
      <w:tr w14:paraId="441A6AB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17F8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7905A5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2A4568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312.63</w:t>
            </w:r>
          </w:p>
        </w:tc>
        <w:tc>
          <w:tcPr>
            <w:tcW w:w="684" w:type="pct"/>
            <w:tcBorders>
              <w:top w:val="single" w:color="000000" w:sz="4" w:space="0"/>
              <w:left w:val="nil"/>
              <w:bottom w:val="single" w:color="000000" w:sz="4" w:space="0"/>
              <w:right w:val="single" w:color="000000" w:sz="4" w:space="0"/>
            </w:tcBorders>
            <w:noWrap/>
            <w:vAlign w:val="center"/>
          </w:tcPr>
          <w:p w14:paraId="031869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279.29</w:t>
            </w:r>
          </w:p>
        </w:tc>
        <w:tc>
          <w:tcPr>
            <w:tcW w:w="825" w:type="pct"/>
            <w:tcBorders>
              <w:top w:val="single" w:color="000000" w:sz="4" w:space="0"/>
              <w:left w:val="nil"/>
              <w:bottom w:val="single" w:color="000000" w:sz="4" w:space="0"/>
              <w:right w:val="single" w:color="000000" w:sz="4" w:space="0"/>
            </w:tcBorders>
            <w:noWrap/>
            <w:vAlign w:val="center"/>
          </w:tcPr>
          <w:p w14:paraId="6D49DF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33.34</w:t>
            </w:r>
          </w:p>
        </w:tc>
      </w:tr>
      <w:tr w14:paraId="0E0D6B9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247A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579" w:type="pct"/>
            <w:tcBorders>
              <w:top w:val="single" w:color="000000" w:sz="4" w:space="0"/>
              <w:left w:val="nil"/>
              <w:bottom w:val="single" w:color="000000" w:sz="4" w:space="0"/>
              <w:right w:val="single" w:color="000000" w:sz="4" w:space="0"/>
            </w:tcBorders>
            <w:noWrap/>
            <w:vAlign w:val="center"/>
          </w:tcPr>
          <w:p w14:paraId="433B97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1056" w:type="pct"/>
            <w:tcBorders>
              <w:top w:val="single" w:color="000000" w:sz="4" w:space="0"/>
              <w:left w:val="nil"/>
              <w:bottom w:val="single" w:color="000000" w:sz="4" w:space="0"/>
              <w:right w:val="single" w:color="000000" w:sz="4" w:space="0"/>
            </w:tcBorders>
            <w:noWrap/>
            <w:vAlign w:val="center"/>
          </w:tcPr>
          <w:p w14:paraId="41459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312.63</w:t>
            </w:r>
          </w:p>
        </w:tc>
        <w:tc>
          <w:tcPr>
            <w:tcW w:w="684" w:type="pct"/>
            <w:tcBorders>
              <w:top w:val="single" w:color="000000" w:sz="4" w:space="0"/>
              <w:left w:val="nil"/>
              <w:bottom w:val="single" w:color="000000" w:sz="4" w:space="0"/>
              <w:right w:val="single" w:color="000000" w:sz="4" w:space="0"/>
            </w:tcBorders>
            <w:noWrap/>
            <w:vAlign w:val="center"/>
          </w:tcPr>
          <w:p w14:paraId="51A9C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279.29</w:t>
            </w:r>
          </w:p>
        </w:tc>
        <w:tc>
          <w:tcPr>
            <w:tcW w:w="825" w:type="pct"/>
            <w:tcBorders>
              <w:top w:val="single" w:color="000000" w:sz="4" w:space="0"/>
              <w:left w:val="nil"/>
              <w:bottom w:val="single" w:color="000000" w:sz="4" w:space="0"/>
              <w:right w:val="single" w:color="000000" w:sz="4" w:space="0"/>
            </w:tcBorders>
            <w:noWrap/>
            <w:vAlign w:val="center"/>
          </w:tcPr>
          <w:p w14:paraId="1F198F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33.34</w:t>
            </w:r>
          </w:p>
        </w:tc>
      </w:tr>
      <w:tr w14:paraId="7420F2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F1D2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8865B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DE417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39.87</w:t>
            </w:r>
          </w:p>
        </w:tc>
        <w:tc>
          <w:tcPr>
            <w:tcW w:w="684" w:type="pct"/>
            <w:tcBorders>
              <w:top w:val="single" w:color="000000" w:sz="4" w:space="0"/>
              <w:left w:val="nil"/>
              <w:bottom w:val="single" w:color="000000" w:sz="4" w:space="0"/>
              <w:right w:val="single" w:color="000000" w:sz="4" w:space="0"/>
            </w:tcBorders>
            <w:noWrap/>
            <w:vAlign w:val="center"/>
          </w:tcPr>
          <w:p w14:paraId="2BABC0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39.87</w:t>
            </w:r>
          </w:p>
        </w:tc>
        <w:tc>
          <w:tcPr>
            <w:tcW w:w="825" w:type="pct"/>
            <w:tcBorders>
              <w:top w:val="single" w:color="000000" w:sz="4" w:space="0"/>
              <w:left w:val="nil"/>
              <w:bottom w:val="single" w:color="000000" w:sz="4" w:space="0"/>
              <w:right w:val="single" w:color="000000" w:sz="4" w:space="0"/>
            </w:tcBorders>
            <w:noWrap/>
            <w:vAlign w:val="center"/>
          </w:tcPr>
          <w:p w14:paraId="690BB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D261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3042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085B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4F8651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37.83</w:t>
            </w:r>
          </w:p>
        </w:tc>
        <w:tc>
          <w:tcPr>
            <w:tcW w:w="684" w:type="pct"/>
            <w:tcBorders>
              <w:top w:val="single" w:color="000000" w:sz="4" w:space="0"/>
              <w:left w:val="nil"/>
              <w:bottom w:val="single" w:color="000000" w:sz="4" w:space="0"/>
              <w:right w:val="single" w:color="000000" w:sz="4" w:space="0"/>
            </w:tcBorders>
            <w:noWrap/>
            <w:vAlign w:val="center"/>
          </w:tcPr>
          <w:p w14:paraId="2B4642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37.83</w:t>
            </w:r>
          </w:p>
        </w:tc>
        <w:tc>
          <w:tcPr>
            <w:tcW w:w="825" w:type="pct"/>
            <w:tcBorders>
              <w:top w:val="single" w:color="000000" w:sz="4" w:space="0"/>
              <w:left w:val="nil"/>
              <w:bottom w:val="single" w:color="000000" w:sz="4" w:space="0"/>
              <w:right w:val="single" w:color="000000" w:sz="4" w:space="0"/>
            </w:tcBorders>
            <w:noWrap/>
            <w:vAlign w:val="center"/>
          </w:tcPr>
          <w:p w14:paraId="180AF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0809D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E441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9471E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BDF7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37.83</w:t>
            </w:r>
          </w:p>
        </w:tc>
        <w:tc>
          <w:tcPr>
            <w:tcW w:w="684" w:type="pct"/>
            <w:tcBorders>
              <w:top w:val="single" w:color="000000" w:sz="4" w:space="0"/>
              <w:left w:val="nil"/>
              <w:bottom w:val="single" w:color="000000" w:sz="4" w:space="0"/>
              <w:right w:val="single" w:color="000000" w:sz="4" w:space="0"/>
            </w:tcBorders>
            <w:noWrap/>
            <w:vAlign w:val="center"/>
          </w:tcPr>
          <w:p w14:paraId="37344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37.83</w:t>
            </w:r>
          </w:p>
        </w:tc>
        <w:tc>
          <w:tcPr>
            <w:tcW w:w="825" w:type="pct"/>
            <w:tcBorders>
              <w:top w:val="single" w:color="000000" w:sz="4" w:space="0"/>
              <w:left w:val="nil"/>
              <w:bottom w:val="single" w:color="000000" w:sz="4" w:space="0"/>
              <w:right w:val="single" w:color="000000" w:sz="4" w:space="0"/>
            </w:tcBorders>
            <w:noWrap/>
            <w:vAlign w:val="center"/>
          </w:tcPr>
          <w:p w14:paraId="33249F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9A25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523A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64B2B9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D36D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684" w:type="pct"/>
            <w:tcBorders>
              <w:top w:val="single" w:color="000000" w:sz="4" w:space="0"/>
              <w:left w:val="nil"/>
              <w:bottom w:val="single" w:color="000000" w:sz="4" w:space="0"/>
              <w:right w:val="single" w:color="000000" w:sz="4" w:space="0"/>
            </w:tcBorders>
            <w:noWrap/>
            <w:vAlign w:val="center"/>
          </w:tcPr>
          <w:p w14:paraId="1547AB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825" w:type="pct"/>
            <w:tcBorders>
              <w:top w:val="single" w:color="000000" w:sz="4" w:space="0"/>
              <w:left w:val="nil"/>
              <w:bottom w:val="single" w:color="000000" w:sz="4" w:space="0"/>
              <w:right w:val="single" w:color="000000" w:sz="4" w:space="0"/>
            </w:tcBorders>
            <w:noWrap/>
            <w:vAlign w:val="center"/>
          </w:tcPr>
          <w:p w14:paraId="76408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CCD75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D1B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F77C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691E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w:t>
            </w:r>
          </w:p>
        </w:tc>
        <w:tc>
          <w:tcPr>
            <w:tcW w:w="684" w:type="pct"/>
            <w:tcBorders>
              <w:top w:val="single" w:color="000000" w:sz="4" w:space="0"/>
              <w:left w:val="nil"/>
              <w:bottom w:val="single" w:color="000000" w:sz="4" w:space="0"/>
              <w:right w:val="single" w:color="000000" w:sz="4" w:space="0"/>
            </w:tcBorders>
            <w:noWrap/>
            <w:vAlign w:val="center"/>
          </w:tcPr>
          <w:p w14:paraId="2A224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w:t>
            </w:r>
          </w:p>
        </w:tc>
        <w:tc>
          <w:tcPr>
            <w:tcW w:w="825" w:type="pct"/>
            <w:tcBorders>
              <w:top w:val="single" w:color="000000" w:sz="4" w:space="0"/>
              <w:left w:val="nil"/>
              <w:bottom w:val="single" w:color="000000" w:sz="4" w:space="0"/>
              <w:right w:val="single" w:color="000000" w:sz="4" w:space="0"/>
            </w:tcBorders>
            <w:noWrap/>
            <w:vAlign w:val="center"/>
          </w:tcPr>
          <w:p w14:paraId="2DD8BB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3F0A4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B391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8E982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221D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684" w:type="pct"/>
            <w:tcBorders>
              <w:top w:val="single" w:color="000000" w:sz="4" w:space="0"/>
              <w:left w:val="nil"/>
              <w:bottom w:val="single" w:color="000000" w:sz="4" w:space="0"/>
              <w:right w:val="single" w:color="000000" w:sz="4" w:space="0"/>
            </w:tcBorders>
            <w:noWrap/>
            <w:vAlign w:val="center"/>
          </w:tcPr>
          <w:p w14:paraId="0AAD00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825" w:type="pct"/>
            <w:tcBorders>
              <w:top w:val="single" w:color="000000" w:sz="4" w:space="0"/>
              <w:left w:val="nil"/>
              <w:bottom w:val="single" w:color="000000" w:sz="4" w:space="0"/>
              <w:right w:val="single" w:color="000000" w:sz="4" w:space="0"/>
            </w:tcBorders>
            <w:noWrap/>
            <w:vAlign w:val="center"/>
          </w:tcPr>
          <w:p w14:paraId="65C304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B76E7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2D8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F0EE2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32BB7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684" w:type="pct"/>
            <w:tcBorders>
              <w:top w:val="single" w:color="000000" w:sz="4" w:space="0"/>
              <w:left w:val="nil"/>
              <w:bottom w:val="single" w:color="000000" w:sz="4" w:space="0"/>
              <w:right w:val="single" w:color="000000" w:sz="4" w:space="0"/>
            </w:tcBorders>
            <w:noWrap/>
            <w:vAlign w:val="center"/>
          </w:tcPr>
          <w:p w14:paraId="4A6741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25.54</w:t>
            </w:r>
          </w:p>
        </w:tc>
        <w:tc>
          <w:tcPr>
            <w:tcW w:w="825" w:type="pct"/>
            <w:tcBorders>
              <w:top w:val="single" w:color="000000" w:sz="4" w:space="0"/>
              <w:left w:val="nil"/>
              <w:bottom w:val="single" w:color="000000" w:sz="4" w:space="0"/>
              <w:right w:val="single" w:color="000000" w:sz="4" w:space="0"/>
            </w:tcBorders>
            <w:noWrap/>
            <w:vAlign w:val="center"/>
          </w:tcPr>
          <w:p w14:paraId="765F2E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DC16D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ECAA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D24F1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CE81B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16.08</w:t>
            </w:r>
          </w:p>
        </w:tc>
        <w:tc>
          <w:tcPr>
            <w:tcW w:w="684" w:type="pct"/>
            <w:tcBorders>
              <w:top w:val="single" w:color="000000" w:sz="4" w:space="0"/>
              <w:left w:val="nil"/>
              <w:bottom w:val="single" w:color="000000" w:sz="4" w:space="0"/>
              <w:right w:val="single" w:color="000000" w:sz="4" w:space="0"/>
            </w:tcBorders>
            <w:noWrap/>
            <w:vAlign w:val="center"/>
          </w:tcPr>
          <w:p w14:paraId="58BA85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16.08</w:t>
            </w:r>
          </w:p>
        </w:tc>
        <w:tc>
          <w:tcPr>
            <w:tcW w:w="825" w:type="pct"/>
            <w:tcBorders>
              <w:top w:val="single" w:color="000000" w:sz="4" w:space="0"/>
              <w:left w:val="nil"/>
              <w:bottom w:val="single" w:color="000000" w:sz="4" w:space="0"/>
              <w:right w:val="single" w:color="000000" w:sz="4" w:space="0"/>
            </w:tcBorders>
            <w:noWrap/>
            <w:vAlign w:val="center"/>
          </w:tcPr>
          <w:p w14:paraId="56ADA4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90F8E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524A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2BDB16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124B9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9.46</w:t>
            </w:r>
          </w:p>
        </w:tc>
        <w:tc>
          <w:tcPr>
            <w:tcW w:w="684" w:type="pct"/>
            <w:tcBorders>
              <w:top w:val="single" w:color="000000" w:sz="4" w:space="0"/>
              <w:left w:val="nil"/>
              <w:bottom w:val="single" w:color="000000" w:sz="4" w:space="0"/>
              <w:right w:val="single" w:color="000000" w:sz="4" w:space="0"/>
            </w:tcBorders>
            <w:noWrap/>
            <w:vAlign w:val="center"/>
          </w:tcPr>
          <w:p w14:paraId="52092A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9.46</w:t>
            </w:r>
          </w:p>
        </w:tc>
        <w:tc>
          <w:tcPr>
            <w:tcW w:w="825" w:type="pct"/>
            <w:tcBorders>
              <w:top w:val="single" w:color="000000" w:sz="4" w:space="0"/>
              <w:left w:val="nil"/>
              <w:bottom w:val="single" w:color="000000" w:sz="4" w:space="0"/>
              <w:right w:val="single" w:color="000000" w:sz="4" w:space="0"/>
            </w:tcBorders>
            <w:noWrap/>
            <w:vAlign w:val="center"/>
          </w:tcPr>
          <w:p w14:paraId="2D4F5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FC51E15">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97DCE4D">
        <w:tblPrEx>
          <w:tblCellMar>
            <w:top w:w="0" w:type="dxa"/>
            <w:left w:w="108" w:type="dxa"/>
            <w:bottom w:w="0" w:type="dxa"/>
            <w:right w:w="108" w:type="dxa"/>
          </w:tblCellMar>
        </w:tblPrEx>
        <w:trPr>
          <w:trHeight w:val="585" w:hRule="atLeast"/>
        </w:trPr>
        <w:tc>
          <w:tcPr>
            <w:tcW w:w="5000" w:type="pct"/>
            <w:gridSpan w:val="5"/>
            <w:noWrap/>
            <w:vAlign w:val="center"/>
          </w:tcPr>
          <w:p w14:paraId="29C82285">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73793F5">
        <w:tblPrEx>
          <w:tblCellMar>
            <w:top w:w="0" w:type="dxa"/>
            <w:left w:w="108" w:type="dxa"/>
            <w:bottom w:w="0" w:type="dxa"/>
            <w:right w:w="108" w:type="dxa"/>
          </w:tblCellMar>
        </w:tblPrEx>
        <w:trPr>
          <w:trHeight w:val="420" w:hRule="atLeast"/>
        </w:trPr>
        <w:tc>
          <w:tcPr>
            <w:tcW w:w="2398" w:type="pct"/>
            <w:gridSpan w:val="2"/>
            <w:noWrap/>
            <w:vAlign w:val="center"/>
          </w:tcPr>
          <w:p w14:paraId="4CF782E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201110兴国县第十一小学</w:t>
            </w:r>
          </w:p>
        </w:tc>
        <w:tc>
          <w:tcPr>
            <w:tcW w:w="891" w:type="pct"/>
            <w:noWrap/>
            <w:vAlign w:val="bottom"/>
          </w:tcPr>
          <w:p w14:paraId="414BF5E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ED6ED3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1AEEA0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C7E724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3409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CA72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476E431">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5156B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73882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005F2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D23C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B448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B59E4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722E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69FA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63A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4D11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E337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298FBBB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91F94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7737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4842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344.70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2D4F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344.70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B0B1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6A7C2B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1A89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B95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50C9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342.59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A416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342.59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0C6F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057D2E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03C03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169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2529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BC24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3319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6311E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7A562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9169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BB1E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25BF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F6FC6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527159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F803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5E13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7686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A9D6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B14A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993EA6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056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7418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77FD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A96C4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08BB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81713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5C3E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7A441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DE72B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8C28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25EB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980259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D096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87D5D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968F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FFC6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3210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2078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09D3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C5C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F4A7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44862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F45F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59CB1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DCF7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3CFD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1ED7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12C3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2DB3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9C6B8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ACF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C64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C1160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4F19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5BE1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DD0630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EEA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1575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A10A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E3AE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CFBCC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BD5F7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9D8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AB626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864B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1FAF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0B54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7533228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E10662C">
        <w:tblPrEx>
          <w:tblCellMar>
            <w:top w:w="0" w:type="dxa"/>
            <w:left w:w="108" w:type="dxa"/>
            <w:bottom w:w="0" w:type="dxa"/>
            <w:right w:w="108" w:type="dxa"/>
          </w:tblCellMar>
        </w:tblPrEx>
        <w:trPr>
          <w:trHeight w:val="450" w:hRule="atLeast"/>
          <w:tblHeader/>
        </w:trPr>
        <w:tc>
          <w:tcPr>
            <w:tcW w:w="636" w:type="pct"/>
            <w:noWrap/>
            <w:vAlign w:val="bottom"/>
          </w:tcPr>
          <w:p w14:paraId="4062C68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69C2ADF0">
            <w:pPr>
              <w:widowControl/>
              <w:jc w:val="left"/>
              <w:rPr>
                <w:rFonts w:ascii="Times New Roman" w:hAnsi="Times New Roman" w:eastAsia="宋体"/>
                <w:kern w:val="0"/>
                <w:sz w:val="20"/>
                <w:szCs w:val="20"/>
              </w:rPr>
            </w:pPr>
          </w:p>
        </w:tc>
        <w:tc>
          <w:tcPr>
            <w:tcW w:w="684" w:type="pct"/>
            <w:noWrap/>
            <w:vAlign w:val="bottom"/>
          </w:tcPr>
          <w:p w14:paraId="0186A313">
            <w:pPr>
              <w:widowControl/>
              <w:jc w:val="left"/>
              <w:rPr>
                <w:rFonts w:ascii="Times New Roman" w:hAnsi="Times New Roman" w:eastAsia="宋体"/>
                <w:kern w:val="0"/>
                <w:sz w:val="20"/>
                <w:szCs w:val="20"/>
              </w:rPr>
            </w:pPr>
          </w:p>
        </w:tc>
        <w:tc>
          <w:tcPr>
            <w:tcW w:w="538" w:type="pct"/>
            <w:noWrap/>
            <w:vAlign w:val="bottom"/>
          </w:tcPr>
          <w:p w14:paraId="20A0F706">
            <w:pPr>
              <w:widowControl/>
              <w:jc w:val="left"/>
              <w:rPr>
                <w:rFonts w:ascii="Times New Roman" w:hAnsi="Times New Roman" w:eastAsia="宋体"/>
                <w:kern w:val="0"/>
                <w:sz w:val="20"/>
                <w:szCs w:val="20"/>
              </w:rPr>
            </w:pPr>
          </w:p>
        </w:tc>
        <w:tc>
          <w:tcPr>
            <w:tcW w:w="2836" w:type="pct"/>
            <w:gridSpan w:val="5"/>
            <w:noWrap/>
            <w:vAlign w:val="center"/>
          </w:tcPr>
          <w:p w14:paraId="154ABC95">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5B0A69D">
        <w:tblPrEx>
          <w:tblCellMar>
            <w:top w:w="0" w:type="dxa"/>
            <w:left w:w="108" w:type="dxa"/>
            <w:bottom w:w="0" w:type="dxa"/>
            <w:right w:w="108" w:type="dxa"/>
          </w:tblCellMar>
        </w:tblPrEx>
        <w:trPr>
          <w:trHeight w:val="485" w:hRule="atLeast"/>
          <w:tblHeader/>
        </w:trPr>
        <w:tc>
          <w:tcPr>
            <w:tcW w:w="5000" w:type="pct"/>
            <w:gridSpan w:val="9"/>
            <w:noWrap/>
            <w:vAlign w:val="center"/>
          </w:tcPr>
          <w:p w14:paraId="2FEAE28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8E266B5">
        <w:tblPrEx>
          <w:tblCellMar>
            <w:top w:w="0" w:type="dxa"/>
            <w:left w:w="108" w:type="dxa"/>
            <w:bottom w:w="0" w:type="dxa"/>
            <w:right w:w="108" w:type="dxa"/>
          </w:tblCellMar>
        </w:tblPrEx>
        <w:trPr>
          <w:trHeight w:val="340" w:hRule="atLeast"/>
          <w:tblHeader/>
        </w:trPr>
        <w:tc>
          <w:tcPr>
            <w:tcW w:w="2163" w:type="pct"/>
            <w:gridSpan w:val="4"/>
            <w:noWrap/>
            <w:vAlign w:val="center"/>
          </w:tcPr>
          <w:p w14:paraId="3C107A70">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201110兴国县第十一小学</w:t>
            </w:r>
          </w:p>
        </w:tc>
        <w:tc>
          <w:tcPr>
            <w:tcW w:w="742" w:type="pct"/>
            <w:noWrap/>
            <w:vAlign w:val="bottom"/>
          </w:tcPr>
          <w:p w14:paraId="6303F00B">
            <w:pPr>
              <w:widowControl/>
              <w:jc w:val="left"/>
              <w:rPr>
                <w:rFonts w:ascii="Times New Roman" w:hAnsi="Times New Roman" w:eastAsia="宋体"/>
                <w:kern w:val="0"/>
                <w:sz w:val="20"/>
                <w:szCs w:val="20"/>
              </w:rPr>
            </w:pPr>
          </w:p>
        </w:tc>
        <w:tc>
          <w:tcPr>
            <w:tcW w:w="474" w:type="pct"/>
            <w:noWrap/>
            <w:vAlign w:val="bottom"/>
          </w:tcPr>
          <w:p w14:paraId="620F0593">
            <w:pPr>
              <w:widowControl/>
              <w:jc w:val="left"/>
              <w:rPr>
                <w:rFonts w:ascii="Times New Roman" w:hAnsi="Times New Roman" w:eastAsia="宋体"/>
                <w:kern w:val="0"/>
                <w:sz w:val="20"/>
                <w:szCs w:val="20"/>
              </w:rPr>
            </w:pPr>
          </w:p>
        </w:tc>
        <w:tc>
          <w:tcPr>
            <w:tcW w:w="596" w:type="pct"/>
            <w:noWrap/>
            <w:vAlign w:val="bottom"/>
          </w:tcPr>
          <w:p w14:paraId="7C720E2B">
            <w:pPr>
              <w:widowControl/>
              <w:jc w:val="left"/>
              <w:rPr>
                <w:rFonts w:ascii="Times New Roman" w:hAnsi="Times New Roman" w:eastAsia="宋体"/>
                <w:kern w:val="0"/>
                <w:sz w:val="20"/>
                <w:szCs w:val="20"/>
              </w:rPr>
            </w:pPr>
          </w:p>
        </w:tc>
        <w:tc>
          <w:tcPr>
            <w:tcW w:w="1023" w:type="pct"/>
            <w:gridSpan w:val="2"/>
            <w:noWrap/>
            <w:vAlign w:val="bottom"/>
          </w:tcPr>
          <w:p w14:paraId="727DFC3E">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0C5B4A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3BB53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6B49A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F79FB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A87DD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EA68C7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A8302D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5355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A4907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A710E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EAABED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1C7A0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E6325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BCC91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ED2F314">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0DA72EB">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3C62F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93DEE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99F9C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D77F2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208A0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80C0D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6FF1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63A0C47">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07E2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684" w:type="pct"/>
            <w:tcBorders>
              <w:top w:val="single" w:color="000000" w:sz="4" w:space="0"/>
              <w:left w:val="nil"/>
              <w:bottom w:val="single" w:color="000000" w:sz="4" w:space="0"/>
              <w:right w:val="single" w:color="000000" w:sz="4" w:space="0"/>
            </w:tcBorders>
            <w:vAlign w:val="center"/>
          </w:tcPr>
          <w:p w14:paraId="7CEB1D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29CFE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70CA5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86EF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596" w:type="pct"/>
            <w:tcBorders>
              <w:top w:val="single" w:color="000000" w:sz="4" w:space="0"/>
              <w:left w:val="single" w:color="000000" w:sz="4" w:space="0"/>
              <w:bottom w:val="single" w:color="000000" w:sz="4" w:space="0"/>
              <w:right w:val="nil"/>
            </w:tcBorders>
            <w:vAlign w:val="center"/>
          </w:tcPr>
          <w:p w14:paraId="413F48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4E9FF2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522D25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5C8D378">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66B60C95">
        <w:tblPrEx>
          <w:tblCellMar>
            <w:top w:w="0" w:type="dxa"/>
            <w:left w:w="108" w:type="dxa"/>
            <w:bottom w:w="0" w:type="dxa"/>
            <w:right w:w="108" w:type="dxa"/>
          </w:tblCellMar>
        </w:tblPrEx>
        <w:trPr>
          <w:trHeight w:val="507" w:hRule="atLeast"/>
          <w:tblHeader/>
        </w:trPr>
        <w:tc>
          <w:tcPr>
            <w:tcW w:w="976" w:type="pct"/>
            <w:noWrap/>
            <w:vAlign w:val="bottom"/>
          </w:tcPr>
          <w:p w14:paraId="32C3B40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0EDB2C0">
            <w:pPr>
              <w:widowControl/>
              <w:jc w:val="left"/>
              <w:rPr>
                <w:rFonts w:ascii="Times New Roman" w:hAnsi="Times New Roman" w:eastAsia="宋体"/>
                <w:kern w:val="0"/>
                <w:sz w:val="20"/>
                <w:szCs w:val="20"/>
              </w:rPr>
            </w:pPr>
          </w:p>
        </w:tc>
        <w:tc>
          <w:tcPr>
            <w:tcW w:w="2801" w:type="pct"/>
            <w:gridSpan w:val="3"/>
            <w:noWrap/>
            <w:vAlign w:val="center"/>
          </w:tcPr>
          <w:p w14:paraId="4A8ED9D1">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8B29639">
        <w:tblPrEx>
          <w:tblCellMar>
            <w:top w:w="0" w:type="dxa"/>
            <w:left w:w="108" w:type="dxa"/>
            <w:bottom w:w="0" w:type="dxa"/>
            <w:right w:w="108" w:type="dxa"/>
          </w:tblCellMar>
        </w:tblPrEx>
        <w:trPr>
          <w:trHeight w:val="564" w:hRule="atLeast"/>
          <w:tblHeader/>
        </w:trPr>
        <w:tc>
          <w:tcPr>
            <w:tcW w:w="5000" w:type="pct"/>
            <w:gridSpan w:val="5"/>
            <w:noWrap/>
            <w:vAlign w:val="center"/>
          </w:tcPr>
          <w:p w14:paraId="22C3582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2C003229">
        <w:tblPrEx>
          <w:tblCellMar>
            <w:top w:w="0" w:type="dxa"/>
            <w:left w:w="108" w:type="dxa"/>
            <w:bottom w:w="0" w:type="dxa"/>
            <w:right w:w="108" w:type="dxa"/>
          </w:tblCellMar>
        </w:tblPrEx>
        <w:trPr>
          <w:trHeight w:val="405" w:hRule="atLeast"/>
          <w:tblHeader/>
        </w:trPr>
        <w:tc>
          <w:tcPr>
            <w:tcW w:w="2198" w:type="pct"/>
            <w:gridSpan w:val="2"/>
            <w:noWrap/>
            <w:vAlign w:val="center"/>
          </w:tcPr>
          <w:p w14:paraId="3ED91E01">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201110兴国县第十一小学</w:t>
            </w:r>
          </w:p>
        </w:tc>
        <w:tc>
          <w:tcPr>
            <w:tcW w:w="1099" w:type="pct"/>
            <w:noWrap/>
            <w:vAlign w:val="bottom"/>
          </w:tcPr>
          <w:p w14:paraId="3D80CC06">
            <w:pPr>
              <w:rPr>
                <w:rFonts w:hint="eastAsia" w:ascii="宋体" w:hAnsi="宋体" w:eastAsia="宋体" w:cs="Arial"/>
                <w:color w:val="000000"/>
                <w:kern w:val="0"/>
                <w:sz w:val="24"/>
                <w:szCs w:val="24"/>
              </w:rPr>
            </w:pPr>
          </w:p>
        </w:tc>
        <w:tc>
          <w:tcPr>
            <w:tcW w:w="766" w:type="pct"/>
            <w:noWrap/>
            <w:vAlign w:val="bottom"/>
          </w:tcPr>
          <w:p w14:paraId="7410400C">
            <w:pPr>
              <w:widowControl/>
              <w:jc w:val="left"/>
              <w:rPr>
                <w:rFonts w:ascii="Times New Roman" w:hAnsi="Times New Roman" w:eastAsia="宋体"/>
                <w:kern w:val="0"/>
                <w:sz w:val="20"/>
                <w:szCs w:val="20"/>
              </w:rPr>
            </w:pPr>
          </w:p>
        </w:tc>
        <w:tc>
          <w:tcPr>
            <w:tcW w:w="935" w:type="pct"/>
            <w:noWrap/>
            <w:vAlign w:val="center"/>
          </w:tcPr>
          <w:p w14:paraId="736E4815">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482BDCE">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CC2CA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23B3D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E52406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0477F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23DCB5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14FFED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D0777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7DDAA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E58F02A">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1357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C953D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21962C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7BFFC3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B2508F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EBFBA95">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A45DAED">
        <w:tblPrEx>
          <w:tblCellMar>
            <w:top w:w="0" w:type="dxa"/>
            <w:left w:w="108" w:type="dxa"/>
            <w:bottom w:w="0" w:type="dxa"/>
            <w:right w:w="108" w:type="dxa"/>
          </w:tblCellMar>
        </w:tblPrEx>
        <w:trPr>
          <w:trHeight w:val="619" w:hRule="atLeast"/>
          <w:tblHeader/>
        </w:trPr>
        <w:tc>
          <w:tcPr>
            <w:tcW w:w="960" w:type="pct"/>
            <w:noWrap/>
            <w:vAlign w:val="bottom"/>
          </w:tcPr>
          <w:p w14:paraId="254D69C3">
            <w:pPr>
              <w:rPr>
                <w:rStyle w:val="12"/>
                <w:rFonts w:hint="eastAsia" w:ascii="仿宋" w:hAnsi="仿宋" w:eastAsia="仿宋"/>
                <w:bCs/>
                <w:sz w:val="32"/>
                <w:szCs w:val="32"/>
              </w:rPr>
            </w:pPr>
          </w:p>
        </w:tc>
        <w:tc>
          <w:tcPr>
            <w:tcW w:w="1233" w:type="pct"/>
            <w:noWrap/>
            <w:vAlign w:val="bottom"/>
          </w:tcPr>
          <w:p w14:paraId="50F9E84F">
            <w:pPr>
              <w:widowControl/>
              <w:jc w:val="left"/>
              <w:rPr>
                <w:rFonts w:ascii="Times New Roman" w:hAnsi="Times New Roman" w:eastAsia="宋体"/>
                <w:kern w:val="0"/>
                <w:sz w:val="20"/>
                <w:szCs w:val="20"/>
              </w:rPr>
            </w:pPr>
          </w:p>
        </w:tc>
        <w:tc>
          <w:tcPr>
            <w:tcW w:w="2805" w:type="pct"/>
            <w:gridSpan w:val="3"/>
            <w:noWrap/>
            <w:vAlign w:val="center"/>
          </w:tcPr>
          <w:p w14:paraId="7169F844">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75E52D78">
        <w:tblPrEx>
          <w:tblCellMar>
            <w:top w:w="0" w:type="dxa"/>
            <w:left w:w="108" w:type="dxa"/>
            <w:bottom w:w="0" w:type="dxa"/>
            <w:right w:w="108" w:type="dxa"/>
          </w:tblCellMar>
        </w:tblPrEx>
        <w:trPr>
          <w:trHeight w:val="613" w:hRule="atLeast"/>
          <w:tblHeader/>
        </w:trPr>
        <w:tc>
          <w:tcPr>
            <w:tcW w:w="5000" w:type="pct"/>
            <w:gridSpan w:val="5"/>
            <w:noWrap/>
            <w:vAlign w:val="center"/>
          </w:tcPr>
          <w:p w14:paraId="0D193EC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74422AB">
        <w:tblPrEx>
          <w:tblCellMar>
            <w:top w:w="0" w:type="dxa"/>
            <w:left w:w="108" w:type="dxa"/>
            <w:bottom w:w="0" w:type="dxa"/>
            <w:right w:w="108" w:type="dxa"/>
          </w:tblCellMar>
        </w:tblPrEx>
        <w:trPr>
          <w:trHeight w:val="413" w:hRule="atLeast"/>
          <w:tblHeader/>
        </w:trPr>
        <w:tc>
          <w:tcPr>
            <w:tcW w:w="3282" w:type="pct"/>
            <w:gridSpan w:val="3"/>
            <w:noWrap/>
            <w:vAlign w:val="center"/>
          </w:tcPr>
          <w:p w14:paraId="33027F8A">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201110兴国县第十一小学</w:t>
            </w:r>
          </w:p>
        </w:tc>
        <w:tc>
          <w:tcPr>
            <w:tcW w:w="762" w:type="pct"/>
            <w:noWrap/>
            <w:vAlign w:val="bottom"/>
          </w:tcPr>
          <w:p w14:paraId="2CA71B49">
            <w:pPr>
              <w:widowControl/>
              <w:jc w:val="left"/>
              <w:rPr>
                <w:rFonts w:ascii="Times New Roman" w:hAnsi="Times New Roman" w:eastAsia="宋体"/>
                <w:kern w:val="0"/>
                <w:sz w:val="20"/>
                <w:szCs w:val="20"/>
              </w:rPr>
            </w:pPr>
          </w:p>
        </w:tc>
        <w:tc>
          <w:tcPr>
            <w:tcW w:w="954" w:type="pct"/>
            <w:noWrap/>
            <w:vAlign w:val="center"/>
          </w:tcPr>
          <w:p w14:paraId="4039A92A">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567194B">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64A79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A2D76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2AD487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8FB45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C925B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584C4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0BE5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88F7E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98D96CB">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C0A5D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4A19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EA7B6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6F42AE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6D0D54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3013F49">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3CC6B13E">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85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65"/>
        <w:gridCol w:w="2154"/>
        <w:gridCol w:w="2350"/>
        <w:gridCol w:w="1030"/>
        <w:gridCol w:w="1823"/>
      </w:tblGrid>
      <w:tr w14:paraId="0DC76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1" w:hRule="atLeast"/>
        </w:trPr>
        <w:tc>
          <w:tcPr>
            <w:tcW w:w="85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096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项目支出绩效目标表</w:t>
            </w:r>
          </w:p>
        </w:tc>
      </w:tr>
      <w:tr w14:paraId="714CF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496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（2026年度）</w:t>
            </w:r>
          </w:p>
        </w:tc>
      </w:tr>
      <w:tr w14:paraId="30BFE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A3C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项目名称</w:t>
            </w:r>
          </w:p>
        </w:tc>
        <w:tc>
          <w:tcPr>
            <w:tcW w:w="51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C7D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校区运行保障_二六年其他资金库</w:t>
            </w:r>
          </w:p>
        </w:tc>
      </w:tr>
      <w:tr w14:paraId="091E8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19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主管部门及代码</w:t>
            </w: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5A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201－兴国县教育体育局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403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A4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兴国县第十一小学</w:t>
            </w:r>
          </w:p>
        </w:tc>
      </w:tr>
      <w:tr w14:paraId="7A7B5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D22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项目资金（万元）</w:t>
            </w: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EE3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EF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300.00</w:t>
            </w:r>
          </w:p>
        </w:tc>
      </w:tr>
      <w:tr w14:paraId="3E09F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1EC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AE7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B94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r>
      <w:tr w14:paraId="4A4FE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289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8D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09E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r>
      <w:tr w14:paraId="28797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33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57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31D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76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r>
      <w:tr w14:paraId="1E7B4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60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总绩效目标</w:t>
            </w:r>
          </w:p>
        </w:tc>
      </w:tr>
      <w:tr w14:paraId="142B9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EC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保持学校正常运转</w:t>
            </w:r>
          </w:p>
        </w:tc>
      </w:tr>
      <w:tr w14:paraId="024A7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5CA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一级指标</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6E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二级指标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499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08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指标值</w:t>
            </w:r>
          </w:p>
        </w:tc>
      </w:tr>
      <w:tr w14:paraId="247CA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BAA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成本指标</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53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经济成本指标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9D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其他资金收入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434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≤3000000元</w:t>
            </w:r>
          </w:p>
        </w:tc>
      </w:tr>
      <w:tr w14:paraId="6ADA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187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产出指标</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425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数量指标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03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在校学生人数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C5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=463人</w:t>
            </w:r>
          </w:p>
        </w:tc>
      </w:tr>
      <w:tr w14:paraId="1D8A1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0D3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666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质量指标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1D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其他资金使用率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BF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r>
      <w:tr w14:paraId="04BE3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C6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FD7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时效指标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6FD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其他资金执行进度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3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r>
      <w:tr w14:paraId="1899B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3AB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效益指标</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C2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经济效益指标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34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其他资金规范使用达标率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7E4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r>
      <w:tr w14:paraId="40D59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F3A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满意度指标</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3C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E26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师生满意度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16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r>
    </w:tbl>
    <w:p w14:paraId="35B2C001">
      <w:pPr>
        <w:pStyle w:val="17"/>
        <w:numPr>
          <w:ilvl w:val="0"/>
          <w:numId w:val="0"/>
        </w:numPr>
        <w:bidi w:val="0"/>
        <w:ind w:firstLine="640" w:firstLineChars="200"/>
        <w:jc w:val="both"/>
        <w:rPr>
          <w:rFonts w:hint="eastAsia"/>
          <w:lang w:eastAsia="zh-CN"/>
        </w:rPr>
      </w:pPr>
      <w:r>
        <w:rPr>
          <w:rFonts w:hint="eastAsia"/>
          <w:lang w:val="en-US" w:eastAsia="zh-CN"/>
        </w:rPr>
        <w:t>第三部分  兴国县第十一小学2026年单位预算情况说明</w:t>
      </w:r>
    </w:p>
    <w:p w14:paraId="3AA0B8C2">
      <w:pPr>
        <w:widowControl/>
        <w:spacing w:line="580" w:lineRule="exact"/>
        <w:jc w:val="center"/>
        <w:rPr>
          <w:rFonts w:ascii="仿宋_GB2312" w:eastAsia="仿宋_GB2312"/>
          <w:b/>
          <w:sz w:val="32"/>
          <w:szCs w:val="30"/>
        </w:rPr>
      </w:pPr>
    </w:p>
    <w:p w14:paraId="283084C7">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EBB6457">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4E40E02C">
      <w:pPr>
        <w:pStyle w:val="18"/>
        <w:bidi w:val="0"/>
        <w:rPr>
          <w:rFonts w:hint="eastAsia"/>
          <w:lang w:eastAsia="zh-CN"/>
        </w:rPr>
      </w:pPr>
      <w:r>
        <w:rPr>
          <w:rFonts w:hint="eastAsia"/>
          <w:lang w:eastAsia="zh-CN"/>
        </w:rPr>
        <w:t>2026</w:t>
      </w:r>
      <w:r>
        <w:rPr>
          <w:rFonts w:hint="eastAsia"/>
        </w:rPr>
        <w:t>年</w:t>
      </w:r>
      <w:r>
        <w:rPr>
          <w:rFonts w:hint="eastAsia"/>
          <w:lang w:eastAsia="zh-CN"/>
        </w:rPr>
        <w:t>兴国县第十一小学</w:t>
      </w:r>
      <w:r>
        <w:rPr>
          <w:rFonts w:hint="eastAsia"/>
        </w:rPr>
        <w:t>收入预算总额为678.04万元</w:t>
      </w:r>
      <w:r>
        <w:rPr>
          <w:rFonts w:hint="eastAsia"/>
          <w:lang w:eastAsia="zh-CN"/>
        </w:rPr>
        <w:t>，</w:t>
      </w:r>
      <w:r>
        <w:rPr>
          <w:rFonts w:hint="eastAsia"/>
        </w:rPr>
        <w:t>较上年预算安排减少</w:t>
      </w:r>
      <w:r>
        <w:rPr>
          <w:rFonts w:hint="eastAsia"/>
          <w:lang w:val="en-US" w:eastAsia="zh-CN"/>
        </w:rPr>
        <w:t>83.38</w:t>
      </w:r>
      <w:r>
        <w:rPr>
          <w:rFonts w:hint="eastAsia"/>
        </w:rPr>
        <w:t>万元</w:t>
      </w:r>
      <w:r>
        <w:rPr>
          <w:rFonts w:hint="eastAsia"/>
          <w:lang w:eastAsia="zh-CN"/>
        </w:rPr>
        <w:t>，增减变化主要原因是：本年度校舍建设项目、设备设施采购项目资金减少。</w:t>
      </w:r>
    </w:p>
    <w:p w14:paraId="56FAE308">
      <w:pPr>
        <w:pStyle w:val="18"/>
        <w:bidi w:val="0"/>
        <w:rPr>
          <w:rFonts w:hint="eastAsia"/>
        </w:rPr>
      </w:pPr>
      <w:r>
        <w:rPr>
          <w:rFonts w:hint="eastAsia"/>
          <w:lang w:eastAsia="zh-CN"/>
        </w:rPr>
        <w:t>本年收入合计678.04万元，较上年预算安排减少</w:t>
      </w:r>
      <w:r>
        <w:rPr>
          <w:rFonts w:hint="eastAsia"/>
          <w:lang w:val="en-US" w:eastAsia="zh-CN"/>
        </w:rPr>
        <w:t>83.38</w:t>
      </w:r>
      <w:r>
        <w:rPr>
          <w:rFonts w:hint="eastAsia"/>
          <w:lang w:eastAsia="zh-CN"/>
        </w:rPr>
        <w:t>万元；包括：财政拨款收入378.04万元，较上年预算安排增加</w:t>
      </w:r>
      <w:r>
        <w:rPr>
          <w:rFonts w:hint="eastAsia"/>
          <w:lang w:val="en-US" w:eastAsia="zh-CN"/>
        </w:rPr>
        <w:t>146.62</w:t>
      </w:r>
      <w:r>
        <w:rPr>
          <w:rFonts w:hint="eastAsia"/>
          <w:lang w:eastAsia="zh-CN"/>
        </w:rPr>
        <w:t>万元；其他收入300.00万元，较上年预算安排减少</w:t>
      </w:r>
      <w:r>
        <w:rPr>
          <w:rFonts w:hint="eastAsia"/>
          <w:lang w:val="en-US" w:eastAsia="zh-CN"/>
        </w:rPr>
        <w:t>230</w:t>
      </w:r>
      <w:r>
        <w:rPr>
          <w:rFonts w:hint="eastAsia"/>
          <w:lang w:eastAsia="zh-CN"/>
        </w:rPr>
        <w:t>万元。</w:t>
      </w:r>
    </w:p>
    <w:p w14:paraId="369FE14C">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7F622EE">
      <w:pPr>
        <w:pStyle w:val="18"/>
        <w:bidi w:val="0"/>
        <w:rPr>
          <w:rFonts w:hint="eastAsia"/>
        </w:rPr>
      </w:pPr>
      <w:r>
        <w:rPr>
          <w:rFonts w:hint="eastAsia"/>
          <w:lang w:eastAsia="zh-CN"/>
        </w:rPr>
        <w:t>2026</w:t>
      </w:r>
      <w:r>
        <w:rPr>
          <w:rFonts w:hint="eastAsia"/>
        </w:rPr>
        <w:t>年</w:t>
      </w:r>
      <w:r>
        <w:rPr>
          <w:rFonts w:hint="eastAsia"/>
          <w:lang w:eastAsia="zh-CN"/>
        </w:rPr>
        <w:t>兴国县第十一小学</w:t>
      </w:r>
      <w:r>
        <w:rPr>
          <w:rFonts w:hint="eastAsia"/>
        </w:rPr>
        <w:t>支出预算总额为678.04万元</w:t>
      </w:r>
      <w:r>
        <w:rPr>
          <w:rFonts w:hint="eastAsia"/>
          <w:lang w:eastAsia="zh-CN"/>
        </w:rPr>
        <w:t>，</w:t>
      </w:r>
      <w:r>
        <w:rPr>
          <w:rFonts w:hint="eastAsia"/>
        </w:rPr>
        <w:t>较上年预算安排减少</w:t>
      </w:r>
      <w:r>
        <w:rPr>
          <w:rFonts w:hint="eastAsia"/>
          <w:lang w:val="en-US" w:eastAsia="zh-CN"/>
        </w:rPr>
        <w:t>83.38</w:t>
      </w:r>
      <w:r>
        <w:rPr>
          <w:rFonts w:hint="eastAsia"/>
        </w:rPr>
        <w:t>万元</w:t>
      </w:r>
      <w:r>
        <w:rPr>
          <w:rFonts w:hint="eastAsia"/>
          <w:lang w:eastAsia="zh-CN"/>
        </w:rPr>
        <w:t>，增减变化主要原因是：本年度校舍建设项目、设备设施采购项目资金减少。</w:t>
      </w:r>
      <w:r>
        <w:rPr>
          <w:rFonts w:hint="eastAsia"/>
        </w:rPr>
        <w:t xml:space="preserve"> </w:t>
      </w:r>
    </w:p>
    <w:p w14:paraId="51284576">
      <w:pPr>
        <w:pStyle w:val="18"/>
        <w:bidi w:val="0"/>
        <w:rPr>
          <w:rFonts w:hint="eastAsia"/>
        </w:rPr>
      </w:pPr>
      <w:r>
        <w:rPr>
          <w:rFonts w:hint="eastAsia"/>
        </w:rPr>
        <w:t>按支出项目类别划分：基本支出344.70万元</w:t>
      </w:r>
      <w:r>
        <w:rPr>
          <w:rFonts w:hint="eastAsia"/>
          <w:lang w:eastAsia="zh-CN"/>
        </w:rPr>
        <w:t>，</w:t>
      </w:r>
      <w:r>
        <w:rPr>
          <w:rFonts w:hint="eastAsia"/>
        </w:rPr>
        <w:t>较上年预算安排增加</w:t>
      </w:r>
      <w:r>
        <w:rPr>
          <w:rFonts w:hint="eastAsia"/>
          <w:lang w:val="en-US" w:eastAsia="zh-CN"/>
        </w:rPr>
        <w:t>113.28</w:t>
      </w:r>
      <w:r>
        <w:rPr>
          <w:rFonts w:hint="eastAsia"/>
        </w:rPr>
        <w:t>万元</w:t>
      </w:r>
      <w:r>
        <w:rPr>
          <w:rFonts w:hint="eastAsia"/>
          <w:lang w:eastAsia="zh-CN"/>
        </w:rPr>
        <w:t>；</w:t>
      </w:r>
      <w:r>
        <w:rPr>
          <w:rFonts w:hint="eastAsia"/>
        </w:rPr>
        <w:t>项目支出333.34万元</w:t>
      </w:r>
      <w:r>
        <w:rPr>
          <w:rFonts w:hint="eastAsia"/>
          <w:lang w:eastAsia="zh-CN"/>
        </w:rPr>
        <w:t>，</w:t>
      </w:r>
      <w:r>
        <w:rPr>
          <w:rFonts w:hint="eastAsia"/>
        </w:rPr>
        <w:t>较上年预算安排减少</w:t>
      </w:r>
      <w:r>
        <w:rPr>
          <w:rFonts w:hint="eastAsia"/>
          <w:lang w:val="en-US" w:eastAsia="zh-CN"/>
        </w:rPr>
        <w:t>196.66</w:t>
      </w:r>
      <w:r>
        <w:rPr>
          <w:rFonts w:hint="eastAsia"/>
        </w:rPr>
        <w:t>万元。</w:t>
      </w:r>
    </w:p>
    <w:p w14:paraId="73FFB174">
      <w:pPr>
        <w:pStyle w:val="18"/>
        <w:bidi w:val="0"/>
        <w:rPr>
          <w:rFonts w:hint="eastAsia"/>
        </w:rPr>
      </w:pPr>
      <w:r>
        <w:rPr>
          <w:rFonts w:hint="eastAsia"/>
        </w:rPr>
        <w:t>按支出功能科目划分：教育支出312.63万元，较上年预算安排增加</w:t>
      </w:r>
      <w:r>
        <w:rPr>
          <w:rFonts w:hint="eastAsia"/>
          <w:lang w:val="en-US" w:eastAsia="zh-CN"/>
        </w:rPr>
        <w:t>144.54</w:t>
      </w:r>
      <w:r>
        <w:rPr>
          <w:rFonts w:hint="eastAsia"/>
        </w:rPr>
        <w:t>万元；社会保障和就业支出39.87万元，较上年预算安排增加</w:t>
      </w:r>
      <w:r>
        <w:rPr>
          <w:rFonts w:hint="eastAsia"/>
          <w:lang w:val="en-US" w:eastAsia="zh-CN"/>
        </w:rPr>
        <w:t>9.81</w:t>
      </w:r>
      <w:r>
        <w:rPr>
          <w:rFonts w:hint="eastAsia"/>
        </w:rPr>
        <w:t>万元；卫生健康支出25.54万元，较上年预算安排增加</w:t>
      </w:r>
      <w:r>
        <w:rPr>
          <w:rFonts w:hint="eastAsia"/>
          <w:lang w:val="en-US" w:eastAsia="zh-CN"/>
        </w:rPr>
        <w:t>14.82</w:t>
      </w:r>
      <w:r>
        <w:rPr>
          <w:rFonts w:hint="eastAsia"/>
        </w:rPr>
        <w:t>万元；</w:t>
      </w:r>
      <w:r>
        <w:rPr>
          <w:rFonts w:hint="eastAsia"/>
          <w:color w:val="auto"/>
        </w:rPr>
        <w:t>住房保障支出0</w:t>
      </w:r>
      <w:r>
        <w:rPr>
          <w:rFonts w:hint="eastAsia"/>
          <w:color w:val="auto"/>
          <w:lang w:val="en-US" w:eastAsia="zh-CN"/>
        </w:rPr>
        <w:t>.00</w:t>
      </w:r>
      <w:r>
        <w:rPr>
          <w:rFonts w:hint="eastAsia"/>
          <w:color w:val="auto"/>
        </w:rPr>
        <w:t>万元，较上年预算安排减少</w:t>
      </w:r>
      <w:r>
        <w:rPr>
          <w:rFonts w:hint="eastAsia"/>
          <w:color w:val="auto"/>
          <w:lang w:val="en-US" w:eastAsia="zh-CN"/>
        </w:rPr>
        <w:t>22.55</w:t>
      </w:r>
      <w:r>
        <w:rPr>
          <w:rFonts w:hint="eastAsia"/>
          <w:color w:val="auto"/>
        </w:rPr>
        <w:t>万元；</w:t>
      </w:r>
      <w:r>
        <w:rPr>
          <w:rFonts w:hint="eastAsia"/>
        </w:rPr>
        <w:t>其他支出300.00万元，较上年预算安排减少</w:t>
      </w:r>
      <w:r>
        <w:rPr>
          <w:rFonts w:hint="eastAsia"/>
          <w:lang w:val="en-US" w:eastAsia="zh-CN"/>
        </w:rPr>
        <w:t>230.00</w:t>
      </w:r>
      <w:r>
        <w:rPr>
          <w:rFonts w:hint="eastAsia"/>
        </w:rPr>
        <w:t>万元。</w:t>
      </w:r>
    </w:p>
    <w:p w14:paraId="2C787969">
      <w:pPr>
        <w:pStyle w:val="18"/>
        <w:bidi w:val="0"/>
        <w:rPr>
          <w:rFonts w:hint="eastAsia" w:eastAsia="仿宋_GB2312"/>
          <w:lang w:eastAsia="zh-CN"/>
        </w:rPr>
      </w:pPr>
      <w:r>
        <w:rPr>
          <w:rFonts w:hint="eastAsia"/>
        </w:rPr>
        <w:t>按支出经济分类划分：工资福利支出342.59万元，较上年预算安排增加</w:t>
      </w:r>
      <w:r>
        <w:rPr>
          <w:rFonts w:hint="eastAsia"/>
          <w:lang w:val="en-US" w:eastAsia="zh-CN"/>
        </w:rPr>
        <w:t>131.12</w:t>
      </w:r>
      <w:r>
        <w:rPr>
          <w:rFonts w:hint="eastAsia"/>
        </w:rPr>
        <w:t>万元；商品和服务支出332.34万元，较上年预算安排增加</w:t>
      </w:r>
      <w:r>
        <w:rPr>
          <w:rFonts w:hint="eastAsia"/>
          <w:lang w:val="en-US" w:eastAsia="zh-CN"/>
        </w:rPr>
        <w:t>320.39</w:t>
      </w:r>
      <w:r>
        <w:rPr>
          <w:rFonts w:hint="eastAsia"/>
        </w:rPr>
        <w:t>万元；对个人和家庭的补助2.11万元，较上年预算安排增加</w:t>
      </w:r>
      <w:r>
        <w:rPr>
          <w:rFonts w:hint="eastAsia"/>
          <w:lang w:val="en-US" w:eastAsia="zh-CN"/>
        </w:rPr>
        <w:t>2.11</w:t>
      </w:r>
      <w:r>
        <w:rPr>
          <w:rFonts w:hint="eastAsia"/>
        </w:rPr>
        <w:t>万元；资本性支出1.00万元，较上年预算安排减少</w:t>
      </w:r>
      <w:r>
        <w:rPr>
          <w:rFonts w:hint="eastAsia"/>
          <w:lang w:val="en-US" w:eastAsia="zh-CN"/>
        </w:rPr>
        <w:t>7.00</w:t>
      </w:r>
      <w:r>
        <w:rPr>
          <w:rFonts w:hint="eastAsia"/>
        </w:rPr>
        <w:t>万元</w:t>
      </w:r>
      <w:r>
        <w:rPr>
          <w:rFonts w:hint="eastAsia"/>
          <w:lang w:eastAsia="zh-CN"/>
        </w:rPr>
        <w:t>，其他支出</w:t>
      </w:r>
      <w:r>
        <w:rPr>
          <w:rFonts w:hint="eastAsia"/>
          <w:lang w:val="en-US" w:eastAsia="zh-CN"/>
        </w:rPr>
        <w:t>0.00</w:t>
      </w:r>
      <w:r>
        <w:rPr>
          <w:rFonts w:hint="eastAsia"/>
          <w:lang w:eastAsia="zh-CN"/>
        </w:rPr>
        <w:t>万元，较上年预算安排</w:t>
      </w:r>
      <w:r>
        <w:rPr>
          <w:rFonts w:hint="eastAsia"/>
          <w:lang w:val="en-US" w:eastAsia="zh-CN"/>
        </w:rPr>
        <w:t>增加0.00</w:t>
      </w:r>
      <w:r>
        <w:rPr>
          <w:rFonts w:hint="eastAsia"/>
          <w:lang w:eastAsia="zh-CN"/>
        </w:rPr>
        <w:t>万元。</w:t>
      </w:r>
    </w:p>
    <w:p w14:paraId="3C4C0377">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36723E10">
      <w:pPr>
        <w:pStyle w:val="18"/>
        <w:bidi w:val="0"/>
        <w:rPr>
          <w:rFonts w:hint="eastAsia" w:eastAsia="仿宋_GB2312"/>
          <w:lang w:eastAsia="zh-CN"/>
        </w:rPr>
      </w:pPr>
      <w:r>
        <w:rPr>
          <w:rFonts w:hint="eastAsia"/>
          <w:lang w:eastAsia="zh-CN"/>
        </w:rPr>
        <w:t>2026</w:t>
      </w:r>
      <w:r>
        <w:rPr>
          <w:rFonts w:hint="eastAsia"/>
        </w:rPr>
        <w:t>年</w:t>
      </w:r>
      <w:r>
        <w:rPr>
          <w:rFonts w:hint="eastAsia"/>
          <w:lang w:eastAsia="zh-CN"/>
        </w:rPr>
        <w:t>兴国县第十一小学</w:t>
      </w:r>
      <w:r>
        <w:rPr>
          <w:rFonts w:hint="eastAsia"/>
        </w:rPr>
        <w:t>财政拨款支出预算总额378.04万元</w:t>
      </w:r>
      <w:r>
        <w:rPr>
          <w:rFonts w:hint="eastAsia"/>
          <w:lang w:eastAsia="zh-CN"/>
        </w:rPr>
        <w:t>，</w:t>
      </w:r>
      <w:r>
        <w:rPr>
          <w:rFonts w:hint="eastAsia"/>
        </w:rPr>
        <w:t>较上年预算安排</w:t>
      </w:r>
      <w:r>
        <w:rPr>
          <w:rFonts w:hint="eastAsia"/>
          <w:lang w:val="en-US" w:eastAsia="zh-CN"/>
        </w:rPr>
        <w:t>增加146.62</w:t>
      </w:r>
      <w:r>
        <w:rPr>
          <w:rFonts w:hint="eastAsia"/>
        </w:rPr>
        <w:t>万元</w:t>
      </w:r>
      <w:r>
        <w:rPr>
          <w:rFonts w:hint="eastAsia"/>
          <w:lang w:eastAsia="zh-CN"/>
        </w:rPr>
        <w:t>，增减变化主要原因是：本年度校舍建设项目、</w:t>
      </w:r>
      <w:r>
        <w:rPr>
          <w:rFonts w:hint="eastAsia" w:ascii="仿宋" w:hAnsi="仿宋" w:eastAsia="仿宋" w:cs="仿宋"/>
          <w:color w:val="auto"/>
          <w:highlight w:val="none"/>
          <w:lang w:val="en-US" w:eastAsia="zh-CN"/>
        </w:rPr>
        <w:t>人员经费标准提高</w:t>
      </w:r>
      <w:r>
        <w:rPr>
          <w:rFonts w:hint="eastAsia" w:ascii="仿宋" w:hAnsi="仿宋" w:eastAsia="仿宋" w:cs="仿宋"/>
          <w:color w:val="auto"/>
          <w:highlight w:val="none"/>
          <w:lang w:val="en-US"/>
        </w:rPr>
        <w:t>，</w:t>
      </w:r>
      <w:r>
        <w:rPr>
          <w:rFonts w:hint="eastAsia" w:ascii="仿宋" w:hAnsi="仿宋" w:eastAsia="仿宋" w:cs="仿宋"/>
          <w:color w:val="auto"/>
          <w:highlight w:val="none"/>
          <w:lang w:val="en-US" w:eastAsia="zh-CN"/>
        </w:rPr>
        <w:t>工资福利明显</w:t>
      </w:r>
      <w:r>
        <w:rPr>
          <w:rFonts w:hint="eastAsia" w:ascii="仿宋" w:hAnsi="仿宋" w:eastAsia="仿宋" w:cs="仿宋"/>
          <w:color w:val="auto"/>
          <w:highlight w:val="none"/>
          <w:lang w:val="en-US"/>
        </w:rPr>
        <w:t>增加</w:t>
      </w:r>
      <w:r>
        <w:rPr>
          <w:rFonts w:hint="eastAsia" w:ascii="仿宋" w:hAnsi="仿宋" w:eastAsia="仿宋" w:cs="仿宋"/>
          <w:color w:val="auto"/>
          <w:highlight w:val="none"/>
        </w:rPr>
        <w:t>。</w:t>
      </w:r>
    </w:p>
    <w:p w14:paraId="796AB6E5">
      <w:pPr>
        <w:pStyle w:val="18"/>
        <w:bidi w:val="0"/>
        <w:rPr>
          <w:rFonts w:hint="eastAsia"/>
        </w:rPr>
      </w:pPr>
      <w:r>
        <w:rPr>
          <w:rFonts w:hint="eastAsia"/>
        </w:rPr>
        <w:t>按支出功能科目划分：教育支出312.63万元，社会保障和就业支出39.87万元，卫生健康支出25.54万元。</w:t>
      </w:r>
    </w:p>
    <w:p w14:paraId="1E9F3A65">
      <w:pPr>
        <w:pStyle w:val="18"/>
        <w:bidi w:val="0"/>
        <w:rPr>
          <w:rFonts w:hint="eastAsia"/>
        </w:rPr>
      </w:pPr>
      <w:r>
        <w:rPr>
          <w:rFonts w:hint="eastAsia"/>
        </w:rPr>
        <w:t>按支出项目类别划分：基本支出344.70万元</w:t>
      </w:r>
      <w:r>
        <w:rPr>
          <w:rFonts w:hint="eastAsia"/>
          <w:lang w:eastAsia="zh-CN"/>
        </w:rPr>
        <w:t>，</w:t>
      </w:r>
      <w:r>
        <w:rPr>
          <w:rFonts w:hint="eastAsia"/>
        </w:rPr>
        <w:t>项目支出33.34万元。</w:t>
      </w:r>
    </w:p>
    <w:p w14:paraId="73FB24F4">
      <w:pPr>
        <w:pStyle w:val="18"/>
        <w:bidi w:val="0"/>
        <w:rPr>
          <w:rFonts w:hint="eastAsia"/>
        </w:rPr>
      </w:pPr>
      <w:r>
        <w:rPr>
          <w:rFonts w:hint="eastAsia"/>
        </w:rPr>
        <w:t>按支</w:t>
      </w:r>
      <w:r>
        <w:rPr>
          <w:rFonts w:hint="eastAsia"/>
          <w:lang w:val="en-US" w:eastAsia="zh-CN"/>
        </w:rPr>
        <w:t>出经济分类</w:t>
      </w:r>
      <w:r>
        <w:rPr>
          <w:rFonts w:hint="eastAsia"/>
        </w:rPr>
        <w:t>划分：工资福利支出342.59万元，商品和服务支出32.34万元，对个人和家庭的补助2.11万元，资本性支出1.00万元。</w:t>
      </w:r>
    </w:p>
    <w:p w14:paraId="0B58F3BB">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850CC4A">
      <w:pPr>
        <w:pStyle w:val="18"/>
        <w:bidi w:val="0"/>
        <w:rPr>
          <w:rFonts w:hint="eastAsia"/>
        </w:rPr>
      </w:pPr>
      <w:r>
        <w:rPr>
          <w:rFonts w:hint="eastAsia"/>
        </w:rPr>
        <w:t>本单位无使用政府性基金预算拨款安排的支出。</w:t>
      </w:r>
    </w:p>
    <w:p w14:paraId="7E541549">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3E6B5DC5">
      <w:pPr>
        <w:pStyle w:val="18"/>
        <w:bidi w:val="0"/>
        <w:rPr>
          <w:rFonts w:hint="eastAsia"/>
        </w:rPr>
      </w:pPr>
      <w:r>
        <w:rPr>
          <w:rFonts w:hint="eastAsia"/>
        </w:rPr>
        <w:t>本单位无使用国有资本经营预算拨款安排的支出。</w:t>
      </w:r>
    </w:p>
    <w:p w14:paraId="0A8E700C">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611D0C2">
      <w:pPr>
        <w:widowControl/>
        <w:spacing w:line="580" w:lineRule="exact"/>
        <w:ind w:firstLine="636"/>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本单位为非行政参公单位，无机关运行经费。</w:t>
      </w:r>
    </w:p>
    <w:p w14:paraId="60602FA0">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43E81C28">
      <w:pPr>
        <w:pStyle w:val="18"/>
        <w:bidi w:val="0"/>
        <w:rPr>
          <w:rFonts w:hint="eastAsia"/>
          <w:lang w:eastAsia="zh-CN"/>
        </w:rPr>
      </w:pPr>
      <w:r>
        <w:rPr>
          <w:rFonts w:hint="eastAsia"/>
          <w:lang w:eastAsia="zh-CN"/>
        </w:rPr>
        <w:t>2026年政府采购总额3.20万元，其中：政府采购货物预算  1.50万元，政府采购工程预算0.00万元，政府采购服务预算 1.70万元。</w:t>
      </w:r>
    </w:p>
    <w:p w14:paraId="7E48A1DA">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3FFF94B">
      <w:pPr>
        <w:pStyle w:val="18"/>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594BA55C">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0E59839">
      <w:pPr>
        <w:pStyle w:val="19"/>
        <w:numPr>
          <w:ilvl w:val="0"/>
          <w:numId w:val="0"/>
        </w:numPr>
        <w:bidi w:val="0"/>
        <w:ind w:firstLine="643" w:firstLineChars="200"/>
        <w:rPr>
          <w:rFonts w:hint="eastAsia"/>
          <w:lang w:val="en-US" w:eastAsia="zh-CN"/>
        </w:rPr>
      </w:pPr>
      <w:r>
        <w:rPr>
          <w:rFonts w:hint="eastAsia"/>
          <w:lang w:val="en-US" w:eastAsia="zh-CN"/>
        </w:rPr>
        <w:t>（九）二六年其他资金库项目情况说明</w:t>
      </w:r>
    </w:p>
    <w:p w14:paraId="20967F9B">
      <w:pPr>
        <w:pStyle w:val="18"/>
        <w:bidi w:val="0"/>
        <w:rPr>
          <w:rFonts w:hint="eastAsia"/>
          <w:lang w:val="en-US" w:eastAsia="zh-CN"/>
        </w:rPr>
      </w:pPr>
      <w:r>
        <w:rPr>
          <w:rFonts w:hint="eastAsia"/>
          <w:lang w:val="en-US" w:eastAsia="zh-CN"/>
        </w:rPr>
        <w:t>1）项目概述：课后延时服务费等其他资金。</w:t>
      </w:r>
    </w:p>
    <w:p w14:paraId="157A82A3">
      <w:pPr>
        <w:pStyle w:val="18"/>
        <w:bidi w:val="0"/>
        <w:rPr>
          <w:rFonts w:hint="eastAsia"/>
          <w:lang w:val="en-US" w:eastAsia="zh-CN"/>
        </w:rPr>
      </w:pPr>
      <w:r>
        <w:rPr>
          <w:rFonts w:hint="eastAsia"/>
          <w:lang w:val="en-US" w:eastAsia="zh-CN"/>
        </w:rPr>
        <w:t xml:space="preserve">    2）立项依据：赣发改价管规〔2025〕328号、赣教监管字〔2025〕13 号。</w:t>
      </w:r>
    </w:p>
    <w:p w14:paraId="264BFA8C">
      <w:pPr>
        <w:pStyle w:val="18"/>
        <w:bidi w:val="0"/>
        <w:rPr>
          <w:rFonts w:hint="default"/>
          <w:lang w:val="en-US" w:eastAsia="zh-CN"/>
        </w:rPr>
      </w:pPr>
      <w:r>
        <w:rPr>
          <w:rFonts w:hint="eastAsia"/>
          <w:lang w:val="en-US" w:eastAsia="zh-CN"/>
        </w:rPr>
        <w:t>3）实施主体：兴国县第十一小学。</w:t>
      </w:r>
    </w:p>
    <w:p w14:paraId="308C4EF8">
      <w:pPr>
        <w:pStyle w:val="18"/>
        <w:bidi w:val="0"/>
        <w:rPr>
          <w:rFonts w:hint="eastAsia"/>
          <w:lang w:val="en-US" w:eastAsia="zh-CN"/>
        </w:rPr>
      </w:pPr>
      <w:r>
        <w:rPr>
          <w:rFonts w:hint="eastAsia"/>
          <w:lang w:val="en-US" w:eastAsia="zh-CN"/>
        </w:rPr>
        <w:t>4）实施方案：保障单位2026年课后托管服务，确保学校相关工作正常运转。</w:t>
      </w:r>
    </w:p>
    <w:p w14:paraId="1AB549CC">
      <w:pPr>
        <w:pStyle w:val="18"/>
        <w:bidi w:val="0"/>
        <w:rPr>
          <w:rFonts w:hint="default"/>
          <w:lang w:val="en-US" w:eastAsia="zh-CN"/>
        </w:rPr>
      </w:pPr>
      <w:r>
        <w:rPr>
          <w:rFonts w:hint="eastAsia"/>
          <w:lang w:val="en-US" w:eastAsia="zh-CN"/>
        </w:rPr>
        <w:t>5）实施周期：2026年1月1日至2026年12月31日。</w:t>
      </w:r>
    </w:p>
    <w:p w14:paraId="789733EA">
      <w:pPr>
        <w:pStyle w:val="18"/>
        <w:bidi w:val="0"/>
        <w:rPr>
          <w:rFonts w:hint="eastAsia"/>
          <w:lang w:val="en-US" w:eastAsia="zh-CN"/>
        </w:rPr>
      </w:pPr>
      <w:r>
        <w:rPr>
          <w:rFonts w:hint="eastAsia"/>
          <w:lang w:val="en-US" w:eastAsia="zh-CN"/>
        </w:rPr>
        <w:t>6）年度预算安排：项目库申报金额300.00万元；预算批复金额300.00万元。</w:t>
      </w:r>
    </w:p>
    <w:p w14:paraId="064FE532">
      <w:pPr>
        <w:pStyle w:val="18"/>
        <w:bidi w:val="0"/>
        <w:rPr>
          <w:rFonts w:hint="eastAsia"/>
          <w:lang w:val="en-US" w:eastAsia="zh-CN"/>
        </w:rPr>
      </w:pPr>
    </w:p>
    <w:p w14:paraId="75D8D34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696D8C0">
      <w:pPr>
        <w:pStyle w:val="18"/>
        <w:bidi w:val="0"/>
        <w:rPr>
          <w:rFonts w:hint="eastAsia"/>
          <w:lang w:eastAsia="zh-CN"/>
        </w:rPr>
      </w:pPr>
      <w:r>
        <w:rPr>
          <w:rFonts w:hint="eastAsia"/>
          <w:lang w:eastAsia="zh-CN"/>
        </w:rPr>
        <w:t>2026年兴国县第十一小学财政拨款“三公”经费安排1.80万元，其中：</w:t>
      </w:r>
    </w:p>
    <w:p w14:paraId="42884444">
      <w:pPr>
        <w:pStyle w:val="18"/>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78BBD650">
      <w:pPr>
        <w:pStyle w:val="18"/>
        <w:bidi w:val="0"/>
        <w:rPr>
          <w:rFonts w:hint="eastAsia"/>
          <w:lang w:eastAsia="zh-CN"/>
        </w:rPr>
      </w:pPr>
      <w:r>
        <w:rPr>
          <w:rFonts w:hint="eastAsia"/>
          <w:lang w:eastAsia="zh-CN"/>
        </w:rPr>
        <w:t>公务接待1.80万元，比上年增加</w:t>
      </w:r>
      <w:r>
        <w:rPr>
          <w:rFonts w:hint="eastAsia"/>
          <w:lang w:val="en-US" w:eastAsia="zh-CN"/>
        </w:rPr>
        <w:t>0</w:t>
      </w:r>
      <w:r>
        <w:rPr>
          <w:rFonts w:hint="eastAsia"/>
          <w:lang w:eastAsia="zh-CN"/>
        </w:rPr>
        <w:t>万元，主要原因是：与上年安排保持一致。</w:t>
      </w:r>
    </w:p>
    <w:p w14:paraId="26703E33">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1498FC2D">
      <w:pPr>
        <w:pStyle w:val="18"/>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4BA75A72">
      <w:pPr>
        <w:rPr>
          <w:rStyle w:val="12"/>
          <w:rFonts w:hint="eastAsia" w:ascii="仿宋" w:hAnsi="仿宋" w:eastAsia="仿宋"/>
          <w:sz w:val="32"/>
          <w:szCs w:val="32"/>
        </w:rPr>
      </w:pPr>
      <w:r>
        <w:rPr>
          <w:rStyle w:val="12"/>
          <w:rFonts w:hint="eastAsia" w:ascii="仿宋" w:hAnsi="仿宋" w:eastAsia="仿宋"/>
          <w:sz w:val="32"/>
          <w:szCs w:val="32"/>
        </w:rPr>
        <w:br w:type="page"/>
      </w:r>
    </w:p>
    <w:p w14:paraId="134B94C3">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2C3A5697">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642DF90">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2F886C02">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107C8F00">
      <w:pPr>
        <w:pStyle w:val="18"/>
        <w:bidi w:val="0"/>
        <w:rPr>
          <w:rFonts w:hint="eastAsia"/>
          <w:lang w:eastAsia="zh-CN"/>
        </w:rPr>
      </w:pPr>
      <w:r>
        <w:rPr>
          <w:rFonts w:hint="eastAsia"/>
          <w:lang w:eastAsia="zh-CN"/>
        </w:rPr>
        <w:t>（三）事业收入：指事业单位开展专业业务活动及辅助活动取得的收入。</w:t>
      </w:r>
    </w:p>
    <w:p w14:paraId="7CAF64A5">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631AA2AF">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7325900">
      <w:pPr>
        <w:pStyle w:val="18"/>
        <w:bidi w:val="0"/>
        <w:rPr>
          <w:rFonts w:hint="eastAsia"/>
          <w:lang w:eastAsia="zh-CN"/>
        </w:rPr>
      </w:pPr>
      <w:r>
        <w:rPr>
          <w:rFonts w:hint="eastAsia"/>
          <w:lang w:eastAsia="zh-CN"/>
        </w:rPr>
        <w:t>（六）上级补助收入：指事业单位从主管部门和上级单位取得的非财政补助收入。</w:t>
      </w:r>
    </w:p>
    <w:p w14:paraId="481B056C">
      <w:pPr>
        <w:pStyle w:val="18"/>
        <w:bidi w:val="0"/>
        <w:rPr>
          <w:rFonts w:hint="eastAsia"/>
          <w:lang w:eastAsia="zh-CN"/>
        </w:rPr>
      </w:pPr>
      <w:r>
        <w:rPr>
          <w:rFonts w:hint="eastAsia"/>
          <w:lang w:eastAsia="zh-CN"/>
        </w:rPr>
        <w:t>（七）其他收入：指除财政拨款、事业收入、事业单位经营收入等以外的各项收入。</w:t>
      </w:r>
    </w:p>
    <w:p w14:paraId="1BA88A73">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48886BAE">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5702C2DF">
      <w:pPr>
        <w:ind w:firstLine="640" w:firstLineChars="200"/>
        <w:rPr>
          <w:rFonts w:ascii="Adobe 仿宋 Std R" w:hAnsi="Adobe 仿宋 Std R" w:eastAsia="Adobe 仿宋 Std R"/>
          <w:sz w:val="32"/>
          <w:szCs w:val="32"/>
        </w:rPr>
      </w:pPr>
    </w:p>
    <w:p w14:paraId="21BE620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08DB09C">
      <w:pPr>
        <w:spacing w:line="560" w:lineRule="exact"/>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30D47C6D">
      <w:pPr>
        <w:spacing w:line="560" w:lineRule="exact"/>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6E91BE42">
      <w:pPr>
        <w:spacing w:line="560" w:lineRule="exact"/>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702257C3">
      <w:pPr>
        <w:spacing w:line="560" w:lineRule="exact"/>
        <w:ind w:firstLine="681" w:firstLineChars="213"/>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4300C7C6">
      <w:pPr>
        <w:spacing w:line="560" w:lineRule="exact"/>
        <w:ind w:firstLine="681" w:firstLineChars="213"/>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（五）事业单位医疗：反映财政本单位集中安排的事业单位基本医疗保险缴费经费。</w:t>
      </w:r>
    </w:p>
    <w:p w14:paraId="069B64EE">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6A346BA3">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21A20C47">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F960B6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59A21A5">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1F4D777C">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D2236">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zMGU5ODkxMWIyZDg2NTQ3MzJjODJlNDJkNTE2Njg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2F4151"/>
    <w:rsid w:val="0548762F"/>
    <w:rsid w:val="056335EC"/>
    <w:rsid w:val="058E403A"/>
    <w:rsid w:val="05A96FBC"/>
    <w:rsid w:val="067A6028"/>
    <w:rsid w:val="069027A8"/>
    <w:rsid w:val="06BE4E5C"/>
    <w:rsid w:val="06C16A1F"/>
    <w:rsid w:val="06EB090E"/>
    <w:rsid w:val="070F6488"/>
    <w:rsid w:val="07181283"/>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70467"/>
    <w:rsid w:val="0D1D3A97"/>
    <w:rsid w:val="0D7F0935"/>
    <w:rsid w:val="0D906017"/>
    <w:rsid w:val="0DB3098E"/>
    <w:rsid w:val="0DC46BAD"/>
    <w:rsid w:val="0E4868F2"/>
    <w:rsid w:val="0E593733"/>
    <w:rsid w:val="0EC56195"/>
    <w:rsid w:val="0ED334BB"/>
    <w:rsid w:val="0EED77D1"/>
    <w:rsid w:val="0EFE5F92"/>
    <w:rsid w:val="0F2509E1"/>
    <w:rsid w:val="0FA364D6"/>
    <w:rsid w:val="0FFC5BE6"/>
    <w:rsid w:val="10374E70"/>
    <w:rsid w:val="1042584C"/>
    <w:rsid w:val="10C76C75"/>
    <w:rsid w:val="10EC7A09"/>
    <w:rsid w:val="118C7F17"/>
    <w:rsid w:val="11A83289"/>
    <w:rsid w:val="11BA18B5"/>
    <w:rsid w:val="11F978D4"/>
    <w:rsid w:val="12AB25F0"/>
    <w:rsid w:val="12C66037"/>
    <w:rsid w:val="12CC5D44"/>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B9E1208"/>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485F55"/>
    <w:rsid w:val="23F95523"/>
    <w:rsid w:val="2418246B"/>
    <w:rsid w:val="24407927"/>
    <w:rsid w:val="248511A6"/>
    <w:rsid w:val="252B0DDC"/>
    <w:rsid w:val="25495126"/>
    <w:rsid w:val="2584425C"/>
    <w:rsid w:val="25B931E9"/>
    <w:rsid w:val="25CE54D7"/>
    <w:rsid w:val="25F4209D"/>
    <w:rsid w:val="265579A6"/>
    <w:rsid w:val="267A7ED7"/>
    <w:rsid w:val="267B565F"/>
    <w:rsid w:val="267C59C1"/>
    <w:rsid w:val="26BE72FA"/>
    <w:rsid w:val="26CB02AF"/>
    <w:rsid w:val="26FE5E6C"/>
    <w:rsid w:val="27DA63B5"/>
    <w:rsid w:val="27E234BC"/>
    <w:rsid w:val="27EE6A79"/>
    <w:rsid w:val="28020B08"/>
    <w:rsid w:val="2828673B"/>
    <w:rsid w:val="28F31C90"/>
    <w:rsid w:val="291678C1"/>
    <w:rsid w:val="291E0F1A"/>
    <w:rsid w:val="29415831"/>
    <w:rsid w:val="295B01BA"/>
    <w:rsid w:val="29804E7F"/>
    <w:rsid w:val="299A22A0"/>
    <w:rsid w:val="299B130F"/>
    <w:rsid w:val="29A22F02"/>
    <w:rsid w:val="29D357B2"/>
    <w:rsid w:val="29F545C8"/>
    <w:rsid w:val="2A276DFE"/>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956D4E"/>
    <w:rsid w:val="2CA86A82"/>
    <w:rsid w:val="2CB371D5"/>
    <w:rsid w:val="2CBC42DB"/>
    <w:rsid w:val="2CE077B3"/>
    <w:rsid w:val="2D0D5D1F"/>
    <w:rsid w:val="2D12214D"/>
    <w:rsid w:val="2D511BD0"/>
    <w:rsid w:val="2D5E2035"/>
    <w:rsid w:val="2D864873"/>
    <w:rsid w:val="2DA96B06"/>
    <w:rsid w:val="2E051E23"/>
    <w:rsid w:val="2E661E7F"/>
    <w:rsid w:val="2ED008F1"/>
    <w:rsid w:val="2EE1627B"/>
    <w:rsid w:val="2F221578"/>
    <w:rsid w:val="2F3276C7"/>
    <w:rsid w:val="2F656EAC"/>
    <w:rsid w:val="2F875DDB"/>
    <w:rsid w:val="30007685"/>
    <w:rsid w:val="300D4527"/>
    <w:rsid w:val="300F4902"/>
    <w:rsid w:val="303A64D0"/>
    <w:rsid w:val="30427C69"/>
    <w:rsid w:val="30703C56"/>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C412E"/>
    <w:rsid w:val="377E2B92"/>
    <w:rsid w:val="37F44BF3"/>
    <w:rsid w:val="388D1C42"/>
    <w:rsid w:val="38FD49CD"/>
    <w:rsid w:val="39363AEB"/>
    <w:rsid w:val="397330FD"/>
    <w:rsid w:val="39827A59"/>
    <w:rsid w:val="39932267"/>
    <w:rsid w:val="399D4784"/>
    <w:rsid w:val="399F2FBB"/>
    <w:rsid w:val="39A167F2"/>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C87928"/>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2A52BD"/>
    <w:rsid w:val="3E344619"/>
    <w:rsid w:val="3E534E03"/>
    <w:rsid w:val="3E864749"/>
    <w:rsid w:val="3E917C19"/>
    <w:rsid w:val="3EBE2135"/>
    <w:rsid w:val="3ED656D0"/>
    <w:rsid w:val="3F12422F"/>
    <w:rsid w:val="3F1F4BA2"/>
    <w:rsid w:val="3F383632"/>
    <w:rsid w:val="3F44662B"/>
    <w:rsid w:val="3F453306"/>
    <w:rsid w:val="3F740A45"/>
    <w:rsid w:val="3FA2500D"/>
    <w:rsid w:val="3FAF58B0"/>
    <w:rsid w:val="3FC7326B"/>
    <w:rsid w:val="3FFF47B3"/>
    <w:rsid w:val="400E7546"/>
    <w:rsid w:val="40183119"/>
    <w:rsid w:val="4052477A"/>
    <w:rsid w:val="4052753A"/>
    <w:rsid w:val="40B30B18"/>
    <w:rsid w:val="40D35977"/>
    <w:rsid w:val="413E130B"/>
    <w:rsid w:val="41B7665D"/>
    <w:rsid w:val="422514B1"/>
    <w:rsid w:val="426E79CE"/>
    <w:rsid w:val="42DE4B54"/>
    <w:rsid w:val="42FC719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7811670"/>
    <w:rsid w:val="485F6737"/>
    <w:rsid w:val="48967C7F"/>
    <w:rsid w:val="48A27B87"/>
    <w:rsid w:val="48BC3499"/>
    <w:rsid w:val="493F20C4"/>
    <w:rsid w:val="49A3337A"/>
    <w:rsid w:val="49BE0F52"/>
    <w:rsid w:val="4A0A0193"/>
    <w:rsid w:val="4A3D4856"/>
    <w:rsid w:val="4A563B69"/>
    <w:rsid w:val="4A875AD1"/>
    <w:rsid w:val="4A90155E"/>
    <w:rsid w:val="4A9D48C2"/>
    <w:rsid w:val="4ABB15CA"/>
    <w:rsid w:val="4ADB18EB"/>
    <w:rsid w:val="4B0E1D4E"/>
    <w:rsid w:val="4BA776BE"/>
    <w:rsid w:val="4BCC5D64"/>
    <w:rsid w:val="4BD50ABE"/>
    <w:rsid w:val="4BE40D01"/>
    <w:rsid w:val="4C363892"/>
    <w:rsid w:val="4C4023DB"/>
    <w:rsid w:val="4C632900"/>
    <w:rsid w:val="4C787DC7"/>
    <w:rsid w:val="4CA30BBC"/>
    <w:rsid w:val="4CAC7D6D"/>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9A0054"/>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6C7EBC"/>
    <w:rsid w:val="57AE6A30"/>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A57EAC"/>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346434"/>
    <w:rsid w:val="604A0FC0"/>
    <w:rsid w:val="605F3B00"/>
    <w:rsid w:val="6062071A"/>
    <w:rsid w:val="609E54CA"/>
    <w:rsid w:val="60B60A66"/>
    <w:rsid w:val="60FF065F"/>
    <w:rsid w:val="614348BF"/>
    <w:rsid w:val="61E909C7"/>
    <w:rsid w:val="628F77C1"/>
    <w:rsid w:val="629372B1"/>
    <w:rsid w:val="631906FD"/>
    <w:rsid w:val="638D7E1B"/>
    <w:rsid w:val="63A00804"/>
    <w:rsid w:val="63E33020"/>
    <w:rsid w:val="63F313D6"/>
    <w:rsid w:val="641F4B74"/>
    <w:rsid w:val="64300B2F"/>
    <w:rsid w:val="644A7E43"/>
    <w:rsid w:val="644B29EB"/>
    <w:rsid w:val="64C21A65"/>
    <w:rsid w:val="64D2036D"/>
    <w:rsid w:val="6503311C"/>
    <w:rsid w:val="651641C9"/>
    <w:rsid w:val="656D7047"/>
    <w:rsid w:val="65943DCC"/>
    <w:rsid w:val="663A544B"/>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27ACC"/>
    <w:rsid w:val="68B95597"/>
    <w:rsid w:val="69054339"/>
    <w:rsid w:val="6914022D"/>
    <w:rsid w:val="696C260A"/>
    <w:rsid w:val="697919C0"/>
    <w:rsid w:val="699851AD"/>
    <w:rsid w:val="699B2EEF"/>
    <w:rsid w:val="699D6C67"/>
    <w:rsid w:val="69B84EDC"/>
    <w:rsid w:val="6A0339D1"/>
    <w:rsid w:val="6A0E36C1"/>
    <w:rsid w:val="6A1177DD"/>
    <w:rsid w:val="6A2151A2"/>
    <w:rsid w:val="6A5D01A4"/>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274C79"/>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8CE2973"/>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a4515e1d-7458-4e3b-80a6-40224f64344c</errorID>
      <errorWord>重</errorWord>
      <group>L1_Word</group>
      <groupName>字词问题</groupName>
      <ability>L2_Typo</ability>
      <abilityName>字词错误</abilityName>
      <candidateList>
        <item>重和</item>
      </candidateList>
      <explain/>
      <paraID>15517D79</paraID>
      <start>26</start>
      <end>28</end>
      <status>modified</status>
      <modifiedWord>重和</modifiedWord>
      <trackRevisions>false</trackRevisions>
    </reviewItem>
    <reviewItem>
      <errorID>72036342-2b42-479f-b7b8-7770f1efa410</errorID>
      <errorWord>,</errorWord>
      <group>L1_Format</group>
      <groupName>格式问题</groupName>
      <ability>L2_HalfPunc</ability>
      <abilityName>全半角检查</abilityName>
      <candidateList>
        <item>，</item>
      </candidateList>
      <explain>文本全半角错误。</explain>
      <paraID>71DEE9C7</paraID>
      <start>17</start>
      <end>18</end>
      <status>modified</status>
      <modifiedWord>，</modifiedWord>
      <trackRevisions>false</trackRevisions>
    </reviewItem>
    <reviewItem>
      <errorID>b1ae8b34-70c6-4bb1-be91-d1adf5117afa</errorID>
      <errorWord>,</errorWord>
      <group>L1_Format</group>
      <groupName>格式问题</groupName>
      <ability>L2_HalfPunc</ability>
      <abilityName>全半角检查</abilityName>
      <candidateList>
        <item>，</item>
      </candidateList>
      <explain>文本全半角错误。</explain>
      <paraID>71DEE9C7</paraID>
      <start>29</start>
      <end>30</end>
      <status>modified</status>
      <modifiedWord>，</modifiedWord>
      <trackRevisions>false</trackRevisions>
    </reviewItem>
    <reviewItem>
      <errorID>64082e0b-9036-4ad7-94c1-d01c5193836f</errorID>
      <errorWord>,</errorWord>
      <group>L1_Format</group>
      <groupName>格式问题</groupName>
      <ability>L2_HalfPunc</ability>
      <abilityName>全半角检查</abilityName>
      <candidateList>
        <item>，</item>
      </candidateList>
      <explain>文本全半角错误。</explain>
      <paraID>71DEE9C7</paraID>
      <start>47</start>
      <end>48</end>
      <status>modified</status>
      <modifiedWord>，</modifiedWord>
      <trackRevisions>false</trackRevisions>
    </reviewItem>
    <reviewItem>
      <errorID>ecaa2f35-fa0a-433b-9503-1beffb73db72</errorID>
      <errorWord>,</errorWord>
      <group>L1_Format</group>
      <groupName>格式问题</groupName>
      <ability>L2_HalfPunc</ability>
      <abilityName>全半角检查</abilityName>
      <candidateList>
        <item>，</item>
      </candidateList>
      <explain>文本全半角错误。</explain>
      <paraID>71DEE9C7</paraID>
      <start>61</start>
      <end>62</end>
      <status>modified</status>
      <modifiedWord>，</modifiedWord>
      <trackRevisions>false</trackRevisions>
    </reviewItem>
    <reviewItem>
      <errorID>348d7c2c-0056-42e8-9dbc-532717a616b9</errorID>
      <errorWord>,</errorWord>
      <group>L1_Format</group>
      <groupName>格式问题</groupName>
      <ability>L2_HalfPunc</ability>
      <abilityName>全半角检查</abilityName>
      <candidateList>
        <item>，</item>
      </candidateList>
      <explain>文本全半角错误。</explain>
      <paraID>71DEE9C7</paraID>
      <start>82</start>
      <end>83</end>
      <status>modified</status>
      <modifiedWord>，</modifiedWord>
      <trackRevisions>false</trackRevisions>
    </reviewItem>
    <reviewItem>
      <errorID>b17a0cfb-0cf6-47bc-8856-57e2f3b8c88a</errorID>
      <errorWord>,</errorWord>
      <group>L1_Format</group>
      <groupName>格式问题</groupName>
      <ability>L2_HalfPunc</ability>
      <abilityName>全半角检查</abilityName>
      <candidateList>
        <item>，</item>
      </candidateList>
      <explain>文本全半角错误。</explain>
      <paraID>71DEE9C7</paraID>
      <start>104</start>
      <end>105</end>
      <status>modified</status>
      <modifiedWord>，</modifiedWord>
      <trackRevisions>false</trackRevisions>
    </reviewItem>
    <reviewItem>
      <errorID>38e8de2a-195a-4543-b69d-2340f8a2d4c5</errorID>
      <errorWord>,</errorWord>
      <group>L1_Format</group>
      <groupName>格式问题</groupName>
      <ability>L2_HalfPunc</ability>
      <abilityName>全半角检查</abilityName>
      <candidateList>
        <item>，</item>
      </candidateList>
      <explain>文本全半角错误。</explain>
      <paraID>71DEE9C7</paraID>
      <start>124</start>
      <end>125</end>
      <status>modified</status>
      <modifiedWord>，</modifiedWord>
      <trackRevisions>false</trackRevisions>
    </reviewItem>
    <reviewItem>
      <errorID>66dae80b-7ebd-4cca-aabf-3cde949fc2d9</errorID>
      <errorWord>,</errorWord>
      <group>L1_Format</group>
      <groupName>格式问题</groupName>
      <ability>L2_HalfPunc</ability>
      <abilityName>全半角检查</abilityName>
      <candidateList>
        <item>，</item>
      </candidateList>
      <explain>文本全半角错误。</explain>
      <paraID>555AD75D</paraID>
      <start>13</start>
      <end>14</end>
      <status>modified</status>
      <modifiedWord>，</modifiedWord>
      <trackRevisions>false</trackRevisions>
    </reviewItem>
    <reviewItem>
      <errorID>f9b6e521-fc5a-4749-b81f-e356c28df313</errorID>
      <errorWord>:</errorWord>
      <group>L1_Format</group>
      <groupName>格式问题</groupName>
      <ability>L2_HalfPunc</ability>
      <abilityName>全半角检查</abilityName>
      <candidateList>
        <item>：</item>
      </candidateList>
      <explain>文本全半角错误。</explain>
      <paraID>496C44CE</paraID>
      <start>4</start>
      <end>5</end>
      <status>modified</status>
      <modifiedWord>：</modifiedWord>
      <trackRevisions>false</trackRevisions>
    </reviewItem>
    <reviewItem>
      <errorID>22963210-3735-4d93-8012-97fef450d79c</errorID>
      <errorWord>(</errorWord>
      <group>L1_Format</group>
      <groupName>格式问题</groupName>
      <ability>L2_HalfPunc</ability>
      <abilityName>全半角检查</abilityName>
      <candidateList>
        <item>（</item>
      </candidateList>
      <explain>文本全半角错误。</explain>
      <paraID>78E41C54</paraID>
      <start>2</start>
      <end>3</end>
      <status>modified</status>
      <modifiedWord>（</modifiedWord>
      <trackRevisions>false</trackRevisions>
    </reviewItem>
    <reviewItem>
      <errorID>59f2386b-4c08-43dd-950f-82df73597e64</errorID>
      <errorWord>)</errorWord>
      <group>L1_Format</group>
      <groupName>格式问题</groupName>
      <ability>L2_HalfPunc</ability>
      <abilityName>全半角检查</abilityName>
      <candidateList>
        <item>）</item>
      </candidateList>
      <explain>文本全半角错误。</explain>
      <paraID>78E41C54</paraID>
      <start>8</start>
      <end>9</end>
      <status>modified</status>
      <modifiedWord>）</modifiedWord>
      <trackRevisions>false</trackRevisions>
    </reviewItem>
    <reviewItem>
      <errorID>5c75288a-f220-4ee5-a508-0ddccedacd64</errorID>
      <errorWord>:</errorWord>
      <group>L1_Format</group>
      <groupName>格式问题</groupName>
      <ability>L2_HalfPunc</ability>
      <abilityName>全半角检查</abilityName>
      <candidateList>
        <item>：</item>
      </candidateList>
      <explain>文本全半角错误。</explain>
      <paraID>18D24A09</paraID>
      <start>4</start>
      <end>5</end>
      <status>modified</status>
      <modifiedWord>：</modifiedWord>
      <trackRevisions>false</trackRevisions>
    </reviewItem>
    <reviewItem>
      <errorID>67c26aaf-6f29-4f94-8688-636445948fca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4CB70ED6</paraID>
      <start>0</start>
      <end>10</end>
      <status>modified</status>
      <modifiedWord>一般公共预算财政拨款</modifiedWord>
      <trackRevisions>false</trackRevisions>
    </reviewItem>
    <reviewItem>
      <errorID>3f460345-7b17-406a-a7d8-6a3d617cb10a</errorID>
      <errorWord>*</errorWord>
      <group>L1_Punc</group>
      <groupName>标点问题</groupName>
      <ability>L2_Punc</ability>
      <abilityName>标点符号检查</abilityName>
      <candidateList/>
      <explain/>
      <paraID>58884150</paraID>
      <start>0</start>
      <end>1</end>
      <status>unmodified</status>
      <modifiedWord/>
      <trackRevisions>false</trackRevisions>
    </reviewItem>
    <reviewItem>
      <errorID>38b92e57-c49d-4051-b7d5-6bc30448c3cc</errorID>
      <errorWord>:</errorWord>
      <group>L1_Format</group>
      <groupName>格式问题</groupName>
      <ability>L2_HalfPunc</ability>
      <abilityName>全半角检查</abilityName>
      <candidateList>
        <item>：</item>
      </candidateList>
      <explain>文本全半角错误。</explain>
      <paraID>660700E0</paraID>
      <start>4</start>
      <end>5</end>
      <status>modified</status>
      <modifiedWord>：</modifiedWord>
      <trackRevisions>false</trackRevisions>
    </reviewItem>
    <reviewItem>
      <errorID>5ea5fa93-cfe6-48cc-8bc4-fe546d2ab76a</errorID>
      <errorWord>*</errorWord>
      <group>L1_Punc</group>
      <groupName>标点问题</groupName>
      <ability>L2_Punc</ability>
      <abilityName>标点符号检查</abilityName>
      <candidateList/>
      <explain/>
      <paraID>31E313EE</paraID>
      <start>0</start>
      <end>1</end>
      <status>unmodified</status>
      <modifiedWord/>
      <trackRevisions>false</trackRevisions>
    </reviewItem>
    <reviewItem>
      <errorID>c7dce5af-fabe-437a-81db-9126fb26fec1</errorID>
      <errorWord>*</errorWord>
      <group>L1_Punc</group>
      <groupName>标点问题</groupName>
      <ability>L2_Punc</ability>
      <abilityName>标点符号检查</abilityName>
      <candidateList/>
      <explain/>
      <paraID> 1BFA185</paraID>
      <start>0</start>
      <end>1</end>
      <status>unmodified</status>
      <modifiedWord/>
      <trackRevisions>false</trackRevisions>
    </reviewItem>
    <reviewItem>
      <errorID>1908416a-4694-4ca0-a417-525d84a09c40</errorID>
      <errorWord>:</errorWord>
      <group>L1_Format</group>
      <groupName>格式问题</groupName>
      <ability>L2_HalfPunc</ability>
      <abilityName>全半角检查</abilityName>
      <candidateList>
        <item>：</item>
      </candidateList>
      <explain>文本全半角错误。</explain>
      <paraID>24973235</paraID>
      <start>4</start>
      <end>5</end>
      <status>modified</status>
      <modifiedWord>：</modifiedWord>
      <trackRevisions>false</trackRevisions>
    </reviewItem>
    <reviewItem>
      <errorID>a01f386d-cd7f-44f1-8abe-e4cd8a029c3b</errorID>
      <errorWord>(</errorWord>
      <group>L1_Format</group>
      <groupName>格式问题</groupName>
      <ability>L2_HalfPunc</ability>
      <abilityName>全半角检查</abilityName>
      <candidateList>
        <item>（</item>
      </candidateList>
      <explain>文本全半角错误。</explain>
      <paraID> F201D1A</paraID>
      <start>2</start>
      <end>3</end>
      <status>modified</status>
      <modifiedWord>（</modifiedWord>
      <trackRevisions>false</trackRevisions>
    </reviewItem>
    <reviewItem>
      <errorID>69bda2dd-4267-496f-8ee4-852272c5ef27</errorID>
      <errorWord>)</errorWord>
      <group>L1_Format</group>
      <groupName>格式问题</groupName>
      <ability>L2_HalfPunc</ability>
      <abilityName>全半角检查</abilityName>
      <candidateList>
        <item>）</item>
      </candidateList>
      <explain>文本全半角错误。</explain>
      <paraID> F201D1A</paraID>
      <start>8</start>
      <end>9</end>
      <status>modified</status>
      <modifiedWord>）</modifiedWord>
      <trackRevisions>false</trackRevisions>
    </reviewItem>
    <reviewItem>
      <errorID>af8c7470-c248-4875-965d-3a3e6bc6c855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388D5D53</paraID>
      <start>2</start>
      <end>12</end>
      <status>modified</status>
      <modifiedWord>一般公共预算财政拨款</modifiedWord>
      <trackRevisions>false</trackRevisions>
    </reviewItem>
    <reviewItem>
      <errorID>fa91480d-22df-4aee-a8a0-fbce88cdea60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5406E1C4</paraID>
      <start>0</start>
      <end>10</end>
      <status>modified</status>
      <modifiedWord>一般公共预算财政拨款</modifiedWord>
      <trackRevisions>false</trackRevisions>
    </reviewItem>
    <reviewItem>
      <errorID>db348da5-aa3f-449d-9b93-b1f96bb32a68</errorID>
      <errorWord>:</errorWord>
      <group>L1_Format</group>
      <groupName>格式问题</groupName>
      <ability>L2_HalfPunc</ability>
      <abilityName>全半角检查</abilityName>
      <candidateList>
        <item>：</item>
      </candidateList>
      <explain>文本全半角错误。</explain>
      <paraID>66A35BDA</paraID>
      <start>4</start>
      <end>5</end>
      <status>modified</status>
      <modifiedWord>：</modifiedWord>
      <trackRevisions>false</trackRevisions>
    </reviewItem>
    <reviewItem>
      <errorID>9b2c1d07-c712-4fb6-be53-cfedc6343893</errorID>
      <errorWord>*</errorWord>
      <group>L1_Punc</group>
      <groupName>标点问题</groupName>
      <ability>L2_Punc</ability>
      <abilityName>标点符号检查</abilityName>
      <candidateList/>
      <explain/>
      <paraID>320D3B34</paraID>
      <start>0</start>
      <end>1</end>
      <status>unmodified</status>
      <modifiedWord/>
      <trackRevisions>false</trackRevisions>
    </reviewItem>
    <reviewItem>
      <errorID>c3d7c772-4d59-4962-9e03-c85ac3a6323a</errorID>
      <errorWord>*</errorWord>
      <group>L1_Punc</group>
      <groupName>标点问题</groupName>
      <ability>L2_Punc</ability>
      <abilityName>标点符号检查</abilityName>
      <candidateList/>
      <explain/>
      <paraID>7206B2D3</paraID>
      <start>0</start>
      <end>1</end>
      <status>unmodified</status>
      <modifiedWord/>
      <trackRevisions>false</trackRevisions>
    </reviewItem>
    <reviewItem>
      <errorID>9467b0a2-02a0-445f-b97a-b2731b4ae725</errorID>
      <errorWord>:</errorWord>
      <group>L1_Format</group>
      <groupName>格式问题</groupName>
      <ability>L2_HalfPunc</ability>
      <abilityName>全半角检查</abilityName>
      <candidateList>
        <item>：</item>
      </candidateList>
      <explain>文本全半角错误。</explain>
      <paraID>4CF782EF</paraID>
      <start>4</start>
      <end>5</end>
      <status>modified</status>
      <modifiedWord>：</modifiedWord>
      <trackRevisions>false</trackRevisions>
    </reviewItem>
    <reviewItem>
      <errorID>737ce20d-da55-487c-9f7c-034a99d1839c</errorID>
      <errorWord>*</errorWord>
      <group>L1_Punc</group>
      <groupName>标点问题</groupName>
      <ability>L2_Punc</ability>
      <abilityName>标点符号检查</abilityName>
      <candidateList/>
      <explain/>
      <paraID> 8722E08</paraID>
      <start>0</start>
      <end>1</end>
      <status>unmodified</status>
      <modifiedWord/>
      <trackRevisions>false</trackRevisions>
    </reviewItem>
    <reviewItem>
      <errorID>dc34f035-d6c1-4a98-acfc-29d799fdf9a5</errorID>
      <errorWord>*</errorWord>
      <group>L1_Punc</group>
      <groupName>标点问题</groupName>
      <ability>L2_Punc</ability>
      <abilityName>标点符号检查</abilityName>
      <candidateList/>
      <explain/>
      <paraID>1D69FA78</paraID>
      <start>0</start>
      <end>1</end>
      <status>unmodified</status>
      <modifiedWord/>
      <trackRevisions>false</trackRevisions>
    </reviewItem>
    <reviewItem>
      <errorID>9c60b0a1-52ce-4f2d-9a93-941200265031</errorID>
      <errorWord>:</errorWord>
      <group>L1_Format</group>
      <groupName>格式问题</groupName>
      <ability>L2_HalfPunc</ability>
      <abilityName>全半角检查</abilityName>
      <candidateList>
        <item>：</item>
      </candidateList>
      <explain>文本全半角错误。</explain>
      <paraID>3C107A70</paraID>
      <start>4</start>
      <end>5</end>
      <status>modified</status>
      <modifiedWord>：</modifiedWord>
      <trackRevisions>false</trackRevisions>
    </reviewItem>
    <reviewItem>
      <errorID>89981496-63ae-4b7c-9004-fdc0022bc326</errorID>
      <errorWord>(</errorWord>
      <group>L1_Format</group>
      <groupName>格式问题</groupName>
      <ability>L2_HalfPunc</ability>
      <abilityName>全半角检查</abilityName>
      <candidateList>
        <item>（</item>
      </candidateList>
      <explain>文本全半角错误。</explain>
      <paraID>6B49A3A3</paraID>
      <start>4</start>
      <end>5</end>
      <status>modified</status>
      <modifiedWord>（</modifiedWord>
      <trackRevisions>false</trackRevisions>
    </reviewItem>
    <reviewItem>
      <errorID>7b19ca80-3287-44a1-b16a-e472e6d707a3</errorID>
      <errorWord>)</errorWord>
      <group>L1_Format</group>
      <groupName>格式问题</groupName>
      <ability>L2_HalfPunc</ability>
      <abilityName>全半角检查</abilityName>
      <candidateList>
        <item>）</item>
      </candidateList>
      <explain>文本全半角错误。</explain>
      <paraID>6B49A3A3</paraID>
      <start>6</start>
      <end>7</end>
      <status>modified</status>
      <modifiedWord>）</modifiedWord>
      <trackRevisions>false</trackRevisions>
    </reviewItem>
    <reviewItem>
      <errorID>d8fc8ae2-29e3-45ac-9823-1d0f3eca1f03</errorID>
      <errorWord>:</errorWord>
      <group>L1_Format</group>
      <groupName>格式问题</groupName>
      <ability>L2_HalfPunc</ability>
      <abilityName>全半角检查</abilityName>
      <candidateList>
        <item>：</item>
      </candidateList>
      <explain>文本全半角错误。</explain>
      <paraID>3ED91E01</paraID>
      <start>4</start>
      <end>5</end>
      <status>modified</status>
      <modifiedWord>：</modifiedWord>
      <trackRevisions>false</trackRevisions>
    </reviewItem>
    <reviewItem>
      <errorID>b32b3d6a-8504-45cb-85f3-22afc12f75d9</errorID>
      <errorWord>*</errorWord>
      <group>L1_Punc</group>
      <groupName>标点问题</groupName>
      <ability>L2_Punc</ability>
      <abilityName>标点符号检查</abilityName>
      <candidateList/>
      <explain/>
      <paraID>613573DB</paraID>
      <start>0</start>
      <end>1</end>
      <status>unmodified</status>
      <modifiedWord/>
      <trackRevisions>false</trackRevisions>
    </reviewItem>
    <reviewItem>
      <errorID>f55be96a-9177-4471-b42e-b7bc25f1a2cf</errorID>
      <errorWord>*</errorWord>
      <group>L1_Punc</group>
      <groupName>标点问题</groupName>
      <ability>L2_Punc</ability>
      <abilityName>标点符号检查</abilityName>
      <candidateList/>
      <explain/>
      <paraID>4C953D65</paraID>
      <start>0</start>
      <end>1</end>
      <status>unmodified</status>
      <modifiedWord/>
      <trackRevisions>false</trackRevisions>
    </reviewItem>
    <reviewItem>
      <errorID>7981ba6b-f869-486f-b872-19506b0e364a</errorID>
      <errorWord>:</errorWord>
      <group>L1_Format</group>
      <groupName>格式问题</groupName>
      <ability>L2_HalfPunc</ability>
      <abilityName>全半角检查</abilityName>
      <candidateList>
        <item>：</item>
      </candidateList>
      <explain>文本全半角错误。</explain>
      <paraID>33027F8A</paraID>
      <start>4</start>
      <end>5</end>
      <status>modified</status>
      <modifiedWord>：</modifiedWord>
      <trackRevisions>false</trackRevisions>
    </reviewItem>
    <reviewItem>
      <errorID>d243f757-8600-4c11-9a11-8cba32de0ec6</errorID>
      <errorWord>*</errorWord>
      <group>L1_Punc</group>
      <groupName>标点问题</groupName>
      <ability>L2_Punc</ability>
      <abilityName>标点符号检查</abilityName>
      <candidateList/>
      <explain/>
      <paraID> C0A5DFF</paraID>
      <start>0</start>
      <end>1</end>
      <status>unmodified</status>
      <modifiedWord/>
      <trackRevisions>false</trackRevisions>
    </reviewItem>
    <reviewItem>
      <errorID>b17ee28a-3d4a-415c-9019-9330ec6c33bc</errorID>
      <errorWord>*</errorWord>
      <group>L1_Punc</group>
      <groupName>标点问题</groupName>
      <ability>L2_Punc</ability>
      <abilityName>标点符号检查</abilityName>
      <candidateList/>
      <explain/>
      <paraID> 4A19C27</paraID>
      <start>0</start>
      <end>1</end>
      <status>unmodified</status>
      <modifiedWord/>
      <trackRevisions>false</trackRevisions>
    </reviewItem>
    <reviewItem>
      <errorID>e4f639cf-3438-4860-964f-f8f86484a8ef</errorID>
      <errorWord>-</errorWord>
      <group>L1_Format</group>
      <groupName>格式问题</groupName>
      <ability>L2_HalfPunc</ability>
      <abilityName>全半角检查</abilityName>
      <candidateList>
        <item>－</item>
      </candidateList>
      <explain>文本全半角错误。</explain>
      <paraID>7E775AD4</paraID>
      <start>3</start>
      <end>4</end>
      <status>modified</status>
      <modifiedWord>－</modifiedWord>
      <trackRevisions>false</trackRevisions>
    </reviewItem>
    <reviewItem>
      <errorID>eb03901d-2c57-4d20-a080-063d8f0d63c1</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6EBB6457</paraID>
      <start>1</start>
      <end>4</end>
      <status>modified</status>
      <modifiedWord>（一）</modifiedWord>
      <trackRevisions>false</trackRevisions>
    </reviewItem>
    <reviewItem>
      <errorID>32c254d4-71b4-4ae9-8364-b9ecd446461c</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369FE14C</paraID>
      <start>1</start>
      <end>4</end>
      <status>modified</status>
      <modifiedWord>（二）</modifiedWord>
      <trackRevisions>false</trackRevisions>
    </reviewItem>
    <reviewItem>
      <errorID>cdbecd89-f5ae-43d0-971a-8e926fac5202</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3C4C0377</paraID>
      <start>1</start>
      <end>4</end>
      <status>modified</status>
      <modifiedWord>（三）</modifiedWord>
      <trackRevisions>false</trackRevisions>
    </reviewItem>
    <reviewItem>
      <errorID>134c93bb-fad3-4721-a8b1-9344bfe0eb97</errorID>
      <errorWord>,</errorWord>
      <group>L1_Format</group>
      <groupName>格式问题</groupName>
      <ability>L2_HalfPunc</ability>
      <abilityName>全半角检查</abilityName>
      <candidateList>
        <item>，</item>
      </candidateList>
      <explain>文本全半角错误。</explain>
      <paraID>36723E10</paraID>
      <start>31</start>
      <end>32</end>
      <status>modified</status>
      <modifiedWord>，</modifiedWord>
      <trackRevisions>false</trackRevisions>
    </reviewItem>
    <reviewItem>
      <errorID>8a9eb99b-c7ff-4301-94b9-9d04087ca1be</errorID>
      <errorWord>,</errorWord>
      <group>L1_Format</group>
      <groupName>格式问题</groupName>
      <ability>L2_HalfPunc</ability>
      <abilityName>全半角检查</abilityName>
      <candidateList>
        <item>，</item>
      </candidateList>
      <explain>文本全半角错误。</explain>
      <paraID>1E9F3A65</paraID>
      <start>22</start>
      <end>23</end>
      <status>modified</status>
      <modifiedWord>，</modifiedWord>
      <trackRevisions>false</trackRevisions>
    </reviewItem>
    <reviewItem>
      <errorID>396e9880-b05f-4878-bba0-3830cc50d88e</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B58F3BB</paraID>
      <start>0</start>
      <end>3</end>
      <status>modified</status>
      <modifiedWord>（四）</modifiedWord>
      <trackRevisions>false</trackRevisions>
    </reviewItem>
    <reviewItem>
      <errorID>2f41d0b0-f9ca-4053-94b4-98b008068389</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7E541549</paraID>
      <start>0</start>
      <end>3</end>
      <status>modified</status>
      <modifiedWord>（五）</modifiedWord>
      <trackRevisions>false</trackRevisions>
    </reviewItem>
    <reviewItem>
      <errorID>5d00acad-f8a6-47ee-8462-ea1da736eea6</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A8E700C</paraID>
      <start>0</start>
      <end>3</end>
      <status>modified</status>
      <modifiedWord>（六）</modifiedWord>
      <trackRevisions>false</trackRevisions>
    </reviewItem>
    <reviewItem>
      <errorID>96483795-c536-4a42-a644-03d9ce85f524</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60602FA0</paraID>
      <start>0</start>
      <end>3</end>
      <status>modified</status>
      <modifiedWord>（七）</modifiedWord>
      <trackRevisions>false</trackRevisions>
    </reviewItem>
    <reviewItem>
      <errorID>7f03a031-f34a-4202-b292-381534c653ed</errorID>
      <errorWord>,</errorWord>
      <group>L1_Format</group>
      <groupName>格式问题</groupName>
      <ability>L2_HalfPunc</ability>
      <abilityName>全半角检查</abilityName>
      <candidateList>
        <item>，</item>
      </candidateList>
      <explain>文本全半角错误。</explain>
      <paraID>43E81C28</paraID>
      <start>17</start>
      <end>18</end>
      <status>modified</status>
      <modifiedWord>，</modifiedWord>
      <trackRevisions>false</trackRevisions>
    </reviewItem>
    <reviewItem>
      <errorID>43fb2456-954f-499b-8989-69b8076bb9a8</errorID>
      <errorWord>:</errorWord>
      <group>L1_Format</group>
      <groupName>格式问题</groupName>
      <ability>L2_HalfPunc</ability>
      <abilityName>全半角检查</abilityName>
      <candidateList>
        <item>：</item>
      </candidateList>
      <explain>文本全半角错误。</explain>
      <paraID>43E81C28</paraID>
      <start>20</start>
      <end>21</end>
      <status>modified</status>
      <modifiedWord>：</modifiedWord>
      <trackRevisions>false</trackRevisions>
    </reviewItem>
    <reviewItem>
      <errorID>bfd93c82-1eb2-4c75-9978-ede49d73dc22</errorID>
      <errorWord>,</errorWord>
      <group>L1_Format</group>
      <groupName>格式问题</groupName>
      <ability>L2_HalfPunc</ability>
      <abilityName>全半角检查</abilityName>
      <candidateList>
        <item>，</item>
      </candidateList>
      <explain>文本全半角错误。</explain>
      <paraID>43E81C28</paraID>
      <start>37</start>
      <end>38</end>
      <status>modified</status>
      <modifiedWord>，</modifiedWord>
      <trackRevisions>false</trackRevisions>
    </reviewItem>
    <reviewItem>
      <errorID>28dce944-c668-4a2e-982e-031e5a4a40d8</errorID>
      <errorWord>,</errorWord>
      <group>L1_Format</group>
      <groupName>格式问题</groupName>
      <ability>L2_HalfPunc</ability>
      <abilityName>全半角检查</abilityName>
      <candidateList>
        <item>，</item>
      </candidateList>
      <explain>文本全半角错误。</explain>
      <paraID>43E81C28</paraID>
      <start>52</start>
      <end>53</end>
      <status>modified</status>
      <modifiedWord>，</modifiedWord>
      <trackRevisions>false</trackRevisions>
    </reviewItem>
    <reviewItem>
      <errorID>9d447904-8dd0-4e47-84f2-2c9755c0e611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7E48A1DA</paraID>
      <start>0</start>
      <end>3</end>
      <status>modified</status>
      <modifiedWord>（八）</modifiedWord>
      <trackRevisions>false</trackRevisions>
    </reviewItem>
    <reviewItem>
      <errorID>3de6a3de-3adc-43d6-9da9-4805ccb032ba</errorID>
      <errorWord>,</errorWord>
      <group>L1_Format</group>
      <groupName>格式问题</groupName>
      <ability>L2_HalfPunc</ability>
      <abilityName>全半角检查</abilityName>
      <candidateList>
        <item>，</item>
      </candidateList>
      <explain>文本全半角错误。</explain>
      <paraID>63FFF94B</paraID>
      <start>12</start>
      <end>13</end>
      <status>modified</status>
      <modifiedWord>，</modifiedWord>
      <trackRevisions>false</trackRevisions>
    </reviewItem>
    <reviewItem>
      <errorID>d8e7d757-c478-458d-ba1b-1454cadbd1f7</errorID>
      <errorWord>,</errorWord>
      <group>L1_Format</group>
      <groupName>格式问题</groupName>
      <ability>L2_HalfPunc</ability>
      <abilityName>全半角检查</abilityName>
      <candidateList>
        <item>，</item>
      </candidateList>
      <explain>文本全半角错误。</explain>
      <paraID>63FFF94B</paraID>
      <start>21</start>
      <end>22</end>
      <status>modified</status>
      <modifiedWord>，</modifiedWord>
      <trackRevisions>false</trackRevisions>
    </reviewItem>
    <reviewItem>
      <errorID>dfa3a802-4f5f-4f0a-8758-79d9528bcb5b</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30E59839</paraID>
      <start>0</start>
      <end>3</end>
      <status>modified</status>
      <modifiedWord>（九）</modifiedWord>
      <trackRevisions>false</trackRevisions>
    </reviewItem>
    <reviewItem>
      <errorID>64335055-43e7-4d80-a3d4-6423ac9b7da7</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3696D8C0</paraID>
      <start>17</start>
      <end>23</end>
      <status>modified</status>
      <modifiedWord>“三公”经费</modifiedWord>
      <trackRevisions>false</trackRevisions>
    </reviewItem>
    <reviewItem>
      <errorID>513fdb8a-8f7a-4b4f-a9b0-47d012aec458</errorID>
      <errorWord>,</errorWord>
      <group>L1_Format</group>
      <groupName>格式问题</groupName>
      <ability>L2_HalfPunc</ability>
      <abilityName>全半角检查</abilityName>
      <candidateList>
        <item>，</item>
      </candidateList>
      <explain>文本全半角错误。</explain>
      <paraID>42884444</paraID>
      <start>10</start>
      <end>11</end>
      <status>modified</status>
      <modifiedWord>，</modifiedWord>
      <trackRevisions>false</trackRevisions>
    </reviewItem>
    <reviewItem>
      <errorID>706566be-e8b5-4aff-989d-2963283924d4</errorID>
      <errorWord>增</errorWord>
      <group>L1_Word</group>
      <groupName>字词问题</groupName>
      <ability>L2_Typo</ability>
      <abilityName>字词错误</abilityName>
      <candidateList>
        <item>增加</item>
      </candidateList>
      <explain>〈动〉在原有的基础上加多：～品种｜～抵抗力｜在校学生已由八百～到一千。</explain>
      <paraID>42884444</paraID>
      <start>14</start>
      <end>16</end>
      <status>modified</status>
      <modifiedWord>增加</modifiedWord>
      <trackRevisions>false</trackRevisions>
    </reviewItem>
    <reviewItem>
      <errorID>7fc058d2-c762-4b4f-93ad-e3b7b0a2897b</errorID>
      <errorWord>,</errorWord>
      <group>L1_Format</group>
      <groupName>格式问题</groupName>
      <ability>L2_HalfPunc</ability>
      <abilityName>全半角检查</abilityName>
      <candidateList>
        <item>，</item>
      </candidateList>
      <explain>文本全半角错误。</explain>
      <paraID>78BBD650</paraID>
      <start>10</start>
      <end>11</end>
      <status>modified</status>
      <modifiedWord>，</modifiedWord>
      <trackRevisions>false</trackRevisions>
    </reviewItem>
    <reviewItem>
      <errorID>5cbba329-83a3-446a-bf4f-fd1edb8af386</errorID>
      <errorWord>增</errorWord>
      <group>L1_Word</group>
      <groupName>字词问题</groupName>
      <ability>L2_Typo</ability>
      <abilityName>字词错误</abilityName>
      <candidateList>
        <item>增加</item>
      </candidateList>
      <explain>〈动〉在原有的基础上加多：～品种｜～抵抗力｜在校学生已由八百～到一千。</explain>
      <paraID>78BBD650</paraID>
      <start>14</start>
      <end>16</end>
      <status>modified</status>
      <modifiedWord>增加</modifiedWord>
      <trackRevisions>false</trackRevisions>
    </reviewItem>
    <reviewItem>
      <errorID>6f27e5c1-183d-4b5c-8119-4c5d6234f69c</errorID>
      <errorWord>,</errorWord>
      <group>L1_Format</group>
      <groupName>格式问题</groupName>
      <ability>L2_HalfPunc</ability>
      <abilityName>全半角检查</abilityName>
      <candidateList>
        <item>，</item>
      </candidateList>
      <explain>文本全半角错误。</explain>
      <paraID>26703E33</paraID>
      <start>12</start>
      <end>13</end>
      <status>modified</status>
      <modifiedWord>，</modifiedWord>
      <trackRevisions>false</trackRevisions>
    </reviewItem>
    <reviewItem>
      <errorID>810ec4cb-c1a1-4aff-9f8f-0afcdecf188c</errorID>
      <errorWord>增</errorWord>
      <group>L1_Word</group>
      <groupName>字词问题</groupName>
      <ability>L2_Typo</ability>
      <abilityName>字词错误</abilityName>
      <candidateList>
        <item>增加</item>
      </candidateList>
      <explain>〈动〉在原有的基础上加多：～品种｜～抵抗力｜在校学生已由八百～到一千。</explain>
      <paraID>26703E33</paraID>
      <start>16</start>
      <end>18</end>
      <status>modified</status>
      <modifiedWord>增加</modifiedWord>
      <trackRevisions>false</trackRevisions>
    </reviewItem>
    <reviewItem>
      <errorID>3e85f663-318e-42a3-bf7d-6b97b17c25d9</errorID>
      <errorWord>,</errorWord>
      <group>L1_Format</group>
      <groupName>格式问题</groupName>
      <ability>L2_HalfPunc</ability>
      <abilityName>全半角检查</abilityName>
      <candidateList>
        <item>，</item>
      </candidateList>
      <explain>文本全半角错误。</explain>
      <paraID>1498FC2D</paraID>
      <start>12</start>
      <end>13</end>
      <status>modified</status>
      <modifiedWord>，</modifiedWord>
      <trackRevisions>false</trackRevisions>
    </reviewItem>
    <reviewItem>
      <errorID>9c191441-f360-4edf-9db3-8fc1f6efcd0c</errorID>
      <errorWord>增</errorWord>
      <group>L1_Word</group>
      <groupName>字词问题</groupName>
      <ability>L2_Typo</ability>
      <abilityName>字词错误</abilityName>
      <candidateList>
        <item>增加</item>
      </candidateList>
      <explain>〈动〉在原有的基础上加多：～品种｜～抵抗力｜在校学生已由八百～到一千。</explain>
      <paraID>1498FC2D</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a5084f86-660f-4ac3-9f37-9512d7746c62}">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5088</Words>
  <Characters>6385</Characters>
  <Lines>47</Lines>
  <Paragraphs>13</Paragraphs>
  <TotalTime>11</TotalTime>
  <ScaleCrop>false</ScaleCrop>
  <LinksUpToDate>false</LinksUpToDate>
  <CharactersWithSpaces>6477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2026-03-13T09:11:25Z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