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66BB11C">
      <w:pPr>
        <w:pStyle w:val="17"/>
        <w:bidi w:val="0"/>
        <w:rPr>
          <w:rFonts w:hint="eastAsia"/>
        </w:rPr>
      </w:pPr>
      <w:r>
        <w:rPr>
          <w:rFonts w:hint="eastAsia"/>
          <w:lang w:eastAsia="zh-CN"/>
        </w:rPr>
        <w:t>兴国县思源实验小学2026</w:t>
      </w:r>
      <w:r>
        <w:rPr>
          <w:rFonts w:hint="eastAsia"/>
        </w:rPr>
        <w:t>年</w:t>
      </w:r>
      <w:r>
        <w:rPr>
          <w:rFonts w:hint="eastAsia"/>
          <w:lang w:val="en-US" w:eastAsia="zh-CN"/>
        </w:rPr>
        <w:t>单位</w:t>
      </w:r>
      <w:r>
        <w:rPr>
          <w:rFonts w:hint="eastAsia"/>
        </w:rPr>
        <w:t>预算</w:t>
      </w:r>
    </w:p>
    <w:p w14:paraId="6696486C">
      <w:pPr>
        <w:pStyle w:val="14"/>
        <w:spacing w:line="600" w:lineRule="atLeast"/>
        <w:jc w:val="center"/>
        <w:rPr>
          <w:rFonts w:ascii="黑体" w:hAnsi="黑体" w:eastAsia="黑体"/>
          <w:color w:val="000000"/>
          <w:sz w:val="32"/>
          <w:szCs w:val="32"/>
        </w:rPr>
      </w:pPr>
    </w:p>
    <w:p w14:paraId="632C113F">
      <w:pPr>
        <w:pStyle w:val="14"/>
        <w:spacing w:line="600" w:lineRule="atLeast"/>
        <w:jc w:val="center"/>
        <w:rPr>
          <w:rFonts w:ascii="黑体" w:hAnsi="黑体" w:eastAsia="黑体"/>
          <w:color w:val="000000"/>
          <w:sz w:val="32"/>
          <w:szCs w:val="32"/>
        </w:rPr>
      </w:pPr>
      <w:r>
        <w:rPr>
          <w:rFonts w:hint="eastAsia" w:ascii="黑体" w:hAnsi="黑体" w:eastAsia="黑体"/>
          <w:color w:val="000000"/>
          <w:sz w:val="32"/>
          <w:szCs w:val="32"/>
        </w:rPr>
        <w:t>目    录</w:t>
      </w:r>
    </w:p>
    <w:p w14:paraId="2197CE20">
      <w:pPr>
        <w:pStyle w:val="14"/>
        <w:rPr>
          <w:rFonts w:ascii="宋体" w:hAnsi="宋体"/>
          <w:color w:val="000000"/>
        </w:rPr>
      </w:pPr>
    </w:p>
    <w:p w14:paraId="12BC4720">
      <w:pPr>
        <w:pStyle w:val="18"/>
        <w:numPr>
          <w:ilvl w:val="0"/>
          <w:numId w:val="0"/>
        </w:numPr>
        <w:bidi w:val="0"/>
        <w:ind w:left="420" w:leftChars="200"/>
        <w:jc w:val="left"/>
        <w:rPr>
          <w:rFonts w:hint="eastAsia"/>
          <w:lang w:eastAsia="zh-CN"/>
        </w:rPr>
      </w:pPr>
      <w:r>
        <w:rPr>
          <w:rFonts w:hint="eastAsia"/>
          <w:lang w:val="en-US" w:eastAsia="zh-CN"/>
        </w:rPr>
        <w:t>第一部分  兴国县思源实验小学概况</w:t>
      </w:r>
    </w:p>
    <w:p w14:paraId="6682E647">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cs="仿宋_GB2312"/>
          <w:lang w:val="en-US" w:eastAsia="zh-CN"/>
        </w:rPr>
        <w:t>单位</w:t>
      </w:r>
      <w:r>
        <w:rPr>
          <w:rFonts w:hint="eastAsia" w:ascii="仿宋_GB2312" w:hAnsi="仿宋_GB2312" w:eastAsia="仿宋_GB2312" w:cs="仿宋_GB2312"/>
        </w:rPr>
        <w:t>主要职责</w:t>
      </w:r>
    </w:p>
    <w:p w14:paraId="0080249A">
      <w:pPr>
        <w:pStyle w:val="19"/>
        <w:bidi w:val="0"/>
        <w:rPr>
          <w:rFonts w:hint="eastAsia" w:ascii="仿宋_GB2312" w:hAnsi="仿宋_GB2312" w:eastAsia="仿宋_GB2312" w:cs="仿宋_GB2312"/>
        </w:rPr>
      </w:pPr>
      <w:r>
        <w:rPr>
          <w:rFonts w:hint="eastAsia" w:ascii="仿宋_GB2312" w:hAnsi="仿宋_GB2312" w:eastAsia="仿宋_GB2312" w:cs="仿宋_GB2312"/>
        </w:rPr>
        <w:t>二、机构设置及人员情况</w:t>
      </w:r>
    </w:p>
    <w:p w14:paraId="3BBDA874">
      <w:pPr>
        <w:pStyle w:val="19"/>
        <w:bidi w:val="0"/>
        <w:rPr>
          <w:rFonts w:hint="eastAsia" w:ascii="仿宋_GB2312" w:hAnsi="仿宋_GB2312" w:eastAsia="仿宋_GB2312" w:cs="仿宋_GB2312"/>
        </w:rPr>
      </w:pPr>
    </w:p>
    <w:p w14:paraId="650B6C24">
      <w:pPr>
        <w:pStyle w:val="18"/>
        <w:numPr>
          <w:ilvl w:val="0"/>
          <w:numId w:val="0"/>
        </w:numPr>
        <w:bidi w:val="0"/>
        <w:ind w:left="420" w:leftChars="200"/>
        <w:jc w:val="left"/>
        <w:rPr>
          <w:rFonts w:hint="eastAsia"/>
        </w:rPr>
      </w:pPr>
      <w:r>
        <w:rPr>
          <w:rFonts w:hint="eastAsia"/>
        </w:rPr>
        <w:t xml:space="preserve">第二部分  </w:t>
      </w:r>
      <w:r>
        <w:rPr>
          <w:rFonts w:hint="eastAsia"/>
          <w:lang w:eastAsia="zh-CN"/>
        </w:rPr>
        <w:t>兴国县思源实验小学2026</w:t>
      </w:r>
      <w:r>
        <w:rPr>
          <w:rFonts w:hint="eastAsia"/>
        </w:rPr>
        <w:t>年</w:t>
      </w:r>
      <w:r>
        <w:rPr>
          <w:rFonts w:hint="eastAsia"/>
          <w:lang w:val="en-US" w:eastAsia="zh-CN"/>
        </w:rPr>
        <w:t>单位</w:t>
      </w:r>
      <w:r>
        <w:rPr>
          <w:rFonts w:hint="eastAsia"/>
        </w:rPr>
        <w:t>预算表</w:t>
      </w:r>
    </w:p>
    <w:p w14:paraId="552B1B1C">
      <w:pPr>
        <w:pStyle w:val="19"/>
        <w:bidi w:val="0"/>
        <w:rPr>
          <w:rFonts w:hint="eastAsia" w:ascii="仿宋_GB2312" w:hAnsi="仿宋_GB2312" w:eastAsia="仿宋_GB2312" w:cs="仿宋_GB2312"/>
        </w:rPr>
      </w:pPr>
      <w:r>
        <w:rPr>
          <w:rFonts w:hint="eastAsia" w:ascii="仿宋_GB2312" w:hAnsi="仿宋_GB2312" w:eastAsia="仿宋_GB2312" w:cs="仿宋_GB2312"/>
        </w:rPr>
        <w:t>一、《收支预算总表》</w:t>
      </w:r>
    </w:p>
    <w:p w14:paraId="1016851C">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cs="仿宋_GB2312"/>
          <w:lang w:val="en-US" w:eastAsia="zh-CN"/>
        </w:rPr>
        <w:t>单位</w:t>
      </w:r>
      <w:r>
        <w:rPr>
          <w:rFonts w:hint="eastAsia" w:ascii="仿宋_GB2312" w:hAnsi="仿宋_GB2312" w:eastAsia="仿宋_GB2312" w:cs="仿宋_GB2312"/>
        </w:rPr>
        <w:t>收入总表》</w:t>
      </w:r>
    </w:p>
    <w:p w14:paraId="4FDF01E7">
      <w:pPr>
        <w:pStyle w:val="19"/>
        <w:bidi w:val="0"/>
        <w:rPr>
          <w:rFonts w:hint="eastAsia" w:ascii="仿宋_GB2312" w:hAnsi="仿宋_GB2312" w:eastAsia="仿宋_GB2312" w:cs="仿宋_GB2312"/>
        </w:rPr>
      </w:pPr>
      <w:r>
        <w:rPr>
          <w:rFonts w:hint="eastAsia" w:ascii="仿宋_GB2312" w:hAnsi="仿宋_GB2312" w:eastAsia="仿宋_GB2312" w:cs="仿宋_GB2312"/>
        </w:rPr>
        <w:t>三、《</w:t>
      </w:r>
      <w:r>
        <w:rPr>
          <w:rFonts w:hint="eastAsia" w:cs="仿宋_GB2312"/>
          <w:lang w:val="en-US" w:eastAsia="zh-CN"/>
        </w:rPr>
        <w:t>单位</w:t>
      </w:r>
      <w:r>
        <w:rPr>
          <w:rFonts w:hint="eastAsia" w:ascii="仿宋_GB2312" w:hAnsi="仿宋_GB2312" w:eastAsia="仿宋_GB2312" w:cs="仿宋_GB2312"/>
        </w:rPr>
        <w:t>支出总表》</w:t>
      </w:r>
    </w:p>
    <w:p w14:paraId="451855BC">
      <w:pPr>
        <w:pStyle w:val="19"/>
        <w:bidi w:val="0"/>
        <w:rPr>
          <w:rFonts w:hint="eastAsia" w:ascii="仿宋_GB2312" w:hAnsi="仿宋_GB2312" w:eastAsia="仿宋_GB2312" w:cs="仿宋_GB2312"/>
        </w:rPr>
      </w:pPr>
      <w:r>
        <w:rPr>
          <w:rFonts w:hint="eastAsia" w:ascii="仿宋_GB2312" w:hAnsi="仿宋_GB2312" w:eastAsia="仿宋_GB2312" w:cs="仿宋_GB2312"/>
        </w:rPr>
        <w:t>四、《财政拨款收支总表》</w:t>
      </w:r>
    </w:p>
    <w:p w14:paraId="05D9313D">
      <w:pPr>
        <w:pStyle w:val="19"/>
        <w:bidi w:val="0"/>
        <w:rPr>
          <w:rFonts w:hint="eastAsia" w:ascii="仿宋_GB2312" w:hAnsi="仿宋_GB2312" w:eastAsia="仿宋_GB2312" w:cs="仿宋_GB2312"/>
        </w:rPr>
      </w:pPr>
      <w:r>
        <w:rPr>
          <w:rFonts w:hint="eastAsia" w:ascii="仿宋_GB2312" w:hAnsi="仿宋_GB2312" w:eastAsia="仿宋_GB2312" w:cs="仿宋_GB2312"/>
        </w:rPr>
        <w:t>五、《一般公共预算支出表》</w:t>
      </w:r>
    </w:p>
    <w:p w14:paraId="379103D9">
      <w:pPr>
        <w:pStyle w:val="19"/>
        <w:bidi w:val="0"/>
        <w:rPr>
          <w:rFonts w:hint="eastAsia" w:ascii="仿宋_GB2312" w:hAnsi="仿宋_GB2312" w:eastAsia="仿宋_GB2312" w:cs="仿宋_GB2312"/>
        </w:rPr>
      </w:pPr>
      <w:r>
        <w:rPr>
          <w:rFonts w:hint="eastAsia" w:ascii="仿宋_GB2312" w:hAnsi="仿宋_GB2312" w:eastAsia="仿宋_GB2312" w:cs="仿宋_GB2312"/>
        </w:rPr>
        <w:t>六、《一般公共预算基本支出表》</w:t>
      </w:r>
    </w:p>
    <w:p w14:paraId="393F0D8C">
      <w:pPr>
        <w:pStyle w:val="19"/>
        <w:bidi w:val="0"/>
        <w:rPr>
          <w:rFonts w:hint="eastAsia" w:ascii="仿宋_GB2312" w:hAnsi="仿宋_GB2312" w:eastAsia="仿宋_GB2312" w:cs="仿宋_GB2312"/>
        </w:rPr>
      </w:pPr>
      <w:r>
        <w:rPr>
          <w:rFonts w:hint="eastAsia" w:ascii="仿宋_GB2312" w:hAnsi="仿宋_GB2312" w:eastAsia="仿宋_GB2312" w:cs="仿宋_GB2312"/>
        </w:rPr>
        <w:t>七、《财政拨款“三公”经费支出表》</w:t>
      </w:r>
    </w:p>
    <w:p w14:paraId="3333CB2C">
      <w:pPr>
        <w:pStyle w:val="19"/>
        <w:bidi w:val="0"/>
        <w:rPr>
          <w:rFonts w:hint="eastAsia" w:ascii="仿宋_GB2312" w:hAnsi="仿宋_GB2312" w:eastAsia="仿宋_GB2312" w:cs="仿宋_GB2312"/>
        </w:rPr>
      </w:pPr>
      <w:r>
        <w:rPr>
          <w:rFonts w:hint="eastAsia" w:ascii="仿宋_GB2312" w:hAnsi="仿宋_GB2312" w:eastAsia="仿宋_GB2312" w:cs="仿宋_GB2312"/>
        </w:rPr>
        <w:t>八、《政府性基金预算支出表》</w:t>
      </w:r>
    </w:p>
    <w:p w14:paraId="0F2B5D1A">
      <w:pPr>
        <w:pStyle w:val="19"/>
        <w:bidi w:val="0"/>
        <w:rPr>
          <w:rFonts w:hint="eastAsia" w:ascii="仿宋_GB2312" w:hAnsi="仿宋_GB2312" w:eastAsia="仿宋_GB2312" w:cs="仿宋_GB2312"/>
        </w:rPr>
      </w:pPr>
      <w:r>
        <w:rPr>
          <w:rFonts w:hint="eastAsia" w:ascii="仿宋_GB2312" w:hAnsi="仿宋_GB2312" w:eastAsia="仿宋_GB2312" w:cs="仿宋_GB2312"/>
        </w:rPr>
        <w:t>九、《国有资本经营预算支出表》</w:t>
      </w:r>
      <w:r>
        <w:rPr>
          <w:rFonts w:hint="eastAsia" w:ascii="仿宋_GB2312" w:hAnsi="仿宋_GB2312" w:eastAsia="仿宋_GB2312" w:cs="仿宋_GB2312"/>
        </w:rPr>
        <w:tab/>
      </w:r>
    </w:p>
    <w:p w14:paraId="519AACCC">
      <w:pPr>
        <w:pStyle w:val="19"/>
        <w:bidi w:val="0"/>
        <w:rPr>
          <w:rFonts w:hint="eastAsia" w:ascii="仿宋_GB2312" w:hAnsi="仿宋_GB2312" w:eastAsia="仿宋_GB2312" w:cs="仿宋_GB2312"/>
        </w:rPr>
      </w:pPr>
      <w:r>
        <w:rPr>
          <w:rFonts w:hint="eastAsia" w:ascii="仿宋_GB2312" w:hAnsi="仿宋_GB2312" w:eastAsia="仿宋_GB2312" w:cs="仿宋_GB2312"/>
        </w:rPr>
        <w:t>十、《项目绩效目标表》</w:t>
      </w:r>
    </w:p>
    <w:p w14:paraId="6F778B90">
      <w:pPr>
        <w:pStyle w:val="19"/>
        <w:bidi w:val="0"/>
        <w:ind w:left="0" w:leftChars="0" w:firstLine="0" w:firstLineChars="0"/>
        <w:rPr>
          <w:rFonts w:hint="eastAsia" w:ascii="仿宋_GB2312" w:hAnsi="仿宋_GB2312" w:eastAsia="仿宋_GB2312" w:cs="仿宋_GB2312"/>
        </w:rPr>
      </w:pPr>
    </w:p>
    <w:p w14:paraId="35DC255C">
      <w:pPr>
        <w:pStyle w:val="18"/>
        <w:numPr>
          <w:ilvl w:val="0"/>
          <w:numId w:val="0"/>
        </w:numPr>
        <w:bidi w:val="0"/>
        <w:ind w:left="420" w:leftChars="200"/>
        <w:jc w:val="left"/>
        <w:rPr>
          <w:rFonts w:hint="eastAsia"/>
          <w:lang w:eastAsia="zh-CN"/>
        </w:rPr>
      </w:pPr>
      <w:r>
        <w:rPr>
          <w:rFonts w:hint="eastAsia"/>
          <w:lang w:eastAsia="zh-CN"/>
        </w:rPr>
        <w:t>第三部分 兴国县思源实验小学 2026年度</w:t>
      </w:r>
      <w:r>
        <w:rPr>
          <w:rFonts w:hint="eastAsia"/>
          <w:lang w:val="en-US" w:eastAsia="zh-CN"/>
        </w:rPr>
        <w:t>单位</w:t>
      </w:r>
      <w:r>
        <w:rPr>
          <w:rFonts w:hint="eastAsia"/>
          <w:lang w:eastAsia="zh-CN"/>
        </w:rPr>
        <w:t>预算情况说明</w:t>
      </w:r>
    </w:p>
    <w:p w14:paraId="13CB8501">
      <w:pPr>
        <w:pStyle w:val="19"/>
        <w:bidi w:val="0"/>
        <w:rPr>
          <w:rFonts w:hint="eastAsia" w:ascii="仿宋_GB2312" w:hAnsi="仿宋_GB2312" w:eastAsia="仿宋_GB2312" w:cs="仿宋_GB2312"/>
        </w:rPr>
      </w:pPr>
      <w:r>
        <w:rPr>
          <w:rFonts w:hint="eastAsia" w:ascii="仿宋_GB2312" w:hAnsi="仿宋_GB2312" w:eastAsia="仿宋_GB2312" w:cs="仿宋_GB2312"/>
        </w:rPr>
        <w:t>一、</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cs="仿宋_GB2312"/>
          <w:lang w:val="en-US" w:eastAsia="zh-CN"/>
        </w:rPr>
        <w:t>单位</w:t>
      </w:r>
      <w:r>
        <w:rPr>
          <w:rFonts w:hint="eastAsia" w:ascii="仿宋_GB2312" w:hAnsi="仿宋_GB2312" w:eastAsia="仿宋_GB2312" w:cs="仿宋_GB2312"/>
        </w:rPr>
        <w:t>预算收支情况说明</w:t>
      </w:r>
    </w:p>
    <w:p w14:paraId="7E38BB69">
      <w:pPr>
        <w:pStyle w:val="19"/>
        <w:bidi w:val="0"/>
        <w:rPr>
          <w:rFonts w:hint="eastAsia" w:ascii="仿宋_GB2312" w:hAnsi="仿宋_GB2312" w:eastAsia="仿宋_GB2312" w:cs="仿宋_GB2312"/>
        </w:rPr>
      </w:pPr>
      <w:r>
        <w:rPr>
          <w:rFonts w:hint="eastAsia" w:ascii="仿宋_GB2312" w:hAnsi="仿宋_GB2312" w:eastAsia="仿宋_GB2312" w:cs="仿宋_GB2312"/>
        </w:rPr>
        <w:t>二、</w:t>
      </w:r>
      <w:r>
        <w:rPr>
          <w:rFonts w:hint="eastAsia" w:ascii="仿宋_GB2312" w:hAnsi="仿宋_GB2312" w:eastAsia="仿宋_GB2312" w:cs="仿宋_GB2312"/>
          <w:lang w:eastAsia="zh-CN"/>
        </w:rPr>
        <w:t>2026</w:t>
      </w:r>
      <w:r>
        <w:rPr>
          <w:rFonts w:hint="eastAsia" w:ascii="仿宋_GB2312" w:hAnsi="仿宋_GB2312" w:eastAsia="仿宋_GB2312" w:cs="仿宋_GB2312"/>
        </w:rPr>
        <w:t>年</w:t>
      </w:r>
      <w:r>
        <w:rPr>
          <w:rFonts w:hint="eastAsia" w:ascii="仿宋_GB2312" w:hAnsi="仿宋_GB2312" w:eastAsia="仿宋_GB2312" w:cs="仿宋_GB2312"/>
          <w:lang w:val="en-US" w:eastAsia="zh-CN"/>
        </w:rPr>
        <w:t>财政拨款</w:t>
      </w:r>
      <w:r>
        <w:rPr>
          <w:rFonts w:hint="eastAsia" w:ascii="仿宋_GB2312" w:hAnsi="仿宋_GB2312" w:eastAsia="仿宋_GB2312" w:cs="仿宋_GB2312"/>
        </w:rPr>
        <w:t>“三公”经费预算情况说明</w:t>
      </w:r>
    </w:p>
    <w:p w14:paraId="46356A5A">
      <w:pPr>
        <w:pStyle w:val="14"/>
        <w:tabs>
          <w:tab w:val="left" w:pos="6546"/>
        </w:tabs>
        <w:spacing w:line="600" w:lineRule="atLeast"/>
        <w:ind w:firstLine="1280"/>
        <w:jc w:val="left"/>
        <w:rPr>
          <w:rFonts w:ascii="Adobe 仿宋 Std R" w:hAnsi="Adobe 仿宋 Std R" w:eastAsia="Adobe 仿宋 Std R" w:cstheme="minorBidi"/>
          <w:kern w:val="2"/>
          <w:sz w:val="32"/>
          <w:szCs w:val="30"/>
        </w:rPr>
      </w:pPr>
    </w:p>
    <w:p w14:paraId="57B7D2DA">
      <w:pPr>
        <w:pStyle w:val="18"/>
        <w:numPr>
          <w:ilvl w:val="0"/>
          <w:numId w:val="0"/>
        </w:numPr>
        <w:bidi w:val="0"/>
        <w:ind w:left="420" w:leftChars="200"/>
        <w:jc w:val="left"/>
        <w:rPr>
          <w:rFonts w:hint="eastAsia"/>
          <w:lang w:eastAsia="zh-CN"/>
        </w:rPr>
      </w:pPr>
      <w:r>
        <w:rPr>
          <w:rFonts w:hint="eastAsia"/>
          <w:lang w:eastAsia="zh-CN"/>
        </w:rPr>
        <w:t>第四部分  名词解释</w:t>
      </w:r>
    </w:p>
    <w:p w14:paraId="31D6F2A0">
      <w:pPr>
        <w:widowControl/>
        <w:spacing w:line="580" w:lineRule="exact"/>
        <w:jc w:val="center"/>
        <w:rPr>
          <w:rFonts w:ascii="仿宋_GB2312" w:eastAsia="仿宋_GB2312"/>
          <w:b/>
          <w:sz w:val="32"/>
          <w:szCs w:val="30"/>
        </w:rPr>
      </w:pPr>
    </w:p>
    <w:p w14:paraId="7FC38142">
      <w:pPr>
        <w:widowControl/>
        <w:spacing w:line="580" w:lineRule="exact"/>
        <w:jc w:val="center"/>
        <w:rPr>
          <w:rFonts w:ascii="仿宋_GB2312" w:eastAsia="仿宋_GB2312"/>
          <w:b/>
          <w:sz w:val="32"/>
          <w:szCs w:val="30"/>
        </w:rPr>
      </w:pPr>
    </w:p>
    <w:p w14:paraId="7193D4EB">
      <w:pPr>
        <w:pStyle w:val="18"/>
        <w:numPr>
          <w:ilvl w:val="0"/>
          <w:numId w:val="0"/>
        </w:numPr>
        <w:bidi w:val="0"/>
        <w:ind w:left="420" w:leftChars="200"/>
        <w:jc w:val="center"/>
        <w:rPr>
          <w:rFonts w:hint="eastAsia"/>
          <w:lang w:eastAsia="zh-CN"/>
        </w:rPr>
      </w:pPr>
      <w:r>
        <w:rPr>
          <w:rFonts w:hint="eastAsia"/>
          <w:lang w:eastAsia="zh-CN"/>
        </w:rPr>
        <w:t>第一部分  兴国县思源实验小学概况</w:t>
      </w:r>
    </w:p>
    <w:p w14:paraId="4C05D9F5">
      <w:pPr>
        <w:widowControl/>
        <w:spacing w:line="580" w:lineRule="exact"/>
        <w:jc w:val="left"/>
        <w:rPr>
          <w:rFonts w:asciiTheme="minorEastAsia" w:hAnsiTheme="minorEastAsia"/>
          <w:b/>
          <w:sz w:val="36"/>
          <w:szCs w:val="36"/>
        </w:rPr>
      </w:pPr>
    </w:p>
    <w:p w14:paraId="3B8DC7FF">
      <w:pPr>
        <w:pStyle w:val="18"/>
        <w:numPr>
          <w:ilvl w:val="0"/>
          <w:numId w:val="0"/>
        </w:numPr>
        <w:bidi w:val="0"/>
        <w:ind w:left="420" w:leftChars="200" w:firstLine="320" w:firstLineChars="100"/>
        <w:rPr>
          <w:rFonts w:hint="eastAsia"/>
        </w:rPr>
      </w:pPr>
      <w:r>
        <w:rPr>
          <w:rFonts w:hint="eastAsia"/>
        </w:rPr>
        <w:t>一、</w:t>
      </w:r>
      <w:r>
        <w:rPr>
          <w:rFonts w:hint="eastAsia"/>
          <w:lang w:val="en-US" w:eastAsia="zh-CN"/>
        </w:rPr>
        <w:t>单位</w:t>
      </w:r>
      <w:r>
        <w:rPr>
          <w:rFonts w:hint="eastAsia"/>
        </w:rPr>
        <w:t>主要职责</w:t>
      </w:r>
    </w:p>
    <w:p w14:paraId="7EA111A1">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实施小学义务教育，促进基础教育发展，负责小学学历教育及相关社会服务。</w:t>
      </w:r>
    </w:p>
    <w:p w14:paraId="26D0322C">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（一）负责全面贯彻党的教育方针，认真执行国家和上级有关部门制定的法律法规和有关政策，正确处理国家、学校和教职工个人三者之间的关系。</w:t>
      </w:r>
    </w:p>
    <w:p w14:paraId="104961C5">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（二）根据上级主管部门下达的任务，制定学校的发展规划和学年、学期工作计划及各项工作管理制度和相应的检查评比考核办法，并认真组织实施，实现校长任期工作目标。</w:t>
      </w:r>
    </w:p>
    <w:p w14:paraId="001C206E">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（三）坚持管理育人、教书育人、服务育人的工作方针，提高教职工队伍的综合素质。增强教师事业心和责任感，调动教师工作的积极性，争创一流的教育教学工作质量。培养和选拔使用干部。</w:t>
      </w:r>
    </w:p>
    <w:p w14:paraId="7A80584F">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（四）加强学校人事教育教学、总务等各方面工作的组织管理，推动学校内部综合改革的不断深化，建立科学、高效、有活力的管理运行机制，使学校走向自我完善、自我发展的道路。</w:t>
      </w:r>
    </w:p>
    <w:p w14:paraId="5AD9BCAF">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（五）自觉接受党组织的监督，定期向党组织汇报工作，尊</w:t>
      </w:r>
      <w:r>
        <w:rPr>
          <w:rFonts w:hint="eastAsia" w:ascii="仿宋_GB2312" w:hAnsi="仿宋_GB2312" w:eastAsia="仿宋_GB2312" w:cs="仿宋_GB2312"/>
          <w:color w:val="auto"/>
          <w:sz w:val="32"/>
          <w:szCs w:val="32"/>
          <w:lang w:eastAsia="zh-CN"/>
        </w:rPr>
        <w:t>重和</w:t>
      </w:r>
      <w:r>
        <w:rPr>
          <w:rFonts w:hint="eastAsia" w:ascii="仿宋_GB2312" w:hAnsi="仿宋_GB2312" w:eastAsia="仿宋_GB2312" w:cs="仿宋_GB2312"/>
          <w:color w:val="auto"/>
          <w:sz w:val="32"/>
          <w:szCs w:val="32"/>
        </w:rPr>
        <w:t>支持教职工群众参与学校民主管理的权利。</w:t>
      </w:r>
    </w:p>
    <w:p w14:paraId="24E7D7E9">
      <w:pPr>
        <w:keepNext w:val="0"/>
        <w:keepLines w:val="0"/>
        <w:pageBreakBefore w:val="0"/>
        <w:kinsoku/>
        <w:wordWrap/>
        <w:overflowPunct/>
        <w:topLinePunct w:val="0"/>
        <w:bidi w:val="0"/>
        <w:spacing w:line="560" w:lineRule="exact"/>
        <w:ind w:firstLine="640" w:firstLineChars="20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（六）全身心地投入工作，关心群众生活。自觉加强自我制约机制，保证校长负责制机制下的学校健康发展。</w:t>
      </w:r>
    </w:p>
    <w:p w14:paraId="08E7E578">
      <w:pPr>
        <w:pStyle w:val="2"/>
        <w:rPr>
          <w:rFonts w:hint="eastAsia"/>
        </w:rPr>
      </w:pPr>
    </w:p>
    <w:p w14:paraId="58599F33">
      <w:pPr>
        <w:pStyle w:val="18"/>
        <w:numPr>
          <w:ilvl w:val="0"/>
          <w:numId w:val="0"/>
        </w:numPr>
        <w:bidi w:val="0"/>
        <w:ind w:left="420" w:leftChars="200" w:firstLine="320" w:firstLineChars="100"/>
        <w:rPr>
          <w:rFonts w:hint="eastAsia"/>
        </w:rPr>
      </w:pPr>
      <w:r>
        <w:rPr>
          <w:rFonts w:hint="eastAsia"/>
        </w:rPr>
        <w:t>二、机构设置及人员情况</w:t>
      </w:r>
    </w:p>
    <w:p w14:paraId="2D7B0F52">
      <w:pPr>
        <w:keepNext w:val="0"/>
        <w:keepLines w:val="0"/>
        <w:pageBreakBefore w:val="0"/>
        <w:kinsoku/>
        <w:wordWrap/>
        <w:overflowPunct/>
        <w:topLinePunct w:val="0"/>
        <w:bidi w:val="0"/>
        <w:spacing w:line="560" w:lineRule="exact"/>
        <w:ind w:firstLine="640" w:firstLineChars="200"/>
        <w:rPr>
          <w:rFonts w:ascii="仿宋_GB2312" w:eastAsia="仿宋_GB2312"/>
          <w:b/>
          <w:szCs w:val="30"/>
        </w:rPr>
      </w:pPr>
      <w:r>
        <w:rPr>
          <w:rFonts w:hint="eastAsia" w:ascii="仿宋_GB2312" w:hAnsi="仿宋_GB2312" w:eastAsia="仿宋_GB2312" w:cs="仿宋_GB2312"/>
          <w:color w:val="auto"/>
          <w:sz w:val="32"/>
          <w:szCs w:val="32"/>
          <w:lang w:eastAsia="zh-CN"/>
        </w:rPr>
        <w:t>兴国县思源实验小学内设处室</w:t>
      </w:r>
      <w:r>
        <w:rPr>
          <w:rFonts w:hint="eastAsia" w:ascii="仿宋_GB2312" w:hAnsi="仿宋_GB2312" w:eastAsia="仿宋_GB2312" w:cs="仿宋_GB2312"/>
          <w:color w:val="auto"/>
          <w:sz w:val="32"/>
          <w:szCs w:val="32"/>
          <w:lang w:val="en-US" w:eastAsia="zh-CN"/>
        </w:rPr>
        <w:t>4</w:t>
      </w:r>
      <w:r>
        <w:rPr>
          <w:rFonts w:hint="eastAsia" w:ascii="仿宋_GB2312" w:hAnsi="仿宋_GB2312" w:eastAsia="仿宋_GB2312" w:cs="仿宋_GB2312"/>
          <w:color w:val="auto"/>
          <w:sz w:val="32"/>
          <w:szCs w:val="32"/>
          <w:lang w:eastAsia="zh-CN"/>
        </w:rPr>
        <w:t>个，包括：</w:t>
      </w:r>
      <w:r>
        <w:rPr>
          <w:rFonts w:hint="eastAsia" w:ascii="仿宋_GB2312" w:hAnsi="仿宋_GB2312" w:eastAsia="仿宋_GB2312" w:cs="仿宋_GB2312"/>
          <w:color w:val="auto"/>
          <w:sz w:val="32"/>
          <w:szCs w:val="32"/>
          <w:lang w:val="en-US" w:eastAsia="zh-CN"/>
        </w:rPr>
        <w:t>教导处、总务处、电教室、少先队大队。</w:t>
      </w:r>
    </w:p>
    <w:p w14:paraId="5FEB060D">
      <w:pPr>
        <w:pStyle w:val="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本单位编制人数小计169人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其中：行政编制人数0人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参照公务员管理的事业编制人数0人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全部补助事业编制人数169人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自收自支编制人数0人。实有人数小计169人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其中：在职人数小计169人（行政在职人数0人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参照公务员管理的事业单位在职人数0人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全部补助事业在职人数169人）；离休人数小计0人；退休人数小计0人。</w:t>
      </w:r>
    </w:p>
    <w:p w14:paraId="138DCDE0">
      <w:pPr>
        <w:pStyle w:val="2"/>
        <w:ind w:firstLine="640" w:firstLineChars="200"/>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2026年本单位在校学生303</w:t>
      </w:r>
      <w:r>
        <w:rPr>
          <w:rFonts w:hint="eastAsia" w:cs="仿宋_GB2312"/>
          <w:color w:val="auto"/>
          <w:kern w:val="2"/>
          <w:sz w:val="32"/>
          <w:szCs w:val="32"/>
          <w:lang w:val="en-US" w:eastAsia="zh-CN" w:bidi="ar-SA"/>
        </w:rPr>
        <w:t>7</w:t>
      </w:r>
      <w:r>
        <w:rPr>
          <w:rFonts w:hint="eastAsia" w:ascii="仿宋_GB2312" w:hAnsi="仿宋_GB2312" w:eastAsia="仿宋_GB2312" w:cs="仿宋_GB2312"/>
          <w:color w:val="auto"/>
          <w:kern w:val="2"/>
          <w:sz w:val="32"/>
          <w:szCs w:val="32"/>
          <w:lang w:val="en-US" w:eastAsia="zh-CN" w:bidi="ar-SA"/>
        </w:rPr>
        <w:t>人</w:t>
      </w:r>
      <w:r>
        <w:rPr>
          <w:rFonts w:hint="eastAsia" w:cs="仿宋_GB2312"/>
          <w:color w:val="auto"/>
          <w:kern w:val="2"/>
          <w:sz w:val="32"/>
          <w:szCs w:val="32"/>
          <w:lang w:val="en-US" w:eastAsia="zh-CN" w:bidi="ar-SA"/>
        </w:rPr>
        <w:t>，</w:t>
      </w:r>
      <w:r>
        <w:rPr>
          <w:rFonts w:hint="eastAsia" w:ascii="仿宋_GB2312" w:hAnsi="仿宋_GB2312" w:eastAsia="仿宋_GB2312" w:cs="仿宋_GB2312"/>
          <w:color w:val="auto"/>
          <w:kern w:val="2"/>
          <w:sz w:val="32"/>
          <w:szCs w:val="32"/>
          <w:lang w:val="en-US" w:eastAsia="zh-CN" w:bidi="ar-SA"/>
        </w:rPr>
        <w:t>其中：本科生人数0人，专科生人数0人，高中人数0人，初中人数0人，小学人数303</w:t>
      </w:r>
      <w:r>
        <w:rPr>
          <w:rFonts w:hint="eastAsia" w:cs="仿宋_GB2312"/>
          <w:color w:val="auto"/>
          <w:kern w:val="2"/>
          <w:sz w:val="32"/>
          <w:szCs w:val="32"/>
          <w:lang w:val="en-US" w:eastAsia="zh-CN" w:bidi="ar-SA"/>
        </w:rPr>
        <w:t>7</w:t>
      </w:r>
      <w:r>
        <w:rPr>
          <w:rFonts w:hint="eastAsia" w:ascii="仿宋_GB2312" w:hAnsi="仿宋_GB2312" w:eastAsia="仿宋_GB2312" w:cs="仿宋_GB2312"/>
          <w:color w:val="auto"/>
          <w:kern w:val="2"/>
          <w:sz w:val="32"/>
          <w:szCs w:val="32"/>
          <w:lang w:val="en-US" w:eastAsia="zh-CN" w:bidi="ar-SA"/>
        </w:rPr>
        <w:t>人，幼儿园人数0人。</w:t>
      </w:r>
    </w:p>
    <w:p w14:paraId="41AC23BA">
      <w:pPr>
        <w:pStyle w:val="2"/>
        <w:ind w:firstLine="640" w:firstLineChars="200"/>
        <w:rPr>
          <w:rFonts w:hint="eastAsia" w:ascii="仿宋_GB2312" w:hAnsi="仿宋_GB2312" w:eastAsia="仿宋_GB2312" w:cs="仿宋_GB2312"/>
          <w:color w:val="auto"/>
          <w:kern w:val="2"/>
          <w:sz w:val="32"/>
          <w:szCs w:val="32"/>
          <w:lang w:val="en-US" w:eastAsia="zh-CN" w:bidi="ar-SA"/>
        </w:rPr>
      </w:pPr>
    </w:p>
    <w:p w14:paraId="050F2A0C">
      <w:pPr>
        <w:pStyle w:val="18"/>
        <w:numPr>
          <w:ilvl w:val="0"/>
          <w:numId w:val="0"/>
        </w:numPr>
        <w:bidi w:val="0"/>
        <w:ind w:left="420" w:leftChars="200"/>
        <w:jc w:val="center"/>
        <w:rPr>
          <w:rFonts w:hint="eastAsia"/>
          <w:lang w:eastAsia="zh-CN"/>
        </w:rPr>
      </w:pPr>
      <w:r>
        <w:rPr>
          <w:rFonts w:hint="eastAsia"/>
          <w:lang w:eastAsia="zh-CN"/>
        </w:rPr>
        <w:t>第二部分  兴国县思源实验小学2026年</w:t>
      </w:r>
      <w:r>
        <w:rPr>
          <w:rFonts w:hint="eastAsia"/>
          <w:lang w:val="en-US" w:eastAsia="zh-CN"/>
        </w:rPr>
        <w:t>单位</w:t>
      </w:r>
      <w:r>
        <w:rPr>
          <w:rFonts w:hint="eastAsia"/>
          <w:lang w:eastAsia="zh-CN"/>
        </w:rPr>
        <w:t>预算表</w:t>
      </w:r>
    </w:p>
    <w:p w14:paraId="720F968B">
      <w:pPr>
        <w:pStyle w:val="18"/>
        <w:numPr>
          <w:ilvl w:val="0"/>
          <w:numId w:val="0"/>
        </w:numPr>
        <w:bidi w:val="0"/>
        <w:ind w:left="420" w:leftChars="200"/>
        <w:rPr>
          <w:rFonts w:hint="eastAsia"/>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09580327">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tbl>
            <w:tblPr>
              <w:tblStyle w:val="7"/>
              <w:tblW w:w="5000" w:type="pct"/>
              <w:jc w:val="center"/>
              <w:tblLayout w:type="fixed"/>
              <w:tblCellMar>
                <w:top w:w="0" w:type="dxa"/>
                <w:left w:w="108" w:type="dxa"/>
                <w:bottom w:w="0" w:type="dxa"/>
                <w:right w:w="108" w:type="dxa"/>
              </w:tblCellMar>
            </w:tblPr>
            <w:tblGrid>
              <w:gridCol w:w="3268"/>
              <w:gridCol w:w="2354"/>
              <w:gridCol w:w="3701"/>
              <w:gridCol w:w="1858"/>
            </w:tblGrid>
            <w:tr w14:paraId="132F1C3D">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05003F84">
                  <w:pPr>
                    <w:widowControl/>
                    <w:jc w:val="center"/>
                    <w:rPr>
                      <w:rFonts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t>收支预算总表</w:t>
                  </w:r>
                </w:p>
              </w:tc>
            </w:tr>
            <w:tr w14:paraId="0BA2385D">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568A926F">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eastAsia="zh-CN" w:bidi="ar"/>
                    </w:rPr>
                    <w:t>201105兴国县思源实验小学</w:t>
                  </w:r>
                </w:p>
              </w:tc>
              <w:tc>
                <w:tcPr>
                  <w:tcW w:w="1655" w:type="pct"/>
                  <w:noWrap/>
                  <w:vAlign w:val="bottom"/>
                </w:tcPr>
                <w:p w14:paraId="29F7BA9D">
                  <w:pPr>
                    <w:widowControl/>
                    <w:snapToGrid w:val="0"/>
                    <w:jc w:val="left"/>
                    <w:textAlignment w:val="center"/>
                    <w:rPr>
                      <w:rFonts w:hint="eastAsia" w:asciiTheme="minorEastAsia" w:hAnsiTheme="minorEastAsia" w:eastAsiaTheme="minorEastAsia" w:cstheme="minorEastAsia"/>
                      <w:color w:val="000000"/>
                      <w:kern w:val="0"/>
                      <w:sz w:val="18"/>
                      <w:szCs w:val="18"/>
                      <w:lang w:bidi="ar"/>
                    </w:rPr>
                  </w:pPr>
                </w:p>
              </w:tc>
              <w:tc>
                <w:tcPr>
                  <w:tcW w:w="829" w:type="pct"/>
                  <w:noWrap/>
                  <w:vAlign w:val="center"/>
                </w:tcPr>
                <w:p w14:paraId="49294101">
                  <w:pPr>
                    <w:widowControl/>
                    <w:snapToGrid w:val="0"/>
                    <w:jc w:val="right"/>
                    <w:textAlignment w:val="center"/>
                    <w:rPr>
                      <w:rFonts w:hint="eastAsia" w:asciiTheme="minorEastAsia" w:hAnsiTheme="minorEastAsia" w:eastAsiaTheme="minorEastAsia" w:cstheme="minorEastAsia"/>
                      <w:color w:val="000000"/>
                      <w:kern w:val="0"/>
                      <w:sz w:val="18"/>
                      <w:szCs w:val="18"/>
                      <w:lang w:bidi="ar"/>
                    </w:rPr>
                  </w:pPr>
                  <w:r>
                    <w:rPr>
                      <w:rFonts w:hint="eastAsia" w:asciiTheme="minorEastAsia" w:hAnsiTheme="minorEastAsia" w:eastAsiaTheme="minorEastAsia" w:cstheme="minorEastAsia"/>
                      <w:color w:val="000000"/>
                      <w:kern w:val="0"/>
                      <w:sz w:val="21"/>
                      <w:szCs w:val="21"/>
                      <w:lang w:bidi="ar"/>
                    </w:rPr>
                    <w:t>单位：万元</w:t>
                  </w:r>
                </w:p>
              </w:tc>
            </w:tr>
            <w:tr w14:paraId="0077A78E">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0FEA0B1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2485" w:type="pct"/>
                  <w:gridSpan w:val="2"/>
                  <w:tcBorders>
                    <w:top w:val="single" w:color="000000" w:sz="4" w:space="0"/>
                    <w:left w:val="nil"/>
                    <w:bottom w:val="single" w:color="000000" w:sz="4" w:space="0"/>
                    <w:right w:val="single" w:color="000000" w:sz="4" w:space="0"/>
                  </w:tcBorders>
                  <w:noWrap/>
                  <w:vAlign w:val="center"/>
                </w:tcPr>
                <w:p w14:paraId="6B79334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       出</w:t>
                  </w:r>
                </w:p>
              </w:tc>
            </w:tr>
            <w:tr w14:paraId="07A17EA2">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4AF95A0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p>
              </w:tc>
              <w:tc>
                <w:tcPr>
                  <w:tcW w:w="1053" w:type="pct"/>
                  <w:tcBorders>
                    <w:top w:val="nil"/>
                    <w:left w:val="nil"/>
                    <w:bottom w:val="nil"/>
                    <w:right w:val="single" w:color="000000" w:sz="4" w:space="0"/>
                  </w:tcBorders>
                  <w:noWrap/>
                  <w:vAlign w:val="center"/>
                </w:tcPr>
                <w:p w14:paraId="0E26A8E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c>
                <w:tcPr>
                  <w:tcW w:w="1655" w:type="pct"/>
                  <w:tcBorders>
                    <w:top w:val="nil"/>
                    <w:left w:val="nil"/>
                    <w:bottom w:val="single" w:color="000000" w:sz="4" w:space="0"/>
                    <w:right w:val="single" w:color="000000" w:sz="4" w:space="0"/>
                  </w:tcBorders>
                  <w:noWrap/>
                  <w:vAlign w:val="center"/>
                </w:tcPr>
                <w:p w14:paraId="1DEFE2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eastAsia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829" w:type="pct"/>
                  <w:tcBorders>
                    <w:top w:val="nil"/>
                    <w:left w:val="nil"/>
                    <w:bottom w:val="single" w:color="000000" w:sz="4" w:space="0"/>
                    <w:right w:val="single" w:color="000000" w:sz="4" w:space="0"/>
                  </w:tcBorders>
                  <w:noWrap/>
                  <w:vAlign w:val="center"/>
                </w:tcPr>
                <w:p w14:paraId="01D4120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预算数</w:t>
                  </w:r>
                </w:p>
              </w:tc>
            </w:tr>
            <w:tr w14:paraId="46FA4DE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FADDC3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387677D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2,369.00</w:t>
                  </w:r>
                </w:p>
              </w:tc>
              <w:tc>
                <w:tcPr>
                  <w:tcW w:w="1655" w:type="pct"/>
                  <w:tcBorders>
                    <w:top w:val="nil"/>
                    <w:left w:val="nil"/>
                    <w:bottom w:val="single" w:color="000000" w:sz="4" w:space="0"/>
                    <w:right w:val="single" w:color="000000" w:sz="4" w:space="0"/>
                  </w:tcBorders>
                  <w:noWrap/>
                  <w:vAlign w:val="center"/>
                </w:tcPr>
                <w:p w14:paraId="3143EE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教育支出</w:t>
                  </w:r>
                </w:p>
              </w:tc>
              <w:tc>
                <w:tcPr>
                  <w:tcW w:w="829" w:type="pct"/>
                  <w:tcBorders>
                    <w:top w:val="nil"/>
                    <w:left w:val="nil"/>
                    <w:bottom w:val="single" w:color="000000" w:sz="4" w:space="0"/>
                    <w:right w:val="single" w:color="000000" w:sz="4" w:space="0"/>
                  </w:tcBorders>
                  <w:noWrap/>
                  <w:vAlign w:val="center"/>
                </w:tcPr>
                <w:p w14:paraId="2EE777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2,008.87</w:t>
                  </w:r>
                </w:p>
              </w:tc>
            </w:tr>
            <w:tr w14:paraId="6026847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14E3DCAA">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（一）一般公共预算收入</w:t>
                  </w:r>
                </w:p>
              </w:tc>
              <w:tc>
                <w:tcPr>
                  <w:tcW w:w="1053" w:type="pct"/>
                  <w:tcBorders>
                    <w:top w:val="nil"/>
                    <w:left w:val="nil"/>
                    <w:bottom w:val="single" w:color="000000" w:sz="4" w:space="0"/>
                    <w:right w:val="single" w:color="000000" w:sz="4" w:space="0"/>
                  </w:tcBorders>
                  <w:vAlign w:val="center"/>
                </w:tcPr>
                <w:p w14:paraId="67F4BF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2,369.00</w:t>
                  </w:r>
                </w:p>
              </w:tc>
              <w:tc>
                <w:tcPr>
                  <w:tcW w:w="1655" w:type="pct"/>
                  <w:tcBorders>
                    <w:top w:val="nil"/>
                    <w:left w:val="nil"/>
                    <w:bottom w:val="single" w:color="000000" w:sz="4" w:space="0"/>
                    <w:right w:val="single" w:color="000000" w:sz="4" w:space="0"/>
                  </w:tcBorders>
                  <w:noWrap/>
                  <w:vAlign w:val="center"/>
                </w:tcPr>
                <w:p w14:paraId="12925AD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社会保障和就业支出</w:t>
                  </w:r>
                </w:p>
              </w:tc>
              <w:tc>
                <w:tcPr>
                  <w:tcW w:w="829" w:type="pct"/>
                  <w:tcBorders>
                    <w:top w:val="nil"/>
                    <w:left w:val="nil"/>
                    <w:bottom w:val="single" w:color="000000" w:sz="4" w:space="0"/>
                    <w:right w:val="single" w:color="000000" w:sz="4" w:space="0"/>
                  </w:tcBorders>
                  <w:noWrap/>
                  <w:vAlign w:val="center"/>
                </w:tcPr>
                <w:p w14:paraId="13AF14A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248.44</w:t>
                  </w:r>
                </w:p>
              </w:tc>
            </w:tr>
            <w:tr w14:paraId="1365022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BBC7F6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0D6EB3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76C403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卫生健康支出</w:t>
                  </w:r>
                </w:p>
              </w:tc>
              <w:tc>
                <w:tcPr>
                  <w:tcW w:w="829" w:type="pct"/>
                  <w:tcBorders>
                    <w:top w:val="nil"/>
                    <w:left w:val="nil"/>
                    <w:bottom w:val="single" w:color="000000" w:sz="4" w:space="0"/>
                    <w:right w:val="single" w:color="000000" w:sz="4" w:space="0"/>
                  </w:tcBorders>
                  <w:noWrap/>
                  <w:vAlign w:val="center"/>
                </w:tcPr>
                <w:p w14:paraId="4480AA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159.19</w:t>
                  </w:r>
                </w:p>
              </w:tc>
            </w:tr>
            <w:tr w14:paraId="519F670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D73277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（三）国有资本经营预算收入</w:t>
                  </w:r>
                </w:p>
              </w:tc>
              <w:tc>
                <w:tcPr>
                  <w:tcW w:w="1053" w:type="pct"/>
                  <w:tcBorders>
                    <w:top w:val="nil"/>
                    <w:left w:val="nil"/>
                    <w:bottom w:val="single" w:color="000000" w:sz="4" w:space="0"/>
                    <w:right w:val="single" w:color="000000" w:sz="4" w:space="0"/>
                  </w:tcBorders>
                  <w:vAlign w:val="center"/>
                </w:tcPr>
                <w:p w14:paraId="2A35432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5242D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其他支出</w:t>
                  </w:r>
                </w:p>
              </w:tc>
              <w:tc>
                <w:tcPr>
                  <w:tcW w:w="829" w:type="pct"/>
                  <w:tcBorders>
                    <w:top w:val="nil"/>
                    <w:left w:val="nil"/>
                    <w:bottom w:val="single" w:color="000000" w:sz="4" w:space="0"/>
                    <w:right w:val="single" w:color="000000" w:sz="4" w:space="0"/>
                  </w:tcBorders>
                  <w:noWrap/>
                  <w:vAlign w:val="center"/>
                </w:tcPr>
                <w:p w14:paraId="31C7373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t>850.00</w:t>
                  </w:r>
                </w:p>
              </w:tc>
            </w:tr>
            <w:tr w14:paraId="33BEF41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19471B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二、教育收费资金收入</w:t>
                  </w:r>
                </w:p>
              </w:tc>
              <w:tc>
                <w:tcPr>
                  <w:tcW w:w="1053" w:type="pct"/>
                  <w:tcBorders>
                    <w:top w:val="nil"/>
                    <w:left w:val="nil"/>
                    <w:bottom w:val="single" w:color="000000" w:sz="4" w:space="0"/>
                    <w:right w:val="single" w:color="000000" w:sz="4" w:space="0"/>
                  </w:tcBorders>
                  <w:vAlign w:val="center"/>
                </w:tcPr>
                <w:p w14:paraId="0597F2A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0DBB3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0741BB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EBCE2F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C5B46D1">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三、事业收入</w:t>
                  </w:r>
                </w:p>
              </w:tc>
              <w:tc>
                <w:tcPr>
                  <w:tcW w:w="1053" w:type="pct"/>
                  <w:tcBorders>
                    <w:top w:val="nil"/>
                    <w:left w:val="nil"/>
                    <w:bottom w:val="single" w:color="000000" w:sz="4" w:space="0"/>
                    <w:right w:val="single" w:color="000000" w:sz="4" w:space="0"/>
                  </w:tcBorders>
                  <w:vAlign w:val="center"/>
                </w:tcPr>
                <w:p w14:paraId="6186916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42850B5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D23062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3A7CF6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3B15F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四、事业单位经营收入</w:t>
                  </w:r>
                </w:p>
              </w:tc>
              <w:tc>
                <w:tcPr>
                  <w:tcW w:w="1053" w:type="pct"/>
                  <w:tcBorders>
                    <w:top w:val="nil"/>
                    <w:left w:val="nil"/>
                    <w:bottom w:val="single" w:color="000000" w:sz="4" w:space="0"/>
                    <w:right w:val="single" w:color="000000" w:sz="4" w:space="0"/>
                  </w:tcBorders>
                  <w:vAlign w:val="center"/>
                </w:tcPr>
                <w:p w14:paraId="086275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0A65AB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D53845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FEBDCB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3B90BB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五、附属单位上缴收入</w:t>
                  </w:r>
                </w:p>
              </w:tc>
              <w:tc>
                <w:tcPr>
                  <w:tcW w:w="1053" w:type="pct"/>
                  <w:tcBorders>
                    <w:top w:val="nil"/>
                    <w:left w:val="nil"/>
                    <w:bottom w:val="single" w:color="000000" w:sz="4" w:space="0"/>
                    <w:right w:val="single" w:color="000000" w:sz="4" w:space="0"/>
                  </w:tcBorders>
                  <w:noWrap/>
                  <w:vAlign w:val="center"/>
                </w:tcPr>
                <w:p w14:paraId="035672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3B15BEF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B9622C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92E9C1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CD2645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六、上级补助收入</w:t>
                  </w:r>
                </w:p>
              </w:tc>
              <w:tc>
                <w:tcPr>
                  <w:tcW w:w="1053" w:type="pct"/>
                  <w:tcBorders>
                    <w:top w:val="nil"/>
                    <w:left w:val="nil"/>
                    <w:bottom w:val="single" w:color="000000" w:sz="4" w:space="0"/>
                    <w:right w:val="single" w:color="000000" w:sz="4" w:space="0"/>
                  </w:tcBorders>
                  <w:noWrap/>
                  <w:vAlign w:val="center"/>
                </w:tcPr>
                <w:p w14:paraId="694EE20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nil"/>
                    <w:left w:val="nil"/>
                    <w:bottom w:val="single" w:color="000000" w:sz="4" w:space="0"/>
                    <w:right w:val="single" w:color="000000" w:sz="4" w:space="0"/>
                  </w:tcBorders>
                  <w:noWrap/>
                  <w:vAlign w:val="center"/>
                </w:tcPr>
                <w:p w14:paraId="127B5F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085802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721CED0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B29AD38">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七、其他收入</w:t>
                  </w:r>
                </w:p>
              </w:tc>
              <w:tc>
                <w:tcPr>
                  <w:tcW w:w="1053" w:type="pct"/>
                  <w:tcBorders>
                    <w:top w:val="nil"/>
                    <w:left w:val="nil"/>
                    <w:bottom w:val="single" w:color="000000" w:sz="4" w:space="0"/>
                    <w:right w:val="single" w:color="000000" w:sz="4" w:space="0"/>
                  </w:tcBorders>
                  <w:noWrap/>
                  <w:vAlign w:val="center"/>
                </w:tcPr>
                <w:p w14:paraId="226046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850.00</w:t>
                  </w:r>
                </w:p>
              </w:tc>
              <w:tc>
                <w:tcPr>
                  <w:tcW w:w="1655" w:type="pct"/>
                  <w:tcBorders>
                    <w:top w:val="nil"/>
                    <w:left w:val="nil"/>
                    <w:bottom w:val="single" w:color="000000" w:sz="4" w:space="0"/>
                    <w:right w:val="single" w:color="000000" w:sz="4" w:space="0"/>
                  </w:tcBorders>
                  <w:noWrap/>
                  <w:vAlign w:val="center"/>
                </w:tcPr>
                <w:p w14:paraId="072DDBC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20B365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CDAF8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AC563F6">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612424F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D0565A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365A5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CD5CFC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B37691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1053" w:type="pct"/>
                  <w:tcBorders>
                    <w:top w:val="nil"/>
                    <w:left w:val="nil"/>
                    <w:bottom w:val="single" w:color="000000" w:sz="4" w:space="0"/>
                    <w:right w:val="single" w:color="000000" w:sz="4" w:space="0"/>
                  </w:tcBorders>
                  <w:vAlign w:val="center"/>
                </w:tcPr>
                <w:p w14:paraId="27D05D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4454E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60DAAD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2BD228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2A1A8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5412F3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2E6A78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791BB6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27C40CB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518B2D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107B43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D349F7A">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597AB6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5A21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DB7616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627A934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30F429B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71A88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4C67F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50BEBB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DA9F9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365021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0B61853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F87EB8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4722F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D389A6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C0AD11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530C48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09ACB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B5C8EB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7E62F4A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216619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369F776">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AB9CA3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A810EF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62705B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15F44C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F1EFF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BB867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F067C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5D8935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15B527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C99B72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C63677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1FAD5F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952DF6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08081B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7F8FABF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E7D165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7035845">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5DD36CF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746A7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631C0F7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175968DC">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C0B2FA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2D5757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42264C1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C734F6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61B92E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BC59C4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3026B53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8CAC3A2">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4176A55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CA8B4B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103486D">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2E0DFA0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211FEF3F">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BED5B38">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4D507E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C33862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418417B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778A554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1879C21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3EC41C6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6014AB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022B4FB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5BB742F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17DC26B">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02CED1A5">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0D4928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B6A92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1A8E0CE">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3F09134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69B8C00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E522949">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p>
              </w:tc>
              <w:tc>
                <w:tcPr>
                  <w:tcW w:w="1053" w:type="pct"/>
                  <w:tcBorders>
                    <w:top w:val="nil"/>
                    <w:left w:val="nil"/>
                    <w:bottom w:val="single" w:color="000000" w:sz="4" w:space="0"/>
                    <w:right w:val="single" w:color="000000" w:sz="4" w:space="0"/>
                  </w:tcBorders>
                  <w:vAlign w:val="center"/>
                </w:tcPr>
                <w:p w14:paraId="1C0A5BC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1655" w:type="pct"/>
                  <w:tcBorders>
                    <w:top w:val="nil"/>
                    <w:left w:val="nil"/>
                    <w:bottom w:val="single" w:color="000000" w:sz="4" w:space="0"/>
                    <w:right w:val="single" w:color="000000" w:sz="4" w:space="0"/>
                  </w:tcBorders>
                  <w:noWrap/>
                  <w:vAlign w:val="center"/>
                </w:tcPr>
                <w:p w14:paraId="6C4EB32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c>
                <w:tcPr>
                  <w:tcW w:w="829" w:type="pct"/>
                  <w:tcBorders>
                    <w:top w:val="nil"/>
                    <w:left w:val="nil"/>
                    <w:bottom w:val="single" w:color="000000" w:sz="4" w:space="0"/>
                    <w:right w:val="single" w:color="000000" w:sz="4" w:space="0"/>
                  </w:tcBorders>
                  <w:noWrap/>
                  <w:vAlign w:val="center"/>
                </w:tcPr>
                <w:p w14:paraId="2DDF4E21">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1AD0CD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6535371E">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本年收入合计</w:t>
                  </w:r>
                </w:p>
              </w:tc>
              <w:tc>
                <w:tcPr>
                  <w:tcW w:w="1053" w:type="pct"/>
                  <w:tcBorders>
                    <w:top w:val="nil"/>
                    <w:left w:val="nil"/>
                    <w:bottom w:val="single" w:color="auto" w:sz="4" w:space="0"/>
                    <w:right w:val="single" w:color="000000" w:sz="4" w:space="0"/>
                  </w:tcBorders>
                  <w:vAlign w:val="center"/>
                </w:tcPr>
                <w:p w14:paraId="42777DED">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3,219.00</w:t>
                  </w:r>
                </w:p>
              </w:tc>
              <w:tc>
                <w:tcPr>
                  <w:tcW w:w="1655" w:type="pct"/>
                  <w:tcBorders>
                    <w:top w:val="nil"/>
                    <w:left w:val="nil"/>
                    <w:bottom w:val="single" w:color="auto" w:sz="4" w:space="0"/>
                    <w:right w:val="single" w:color="000000" w:sz="4" w:space="0"/>
                  </w:tcBorders>
                  <w:noWrap/>
                  <w:vAlign w:val="center"/>
                </w:tcPr>
                <w:p w14:paraId="36B868BC">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本年支出合计</w:t>
                  </w:r>
                </w:p>
              </w:tc>
              <w:tc>
                <w:tcPr>
                  <w:tcW w:w="829" w:type="pct"/>
                  <w:tcBorders>
                    <w:top w:val="nil"/>
                    <w:left w:val="nil"/>
                    <w:bottom w:val="single" w:color="auto" w:sz="4" w:space="0"/>
                    <w:right w:val="single" w:color="000000" w:sz="4" w:space="0"/>
                  </w:tcBorders>
                  <w:noWrap/>
                  <w:vAlign w:val="bottom"/>
                </w:tcPr>
                <w:p w14:paraId="5178AE04">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3,266.50</w:t>
                  </w:r>
                </w:p>
              </w:tc>
            </w:tr>
            <w:tr w14:paraId="12F1D85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4BD01230">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50DEC9E5">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7046EDBB">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2619B910">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0.00</w:t>
                  </w:r>
                </w:p>
              </w:tc>
            </w:tr>
            <w:tr w14:paraId="01587754">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6DC9EB13">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79B6F5D9">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47.50</w:t>
                  </w:r>
                </w:p>
              </w:tc>
              <w:tc>
                <w:tcPr>
                  <w:tcW w:w="1655" w:type="pct"/>
                  <w:tcBorders>
                    <w:top w:val="single" w:color="auto" w:sz="4" w:space="0"/>
                    <w:left w:val="nil"/>
                    <w:bottom w:val="single" w:color="auto" w:sz="4" w:space="0"/>
                    <w:right w:val="single" w:color="000000" w:sz="4" w:space="0"/>
                  </w:tcBorders>
                  <w:noWrap/>
                  <w:vAlign w:val="bottom"/>
                </w:tcPr>
                <w:p w14:paraId="698C2272">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　</w:t>
                  </w:r>
                </w:p>
              </w:tc>
              <w:tc>
                <w:tcPr>
                  <w:tcW w:w="829" w:type="pct"/>
                  <w:tcBorders>
                    <w:top w:val="single" w:color="auto" w:sz="4" w:space="0"/>
                    <w:left w:val="nil"/>
                    <w:bottom w:val="single" w:color="auto" w:sz="4" w:space="0"/>
                    <w:right w:val="single" w:color="000000" w:sz="4" w:space="0"/>
                  </w:tcBorders>
                  <w:vAlign w:val="center"/>
                </w:tcPr>
                <w:p w14:paraId="22B53967">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p>
              </w:tc>
            </w:tr>
            <w:tr w14:paraId="40662C47">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1626F23F">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B2A2DDC">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3,266.50</w:t>
                  </w:r>
                </w:p>
              </w:tc>
              <w:tc>
                <w:tcPr>
                  <w:tcW w:w="1655" w:type="pct"/>
                  <w:tcBorders>
                    <w:top w:val="single" w:color="auto" w:sz="4" w:space="0"/>
                    <w:left w:val="single" w:color="auto" w:sz="4" w:space="0"/>
                    <w:bottom w:val="single" w:color="auto" w:sz="4" w:space="0"/>
                    <w:right w:val="single" w:color="auto" w:sz="4" w:space="0"/>
                  </w:tcBorders>
                  <w:noWrap/>
                  <w:vAlign w:val="center"/>
                </w:tcPr>
                <w:p w14:paraId="44681814">
                  <w:pPr>
                    <w:widowControl/>
                    <w:snapToGrid w:val="0"/>
                    <w:jc w:val="left"/>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6B9403D3">
                  <w:pPr>
                    <w:widowControl/>
                    <w:snapToGrid w:val="0"/>
                    <w:jc w:val="center"/>
                    <w:textAlignment w:val="center"/>
                    <w:rPr>
                      <w:rFonts w:hint="eastAsia" w:asciiTheme="minorEastAsia" w:hAnsiTheme="minorEastAsia" w:eastAsia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3,266.50</w:t>
                  </w:r>
                </w:p>
              </w:tc>
            </w:tr>
          </w:tbl>
          <w:p w14:paraId="58146404">
            <w:pPr>
              <w:widowControl/>
              <w:jc w:val="center"/>
              <w:rPr>
                <w:rFonts w:hint="eastAsia" w:asciiTheme="minorEastAsia" w:hAnsiTheme="minorEastAsia" w:cstheme="minorEastAsia"/>
                <w:color w:val="000000"/>
                <w:sz w:val="18"/>
                <w:szCs w:val="18"/>
                <w:lang w:val="en-US" w:eastAsia="zh-CN"/>
              </w:rPr>
            </w:pPr>
          </w:p>
          <w:p w14:paraId="217205F8">
            <w:pPr>
              <w:widowControl/>
              <w:jc w:val="center"/>
              <w:rPr>
                <w:rFonts w:hint="eastAsia" w:asciiTheme="minorEastAsia" w:hAnsiTheme="minorEastAsia" w:cstheme="minorEastAsia"/>
                <w:color w:val="000000"/>
                <w:sz w:val="18"/>
                <w:szCs w:val="18"/>
                <w:lang w:val="en-US" w:eastAsia="zh-CN"/>
              </w:rPr>
            </w:pPr>
          </w:p>
          <w:p w14:paraId="69425610">
            <w:pPr>
              <w:widowControl/>
              <w:jc w:val="center"/>
              <w:rPr>
                <w:rFonts w:hint="eastAsia" w:asciiTheme="minorEastAsia" w:hAnsiTheme="minorEastAsia" w:cstheme="minorEastAsia"/>
                <w:color w:val="000000"/>
                <w:sz w:val="18"/>
                <w:szCs w:val="18"/>
                <w:lang w:val="en-US" w:eastAsia="zh-CN"/>
              </w:rPr>
            </w:pPr>
          </w:p>
          <w:p w14:paraId="29689550">
            <w:pPr>
              <w:widowControl/>
              <w:jc w:val="center"/>
              <w:rPr>
                <w:rFonts w:hint="eastAsia" w:asciiTheme="minorEastAsia" w:hAnsiTheme="minorEastAsia" w:cstheme="minorEastAsia"/>
                <w:color w:val="000000"/>
                <w:sz w:val="18"/>
                <w:szCs w:val="18"/>
                <w:lang w:val="en-US" w:eastAsia="zh-CN"/>
              </w:rPr>
            </w:pPr>
          </w:p>
          <w:p w14:paraId="50643419">
            <w:pPr>
              <w:widowControl/>
              <w:jc w:val="center"/>
              <w:rPr>
                <w:rFonts w:hint="eastAsia" w:asciiTheme="minorEastAsia" w:hAnsiTheme="minorEastAsia" w:cstheme="minorEastAsia"/>
                <w:color w:val="000000"/>
                <w:sz w:val="18"/>
                <w:szCs w:val="18"/>
                <w:lang w:val="en-US" w:eastAsia="zh-CN"/>
              </w:rPr>
            </w:pPr>
          </w:p>
          <w:p w14:paraId="322207CD">
            <w:pPr>
              <w:widowControl/>
              <w:jc w:val="center"/>
              <w:rPr>
                <w:rFonts w:hint="eastAsia" w:asciiTheme="minorEastAsia" w:hAnsiTheme="minorEastAsia" w:cstheme="minorEastAsia"/>
                <w:color w:val="000000"/>
                <w:sz w:val="18"/>
                <w:szCs w:val="18"/>
                <w:lang w:val="en-US" w:eastAsia="zh-CN"/>
              </w:rPr>
            </w:pPr>
          </w:p>
          <w:p w14:paraId="2F68A379">
            <w:pPr>
              <w:widowControl/>
              <w:jc w:val="center"/>
              <w:rPr>
                <w:rFonts w:hint="eastAsia" w:asciiTheme="minorEastAsia" w:hAnsiTheme="minorEastAsia" w:cstheme="minorEastAsia"/>
                <w:color w:val="000000"/>
                <w:sz w:val="18"/>
                <w:szCs w:val="18"/>
                <w:lang w:val="en-US" w:eastAsia="zh-CN"/>
              </w:rPr>
            </w:pPr>
          </w:p>
          <w:p w14:paraId="42FAFC48">
            <w:pPr>
              <w:widowControl/>
              <w:jc w:val="center"/>
              <w:rPr>
                <w:rFonts w:hint="eastAsia" w:asciiTheme="minorEastAsia" w:hAnsiTheme="minorEastAsia" w:cstheme="minorEastAsia"/>
                <w:color w:val="000000"/>
                <w:sz w:val="18"/>
                <w:szCs w:val="18"/>
                <w:lang w:val="en-US" w:eastAsia="zh-CN"/>
              </w:rPr>
            </w:pPr>
          </w:p>
          <w:p w14:paraId="700F0E11">
            <w:pPr>
              <w:widowControl/>
              <w:jc w:val="center"/>
              <w:rPr>
                <w:rFonts w:hint="eastAsia" w:asciiTheme="minorEastAsia" w:hAnsiTheme="minorEastAsia" w:cstheme="minorEastAsia"/>
                <w:color w:val="000000"/>
                <w:sz w:val="18"/>
                <w:szCs w:val="18"/>
                <w:lang w:val="en-US" w:eastAsia="zh-CN"/>
              </w:rPr>
            </w:pPr>
          </w:p>
          <w:p w14:paraId="014841C1">
            <w:pPr>
              <w:widowControl/>
              <w:jc w:val="center"/>
              <w:rPr>
                <w:rFonts w:hint="eastAsia" w:asciiTheme="minorEastAsia" w:hAnsiTheme="minorEastAsia" w:cstheme="minorEastAsia"/>
                <w:color w:val="000000"/>
                <w:sz w:val="18"/>
                <w:szCs w:val="18"/>
                <w:lang w:val="en-US" w:eastAsia="zh-CN"/>
              </w:rPr>
            </w:pPr>
          </w:p>
          <w:p w14:paraId="43B6136B">
            <w:pPr>
              <w:widowControl/>
              <w:jc w:val="center"/>
              <w:rPr>
                <w:rFonts w:hint="eastAsia" w:asciiTheme="minorEastAsia" w:hAnsiTheme="minorEastAsia" w:cstheme="minorEastAsia"/>
                <w:color w:val="000000"/>
                <w:sz w:val="18"/>
                <w:szCs w:val="18"/>
                <w:lang w:val="en-US" w:eastAsia="zh-CN"/>
              </w:rPr>
            </w:pPr>
          </w:p>
          <w:p w14:paraId="02BB6F6D">
            <w:pPr>
              <w:widowControl/>
              <w:jc w:val="center"/>
              <w:rPr>
                <w:rFonts w:hint="eastAsia" w:asciiTheme="minorEastAsia" w:hAnsiTheme="minorEastAsia" w:cstheme="minorEastAsia"/>
                <w:color w:val="000000"/>
                <w:sz w:val="18"/>
                <w:szCs w:val="18"/>
                <w:lang w:val="en-US" w:eastAsia="zh-CN"/>
              </w:rPr>
            </w:pPr>
          </w:p>
          <w:p w14:paraId="1592A81D">
            <w:pPr>
              <w:widowControl/>
              <w:jc w:val="center"/>
              <w:rPr>
                <w:rFonts w:ascii="宋体" w:hAnsi="宋体" w:eastAsia="宋体" w:cs="Arial"/>
                <w:b/>
                <w:bCs/>
                <w:color w:val="000000"/>
                <w:kern w:val="0"/>
                <w:sz w:val="32"/>
                <w:szCs w:val="32"/>
              </w:rPr>
            </w:pPr>
            <w:r>
              <w:rPr>
                <w:rFonts w:hint="eastAsia" w:asciiTheme="minorEastAsia" w:hAnsiTheme="minorEastAsia" w:cstheme="minorEastAsia"/>
                <w:color w:val="000000"/>
                <w:sz w:val="18"/>
                <w:szCs w:val="18"/>
                <w:lang w:val="en-US" w:eastAsia="zh-CN"/>
              </w:rPr>
              <w:t>单位</w:t>
            </w:r>
            <w:r>
              <w:rPr>
                <w:rFonts w:hint="eastAsia" w:asciiTheme="minorEastAsia" w:hAnsiTheme="minorEastAsia" w:eastAsiaTheme="minorEastAsia" w:cstheme="minorEastAsia"/>
                <w:color w:val="000000"/>
                <w:sz w:val="18"/>
                <w:szCs w:val="18"/>
              </w:rPr>
              <w:t>收入总表</w:t>
            </w:r>
          </w:p>
        </w:tc>
      </w:tr>
      <w:tr w14:paraId="1956EED6">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690AC2B3">
            <w:pPr>
              <w:widowControl/>
              <w:jc w:val="left"/>
              <w:rPr>
                <w:rFonts w:ascii="Times New Roman" w:hAnsi="Times New Roman" w:eastAsia="Times New Roman" w:cs="Times New Roman"/>
                <w:kern w:val="0"/>
                <w:sz w:val="20"/>
                <w:szCs w:val="20"/>
              </w:rPr>
            </w:pPr>
            <w:r>
              <w:rPr>
                <w:rFonts w:hint="eastAsia" w:asciiTheme="minorEastAsia" w:hAnsiTheme="minorEastAsia" w:cstheme="minorEastAsia"/>
                <w:color w:val="000000"/>
                <w:kern w:val="0"/>
                <w:sz w:val="18"/>
                <w:szCs w:val="18"/>
                <w:lang w:eastAsia="zh-CN" w:bidi="ar"/>
              </w:rPr>
              <w:t>填报单位：201105兴国县思源实验小学</w:t>
            </w:r>
          </w:p>
        </w:tc>
        <w:tc>
          <w:tcPr>
            <w:tcW w:w="366" w:type="pct"/>
            <w:tcBorders>
              <w:top w:val="nil"/>
              <w:left w:val="nil"/>
              <w:bottom w:val="single" w:color="auto" w:sz="4" w:space="0"/>
              <w:right w:val="nil"/>
            </w:tcBorders>
            <w:shd w:val="clear" w:color="auto" w:fill="auto"/>
            <w:noWrap/>
            <w:vAlign w:val="bottom"/>
          </w:tcPr>
          <w:p w14:paraId="7FD9E85E">
            <w:pPr>
              <w:widowControl/>
              <w:jc w:val="left"/>
              <w:rPr>
                <w:rFonts w:ascii="Times New Roman" w:hAnsi="Times New Roman" w:eastAsia="Times New Roman" w:cs="Times New Roman"/>
                <w:kern w:val="0"/>
                <w:sz w:val="20"/>
                <w:szCs w:val="20"/>
              </w:rPr>
            </w:pPr>
          </w:p>
        </w:tc>
        <w:tc>
          <w:tcPr>
            <w:tcW w:w="300" w:type="pct"/>
            <w:tcBorders>
              <w:top w:val="nil"/>
              <w:left w:val="nil"/>
              <w:bottom w:val="single" w:color="auto" w:sz="4" w:space="0"/>
              <w:right w:val="nil"/>
            </w:tcBorders>
            <w:shd w:val="clear" w:color="auto" w:fill="auto"/>
            <w:noWrap/>
            <w:vAlign w:val="bottom"/>
          </w:tcPr>
          <w:p w14:paraId="63583FC3">
            <w:pPr>
              <w:widowControl/>
              <w:jc w:val="left"/>
              <w:rPr>
                <w:rFonts w:ascii="Times New Roman" w:hAnsi="Times New Roman" w:eastAsia="Times New Roman" w:cs="Times New Roman"/>
                <w:kern w:val="0"/>
                <w:sz w:val="20"/>
                <w:szCs w:val="20"/>
              </w:rPr>
            </w:pPr>
          </w:p>
        </w:tc>
        <w:tc>
          <w:tcPr>
            <w:tcW w:w="328" w:type="pct"/>
            <w:tcBorders>
              <w:top w:val="nil"/>
              <w:left w:val="nil"/>
              <w:bottom w:val="single" w:color="auto" w:sz="4" w:space="0"/>
              <w:right w:val="nil"/>
            </w:tcBorders>
            <w:shd w:val="clear" w:color="auto" w:fill="auto"/>
            <w:noWrap/>
            <w:vAlign w:val="bottom"/>
          </w:tcPr>
          <w:p w14:paraId="6A070913">
            <w:pPr>
              <w:widowControl/>
              <w:jc w:val="left"/>
              <w:rPr>
                <w:rFonts w:ascii="Times New Roman" w:hAnsi="Times New Roman" w:eastAsia="Times New Roman" w:cs="Times New Roman"/>
                <w:kern w:val="0"/>
                <w:sz w:val="20"/>
                <w:szCs w:val="20"/>
              </w:rPr>
            </w:pPr>
          </w:p>
        </w:tc>
        <w:tc>
          <w:tcPr>
            <w:tcW w:w="290" w:type="pct"/>
            <w:tcBorders>
              <w:top w:val="nil"/>
              <w:left w:val="nil"/>
              <w:bottom w:val="single" w:color="auto" w:sz="4" w:space="0"/>
              <w:right w:val="nil"/>
            </w:tcBorders>
            <w:shd w:val="clear" w:color="auto" w:fill="auto"/>
            <w:noWrap/>
            <w:vAlign w:val="bottom"/>
          </w:tcPr>
          <w:p w14:paraId="722B718C">
            <w:pPr>
              <w:widowControl/>
              <w:jc w:val="left"/>
              <w:rPr>
                <w:rFonts w:ascii="Times New Roman" w:hAnsi="Times New Roman" w:eastAsia="Times New Roman" w:cs="Times New Roman"/>
                <w:kern w:val="0"/>
                <w:sz w:val="20"/>
                <w:szCs w:val="20"/>
              </w:rPr>
            </w:pPr>
          </w:p>
        </w:tc>
        <w:tc>
          <w:tcPr>
            <w:tcW w:w="335" w:type="pct"/>
            <w:tcBorders>
              <w:top w:val="nil"/>
              <w:left w:val="nil"/>
              <w:bottom w:val="single" w:color="auto" w:sz="4" w:space="0"/>
              <w:right w:val="nil"/>
            </w:tcBorders>
            <w:shd w:val="clear" w:color="auto" w:fill="auto"/>
            <w:noWrap/>
            <w:vAlign w:val="bottom"/>
          </w:tcPr>
          <w:p w14:paraId="1E21FB17">
            <w:pPr>
              <w:widowControl/>
              <w:jc w:val="left"/>
              <w:rPr>
                <w:rFonts w:ascii="Times New Roman" w:hAnsi="Times New Roman" w:eastAsia="Times New Roman" w:cs="Times New Roman"/>
                <w:kern w:val="0"/>
                <w:sz w:val="20"/>
                <w:szCs w:val="20"/>
              </w:rPr>
            </w:pPr>
          </w:p>
        </w:tc>
        <w:tc>
          <w:tcPr>
            <w:tcW w:w="319" w:type="pct"/>
            <w:tcBorders>
              <w:top w:val="nil"/>
              <w:left w:val="nil"/>
              <w:bottom w:val="single" w:color="auto" w:sz="4" w:space="0"/>
              <w:right w:val="nil"/>
            </w:tcBorders>
            <w:shd w:val="clear" w:color="auto" w:fill="auto"/>
            <w:noWrap/>
            <w:vAlign w:val="bottom"/>
          </w:tcPr>
          <w:p w14:paraId="0CE9254B">
            <w:pPr>
              <w:widowControl/>
              <w:jc w:val="left"/>
              <w:rPr>
                <w:rFonts w:ascii="Times New Roman" w:hAnsi="Times New Roman" w:eastAsia="Times New Roman" w:cs="Times New Roman"/>
                <w:kern w:val="0"/>
                <w:sz w:val="20"/>
                <w:szCs w:val="20"/>
              </w:rPr>
            </w:pPr>
          </w:p>
        </w:tc>
        <w:tc>
          <w:tcPr>
            <w:tcW w:w="288" w:type="pct"/>
            <w:tcBorders>
              <w:top w:val="nil"/>
              <w:left w:val="nil"/>
              <w:bottom w:val="single" w:color="auto" w:sz="4" w:space="0"/>
              <w:right w:val="nil"/>
            </w:tcBorders>
            <w:shd w:val="clear" w:color="auto" w:fill="auto"/>
            <w:noWrap/>
            <w:vAlign w:val="bottom"/>
          </w:tcPr>
          <w:p w14:paraId="34218E73">
            <w:pPr>
              <w:widowControl/>
              <w:jc w:val="left"/>
              <w:rPr>
                <w:rFonts w:ascii="Times New Roman" w:hAnsi="Times New Roman" w:eastAsia="Times New Roman" w:cs="Times New Roman"/>
                <w:kern w:val="0"/>
                <w:sz w:val="20"/>
                <w:szCs w:val="20"/>
              </w:rPr>
            </w:pPr>
          </w:p>
        </w:tc>
        <w:tc>
          <w:tcPr>
            <w:tcW w:w="219" w:type="pct"/>
            <w:tcBorders>
              <w:top w:val="nil"/>
              <w:left w:val="nil"/>
              <w:bottom w:val="single" w:color="auto" w:sz="4" w:space="0"/>
              <w:right w:val="nil"/>
            </w:tcBorders>
            <w:shd w:val="clear" w:color="auto" w:fill="auto"/>
            <w:noWrap/>
            <w:vAlign w:val="bottom"/>
          </w:tcPr>
          <w:p w14:paraId="02B4DF6C">
            <w:pPr>
              <w:widowControl/>
              <w:jc w:val="left"/>
              <w:rPr>
                <w:rFonts w:ascii="Times New Roman" w:hAnsi="Times New Roman" w:eastAsia="Times New Roman" w:cs="Times New Roman"/>
                <w:kern w:val="0"/>
                <w:sz w:val="20"/>
                <w:szCs w:val="20"/>
              </w:rPr>
            </w:pPr>
          </w:p>
        </w:tc>
        <w:tc>
          <w:tcPr>
            <w:tcW w:w="603" w:type="pct"/>
            <w:gridSpan w:val="2"/>
            <w:tcBorders>
              <w:top w:val="nil"/>
              <w:left w:val="nil"/>
              <w:bottom w:val="single" w:color="auto" w:sz="4" w:space="0"/>
              <w:right w:val="nil"/>
            </w:tcBorders>
            <w:shd w:val="clear" w:color="auto" w:fill="auto"/>
            <w:noWrap/>
            <w:vAlign w:val="bottom"/>
          </w:tcPr>
          <w:p w14:paraId="318A8B3A">
            <w:pPr>
              <w:widowControl/>
              <w:jc w:val="right"/>
              <w:rPr>
                <w:rFonts w:hint="eastAsia" w:ascii="宋体" w:hAnsi="宋体" w:eastAsia="宋体" w:cs="宋体"/>
                <w:color w:val="000000"/>
                <w:kern w:val="0"/>
                <w:sz w:val="18"/>
                <w:szCs w:val="18"/>
                <w:lang w:eastAsia="zh-CN" w:bidi="ar"/>
              </w:rPr>
            </w:pPr>
            <w:r>
              <w:rPr>
                <w:rFonts w:hint="eastAsia" w:asciiTheme="minorEastAsia" w:hAnsiTheme="minorEastAsia" w:cstheme="minorEastAsia"/>
                <w:color w:val="000000"/>
                <w:kern w:val="0"/>
                <w:sz w:val="18"/>
                <w:szCs w:val="18"/>
                <w:lang w:eastAsia="zh-CN" w:bidi="ar"/>
              </w:rPr>
              <w:t>单位：万元</w:t>
            </w:r>
          </w:p>
        </w:tc>
      </w:tr>
      <w:tr w14:paraId="32741F05">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11175168">
            <w:pPr>
              <w:widowControl/>
              <w:snapToGrid w:val="0"/>
              <w:jc w:val="center"/>
              <w:textAlignment w:val="center"/>
              <w:rPr>
                <w:rFonts w:hint="default" w:asciiTheme="minorEastAsia" w:hAnsiTheme="minorEastAsia" w:eastAsiaTheme="minorEastAsia" w:cstheme="minorEastAsia"/>
                <w:color w:val="000000"/>
                <w:kern w:val="0"/>
                <w:sz w:val="13"/>
                <w:szCs w:val="13"/>
                <w:lang w:val="en-US" w:eastAsia="zh-CN" w:bidi="ar"/>
              </w:rPr>
            </w:pPr>
            <w:r>
              <w:rPr>
                <w:rFonts w:hint="eastAsia" w:asciiTheme="minorEastAsia" w:hAnsiTheme="minorEastAsia" w:cstheme="minorEastAsia"/>
                <w:color w:val="000000"/>
                <w:kern w:val="0"/>
                <w:sz w:val="13"/>
                <w:szCs w:val="13"/>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1430469A">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05E1F8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63E9488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DA0F38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8C18479">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F4FDAC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0B74EBD">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72DD2A4">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03A82C3">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86D3BD8">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使用非财政拨款结余</w:t>
            </w:r>
          </w:p>
        </w:tc>
      </w:tr>
      <w:tr w14:paraId="3A1F8829">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4D38110B">
            <w:pPr>
              <w:widowControl/>
              <w:jc w:val="left"/>
              <w:rPr>
                <w:rFonts w:ascii="宋体" w:hAnsi="宋体" w:eastAsia="宋体" w:cs="Arial"/>
                <w:color w:val="000000"/>
                <w:kern w:val="0"/>
                <w:sz w:val="13"/>
                <w:szCs w:val="13"/>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0F115E8F">
            <w:pPr>
              <w:widowControl/>
              <w:jc w:val="left"/>
              <w:rPr>
                <w:rFonts w:ascii="宋体" w:hAnsi="宋体" w:eastAsia="宋体" w:cs="Arial"/>
                <w:color w:val="000000"/>
                <w:kern w:val="0"/>
                <w:sz w:val="13"/>
                <w:szCs w:val="13"/>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02091B18">
            <w:pPr>
              <w:widowControl/>
              <w:jc w:val="left"/>
              <w:rPr>
                <w:rFonts w:ascii="宋体" w:hAnsi="宋体" w:eastAsia="宋体" w:cs="Arial"/>
                <w:color w:val="000000"/>
                <w:kern w:val="0"/>
                <w:sz w:val="13"/>
                <w:szCs w:val="13"/>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3E06628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50254D4F">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eastAsia="zh-CN" w:bidi="ar"/>
              </w:rPr>
              <w:t>一般公共预算财政拨款</w:t>
            </w:r>
            <w:r>
              <w:rPr>
                <w:rFonts w:hint="eastAsia" w:asciiTheme="minorEastAsia" w:hAnsiTheme="minorEastAsia" w:cstheme="minorEastAsia"/>
                <w:color w:val="000000"/>
                <w:kern w:val="0"/>
                <w:sz w:val="13"/>
                <w:szCs w:val="13"/>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58136B36">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16ADFD6C">
            <w:pPr>
              <w:widowControl/>
              <w:snapToGrid w:val="0"/>
              <w:jc w:val="center"/>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3"/>
                <w:szCs w:val="13"/>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339398F4">
            <w:pPr>
              <w:widowControl/>
              <w:jc w:val="left"/>
              <w:rPr>
                <w:rFonts w:ascii="宋体" w:hAnsi="宋体" w:eastAsia="宋体" w:cs="Arial"/>
                <w:color w:val="000000"/>
                <w:kern w:val="0"/>
                <w:sz w:val="13"/>
                <w:szCs w:val="13"/>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50AAB299">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6B4A311B">
            <w:pPr>
              <w:widowControl/>
              <w:jc w:val="left"/>
              <w:rPr>
                <w:rFonts w:ascii="宋体" w:hAnsi="宋体" w:eastAsia="宋体" w:cs="Arial"/>
                <w:color w:val="000000"/>
                <w:kern w:val="0"/>
                <w:sz w:val="13"/>
                <w:szCs w:val="13"/>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77B0DF48">
            <w:pPr>
              <w:widowControl/>
              <w:jc w:val="left"/>
              <w:rPr>
                <w:rFonts w:ascii="宋体" w:hAnsi="宋体" w:eastAsia="宋体" w:cs="Arial"/>
                <w:color w:val="000000"/>
                <w:kern w:val="0"/>
                <w:sz w:val="13"/>
                <w:szCs w:val="13"/>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06C37AD8">
            <w:pPr>
              <w:widowControl/>
              <w:jc w:val="left"/>
              <w:rPr>
                <w:rFonts w:ascii="宋体" w:hAnsi="宋体" w:eastAsia="宋体" w:cs="Arial"/>
                <w:color w:val="000000"/>
                <w:kern w:val="0"/>
                <w:sz w:val="13"/>
                <w:szCs w:val="13"/>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2E6AA140">
            <w:pPr>
              <w:widowControl/>
              <w:jc w:val="left"/>
              <w:rPr>
                <w:rFonts w:ascii="宋体" w:hAnsi="宋体" w:eastAsia="宋体" w:cs="Arial"/>
                <w:color w:val="000000"/>
                <w:kern w:val="0"/>
                <w:sz w:val="13"/>
                <w:szCs w:val="13"/>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3878AC13">
            <w:pPr>
              <w:widowControl/>
              <w:jc w:val="left"/>
              <w:rPr>
                <w:rFonts w:ascii="宋体" w:hAnsi="宋体" w:eastAsia="宋体" w:cs="Arial"/>
                <w:color w:val="000000"/>
                <w:kern w:val="0"/>
                <w:sz w:val="13"/>
                <w:szCs w:val="13"/>
              </w:rPr>
            </w:pPr>
          </w:p>
        </w:tc>
      </w:tr>
      <w:tr w14:paraId="71E9E7AA">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8373C4">
            <w:pPr>
              <w:widowControl/>
              <w:jc w:val="center"/>
              <w:rPr>
                <w:rFonts w:hint="eastAsia" w:ascii="宋体" w:hAnsi="宋体" w:eastAsia="宋体" w:cs="Arial"/>
                <w:color w:val="000000"/>
                <w:kern w:val="0"/>
                <w:sz w:val="13"/>
                <w:szCs w:val="13"/>
              </w:rPr>
            </w:pPr>
            <w:bookmarkStart w:id="0" w:name="_GoBack"/>
            <w:r>
              <w:rPr>
                <w:rFonts w:hint="eastAsia" w:ascii="宋体" w:hAnsi="宋体" w:eastAsia="宋体" w:cs="Arial"/>
                <w:color w:val="000000"/>
                <w:kern w:val="0"/>
                <w:sz w:val="13"/>
                <w:szCs w:val="13"/>
              </w:rPr>
              <w:t>*</w:t>
            </w:r>
            <w:bookmarkEnd w:id="0"/>
            <w:r>
              <w:rPr>
                <w:rFonts w:hint="eastAsia" w:ascii="宋体" w:hAnsi="宋体" w:eastAsia="宋体" w:cs="Arial"/>
                <w:color w:val="000000"/>
                <w:kern w:val="0"/>
                <w:sz w:val="13"/>
                <w:szCs w:val="13"/>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88368B6">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BA6EB0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F16B96">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8ACCC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B0FFB79">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20F5821">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22C74F">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7186305">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1C982B2">
            <w:pPr>
              <w:widowControl/>
              <w:jc w:val="center"/>
              <w:rPr>
                <w:rFonts w:hint="eastAsia"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F821D4">
            <w:pPr>
              <w:widowControl/>
              <w:jc w:val="center"/>
              <w:rPr>
                <w:rFonts w:hint="eastAsia" w:ascii="宋体" w:hAnsi="宋体" w:eastAsia="宋体" w:cs="Arial"/>
                <w:color w:val="000000"/>
                <w:kern w:val="0"/>
                <w:sz w:val="13"/>
                <w:szCs w:val="13"/>
              </w:rPr>
            </w:pPr>
            <w:r>
              <w:rPr>
                <w:rFonts w:hint="eastAsia" w:ascii="宋体" w:hAnsi="宋体" w:eastAsia="宋体" w:cs="Arial"/>
                <w:color w:val="000000"/>
                <w:kern w:val="0"/>
                <w:sz w:val="13"/>
                <w:szCs w:val="13"/>
                <w:lang w:val="en-US" w:eastAsia="zh-CN"/>
              </w:rPr>
              <w:t>1</w:t>
            </w:r>
            <w:r>
              <w:rPr>
                <w:rFonts w:hint="eastAsia" w:ascii="宋体" w:hAnsi="宋体" w:eastAsia="宋体" w:cs="Arial"/>
                <w:color w:val="000000"/>
                <w:kern w:val="0"/>
                <w:sz w:val="13"/>
                <w:szCs w:val="13"/>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DC3DF14">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5D643D8">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D51C880">
            <w:pPr>
              <w:widowControl/>
              <w:jc w:val="center"/>
              <w:rPr>
                <w:rFonts w:hint="default" w:ascii="宋体" w:hAnsi="宋体" w:eastAsia="宋体" w:cs="Arial"/>
                <w:color w:val="000000"/>
                <w:kern w:val="0"/>
                <w:sz w:val="13"/>
                <w:szCs w:val="13"/>
                <w:lang w:val="en-US" w:eastAsia="zh-CN"/>
              </w:rPr>
            </w:pPr>
            <w:r>
              <w:rPr>
                <w:rFonts w:hint="eastAsia" w:ascii="宋体" w:hAnsi="宋体" w:eastAsia="宋体" w:cs="Arial"/>
                <w:color w:val="000000"/>
                <w:kern w:val="0"/>
                <w:sz w:val="13"/>
                <w:szCs w:val="13"/>
                <w:lang w:val="en-US" w:eastAsia="zh-CN"/>
              </w:rPr>
              <w:t>13</w:t>
            </w:r>
          </w:p>
        </w:tc>
      </w:tr>
      <w:tr w14:paraId="01A868D8">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F023933">
            <w:pPr>
              <w:widowControl/>
              <w:jc w:val="lef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兴国县思源实验小学</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B39CC4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3,266.50</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C1DA7D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47.50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A24B4B4">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2,369.00</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C6BB5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2,369.00</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3BA870F">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AF20D7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9EFC788">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FF07067">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7654C00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672A149">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300973">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391AF45">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850.00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240EE5E0">
            <w:pPr>
              <w:widowControl/>
              <w:jc w:val="right"/>
              <w:rPr>
                <w:rFonts w:hint="eastAsia" w:ascii="宋体" w:hAnsi="宋体" w:eastAsia="宋体" w:cs="Arial"/>
                <w:color w:val="000000"/>
                <w:kern w:val="0"/>
                <w:sz w:val="13"/>
                <w:szCs w:val="13"/>
              </w:rPr>
            </w:pPr>
            <w:r>
              <w:rPr>
                <w:rFonts w:hint="eastAsia" w:ascii="宋体" w:hAnsi="宋体" w:eastAsia="宋体" w:cs="Arial"/>
                <w:b w:val="0"/>
                <w:color w:val="000000"/>
                <w:kern w:val="0"/>
                <w:sz w:val="13"/>
                <w:szCs w:val="13"/>
              </w:rPr>
              <w:t>0.00</w:t>
            </w:r>
          </w:p>
        </w:tc>
      </w:tr>
    </w:tbl>
    <w:p w14:paraId="10C0ABE0">
      <w:pPr>
        <w:widowControl/>
        <w:jc w:val="left"/>
        <w:rPr>
          <w:rStyle w:val="13"/>
          <w:rFonts w:ascii="仿宋" w:hAnsi="仿宋" w:eastAsia="仿宋"/>
          <w:bCs/>
          <w:sz w:val="32"/>
          <w:szCs w:val="32"/>
        </w:rPr>
        <w:sectPr>
          <w:headerReference r:id="rId4" w:type="default"/>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7F5C54F6">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14868783">
            <w:pPr>
              <w:widowControl/>
              <w:jc w:val="center"/>
              <w:rPr>
                <w:rFonts w:ascii="宋体" w:hAnsi="宋体" w:eastAsia="宋体" w:cs="Arial"/>
                <w:b/>
                <w:bCs/>
                <w:color w:val="000000"/>
                <w:kern w:val="0"/>
                <w:sz w:val="44"/>
                <w:szCs w:val="44"/>
              </w:rPr>
            </w:pPr>
            <w:r>
              <w:rPr>
                <w:rFonts w:hint="eastAsia" w:asciiTheme="minorEastAsia" w:hAnsiTheme="minorEastAsia" w:cstheme="minorEastAsia"/>
                <w:b/>
                <w:bCs/>
                <w:color w:val="000000"/>
                <w:kern w:val="0"/>
                <w:sz w:val="24"/>
                <w:szCs w:val="24"/>
                <w:lang w:val="en-US" w:eastAsia="zh-CN" w:bidi="ar"/>
              </w:rPr>
              <w:t>单位</w:t>
            </w:r>
            <w:r>
              <w:rPr>
                <w:rFonts w:hint="eastAsia" w:asciiTheme="minorEastAsia" w:hAnsiTheme="minorEastAsia" w:eastAsiaTheme="minorEastAsia" w:cstheme="minorEastAsia"/>
                <w:b/>
                <w:bCs/>
                <w:color w:val="000000"/>
                <w:kern w:val="0"/>
                <w:sz w:val="24"/>
                <w:szCs w:val="24"/>
                <w:lang w:bidi="ar"/>
              </w:rPr>
              <w:t>支出总表</w:t>
            </w:r>
          </w:p>
        </w:tc>
      </w:tr>
      <w:tr w14:paraId="0A2E43B8">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378DFD87">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：201105兴国县思源实验小学</w:t>
            </w:r>
          </w:p>
        </w:tc>
        <w:tc>
          <w:tcPr>
            <w:tcW w:w="914" w:type="pct"/>
            <w:tcBorders>
              <w:top w:val="nil"/>
              <w:left w:val="nil"/>
              <w:bottom w:val="nil"/>
              <w:right w:val="nil"/>
            </w:tcBorders>
            <w:shd w:val="clear" w:color="auto" w:fill="auto"/>
            <w:noWrap/>
            <w:vAlign w:val="bottom"/>
          </w:tcPr>
          <w:p w14:paraId="6787349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45" w:type="pct"/>
            <w:tcBorders>
              <w:top w:val="nil"/>
              <w:left w:val="nil"/>
              <w:bottom w:val="nil"/>
              <w:right w:val="nil"/>
            </w:tcBorders>
            <w:shd w:val="clear" w:color="auto" w:fill="auto"/>
            <w:noWrap/>
            <w:vAlign w:val="bottom"/>
          </w:tcPr>
          <w:p w14:paraId="23491B9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705" w:type="pct"/>
            <w:tcBorders>
              <w:top w:val="nil"/>
              <w:left w:val="nil"/>
              <w:bottom w:val="nil"/>
              <w:right w:val="nil"/>
            </w:tcBorders>
            <w:shd w:val="clear" w:color="auto" w:fill="auto"/>
            <w:noWrap/>
            <w:vAlign w:val="bottom"/>
          </w:tcPr>
          <w:p w14:paraId="30715BCF">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1CE09DF3">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7BDB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054C28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19A7FCA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D111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77ACFAB0">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150534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6A9C3F8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914" w:type="pct"/>
            <w:vMerge w:val="continue"/>
            <w:tcBorders>
              <w:top w:val="single" w:color="000000" w:sz="4" w:space="0"/>
              <w:left w:val="single" w:color="000000" w:sz="4" w:space="0"/>
              <w:bottom w:val="single" w:color="000000" w:sz="4" w:space="0"/>
              <w:right w:val="nil"/>
            </w:tcBorders>
            <w:vAlign w:val="center"/>
          </w:tcPr>
          <w:p w14:paraId="64F061E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5EBBD1BF">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355125B8">
            <w:pPr>
              <w:widowControl/>
              <w:snapToGrid w:val="0"/>
              <w:jc w:val="center"/>
              <w:textAlignment w:val="center"/>
              <w:rPr>
                <w:rFonts w:hint="eastAsia" w:asciiTheme="minorEastAsia" w:hAnsiTheme="minorEastAsia" w:cstheme="minorEastAsia"/>
                <w:color w:val="000000"/>
                <w:kern w:val="0"/>
                <w:sz w:val="18"/>
                <w:szCs w:val="18"/>
                <w:lang w:bidi="ar"/>
              </w:rPr>
            </w:pPr>
          </w:p>
        </w:tc>
      </w:tr>
      <w:tr w14:paraId="7852058E">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57049B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816" w:type="pct"/>
            <w:tcBorders>
              <w:top w:val="nil"/>
              <w:left w:val="nil"/>
              <w:bottom w:val="nil"/>
              <w:right w:val="single" w:color="000000" w:sz="4" w:space="0"/>
            </w:tcBorders>
            <w:shd w:val="clear" w:color="auto" w:fill="auto"/>
            <w:noWrap/>
            <w:vAlign w:val="center"/>
          </w:tcPr>
          <w:p w14:paraId="68989D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914" w:type="pct"/>
            <w:tcBorders>
              <w:top w:val="nil"/>
              <w:left w:val="nil"/>
              <w:bottom w:val="nil"/>
              <w:right w:val="single" w:color="000000" w:sz="4" w:space="0"/>
            </w:tcBorders>
            <w:shd w:val="clear" w:color="auto" w:fill="auto"/>
            <w:noWrap/>
            <w:vAlign w:val="center"/>
          </w:tcPr>
          <w:p w14:paraId="281FE5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45" w:type="pct"/>
            <w:tcBorders>
              <w:top w:val="nil"/>
              <w:left w:val="nil"/>
              <w:bottom w:val="nil"/>
              <w:right w:val="single" w:color="000000" w:sz="4" w:space="0"/>
            </w:tcBorders>
            <w:shd w:val="clear" w:color="auto" w:fill="auto"/>
            <w:noWrap/>
            <w:vAlign w:val="center"/>
          </w:tcPr>
          <w:p w14:paraId="2D8B5034">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705" w:type="pct"/>
            <w:tcBorders>
              <w:top w:val="nil"/>
              <w:left w:val="nil"/>
              <w:bottom w:val="nil"/>
              <w:right w:val="single" w:color="000000" w:sz="4" w:space="0"/>
            </w:tcBorders>
            <w:shd w:val="clear" w:color="auto" w:fill="auto"/>
            <w:noWrap/>
            <w:vAlign w:val="center"/>
          </w:tcPr>
          <w:p w14:paraId="3C566C2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447D468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A59828">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274E9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D1459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3,266.50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E22C4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2,146.64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A4FFB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1,119.86</w:t>
            </w:r>
          </w:p>
        </w:tc>
      </w:tr>
      <w:tr w14:paraId="570D8EE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4FAB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8640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57E8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BAAF0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1,739.01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6E3F9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269.86</w:t>
            </w:r>
          </w:p>
        </w:tc>
      </w:tr>
      <w:tr w14:paraId="15FDE8D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50D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6F98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99036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2,008.87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E988F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1,739.01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80DB4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269.86</w:t>
            </w:r>
          </w:p>
        </w:tc>
      </w:tr>
      <w:tr w14:paraId="4C75DDB3">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38FA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67D75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小学教育</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DB3D7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2,008.87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5D64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1,739.01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5FCC7F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269.86</w:t>
            </w:r>
          </w:p>
        </w:tc>
      </w:tr>
      <w:tr w14:paraId="625A484B">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0ABA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18916A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937F1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8B894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248.44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ED861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AB5A8F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BBBB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34AAF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4B982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578F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7E8115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E15B31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FCEF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8E4E7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6933F9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235.83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893310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235.83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50230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84E64D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3648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42D1E18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9B3D5A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A1699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DC380E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512F2E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4BEC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BBECB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05CCAC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D287EE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D0603E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59129D5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BFF1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9C669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30564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FF4A7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B5D70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2E37617C">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E9C7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C62879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E939EF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4DF64B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4E6D14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3BD3AB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6F43B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989D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4968E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26C3F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C96F4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3325A1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A9CFD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257AF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1B7F7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58.96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067AC6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58.96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950009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B608F6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C054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6DF5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156D8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9FB68A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0E814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850.00</w:t>
            </w:r>
          </w:p>
        </w:tc>
      </w:tr>
      <w:tr w14:paraId="0ED4899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55034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DDBE6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105E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BC6B1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4CBC7E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850.00</w:t>
            </w:r>
          </w:p>
        </w:tc>
      </w:tr>
      <w:tr w14:paraId="633F8C9A">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A145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2299999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C636B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9F5646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850.00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44169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43916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850.00</w:t>
            </w:r>
          </w:p>
        </w:tc>
      </w:tr>
    </w:tbl>
    <w:p w14:paraId="17CE3EB8">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14B07B9F">
        <w:tblPrEx>
          <w:tblCellMar>
            <w:top w:w="0" w:type="dxa"/>
            <w:left w:w="108" w:type="dxa"/>
            <w:bottom w:w="0" w:type="dxa"/>
            <w:right w:w="108" w:type="dxa"/>
          </w:tblCellMar>
        </w:tblPrEx>
        <w:trPr>
          <w:trHeight w:val="585" w:hRule="atLeast"/>
          <w:tblHeader/>
        </w:trPr>
        <w:tc>
          <w:tcPr>
            <w:tcW w:w="5000" w:type="pct"/>
            <w:gridSpan w:val="7"/>
            <w:noWrap/>
            <w:vAlign w:val="center"/>
          </w:tcPr>
          <w:p w14:paraId="518B57E4">
            <w:pPr>
              <w:widowControl/>
              <w:jc w:val="center"/>
              <w:rPr>
                <w:rFonts w:hint="eastAsia" w:ascii="宋体" w:hAnsi="宋体" w:eastAsia="宋体" w:cs="Arial"/>
                <w:b/>
                <w:bCs/>
                <w:color w:val="000000"/>
                <w:kern w:val="0"/>
                <w:sz w:val="40"/>
                <w:szCs w:val="40"/>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财政拨款收支总表</w:t>
            </w:r>
          </w:p>
        </w:tc>
      </w:tr>
      <w:tr w14:paraId="72E0963D">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44423283">
            <w:pPr>
              <w:widowControl/>
              <w:snapToGrid w:val="0"/>
              <w:jc w:val="lef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填报单位</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201105兴国县思源实验小学</w:t>
            </w:r>
          </w:p>
        </w:tc>
        <w:tc>
          <w:tcPr>
            <w:tcW w:w="577" w:type="pct"/>
            <w:noWrap/>
            <w:vAlign w:val="bottom"/>
          </w:tcPr>
          <w:p w14:paraId="3F9CE7A4">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12" w:type="pct"/>
            <w:noWrap/>
            <w:vAlign w:val="bottom"/>
          </w:tcPr>
          <w:p w14:paraId="7679DF06">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1235" w:type="pct"/>
            <w:gridSpan w:val="2"/>
            <w:noWrap/>
            <w:vAlign w:val="center"/>
          </w:tcPr>
          <w:p w14:paraId="4438FBEE">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21"/>
                <w:szCs w:val="21"/>
                <w:lang w:bidi="ar"/>
              </w:rPr>
              <w:t>单位：万元</w:t>
            </w:r>
          </w:p>
        </w:tc>
      </w:tr>
      <w:tr w14:paraId="294D36A0">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2A9A504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收      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6FA636E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eastAsiaTheme="minorEastAsia" w:cstheme="minorEastAsia"/>
                <w:color w:val="000000"/>
                <w:kern w:val="0"/>
                <w:sz w:val="21"/>
                <w:szCs w:val="21"/>
                <w:lang w:bidi="ar"/>
              </w:rPr>
              <w:t>支</w:t>
            </w:r>
            <w:r>
              <w:rPr>
                <w:rFonts w:hint="eastAsia" w:asciiTheme="minorEastAsia" w:hAnsi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bidi="ar"/>
              </w:rPr>
              <w:t xml:space="preserve">出 </w:t>
            </w:r>
          </w:p>
        </w:tc>
      </w:tr>
      <w:tr w14:paraId="1B638B3D">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0CB8C15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p>
        </w:tc>
        <w:tc>
          <w:tcPr>
            <w:tcW w:w="657" w:type="pct"/>
            <w:tcBorders>
              <w:top w:val="nil"/>
              <w:left w:val="nil"/>
              <w:bottom w:val="nil"/>
              <w:right w:val="single" w:color="000000" w:sz="4" w:space="0"/>
            </w:tcBorders>
            <w:noWrap/>
            <w:vAlign w:val="center"/>
          </w:tcPr>
          <w:p w14:paraId="04C4B72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预算数</w:t>
            </w:r>
          </w:p>
        </w:tc>
        <w:tc>
          <w:tcPr>
            <w:tcW w:w="948" w:type="pct"/>
            <w:tcBorders>
              <w:top w:val="nil"/>
              <w:left w:val="nil"/>
              <w:bottom w:val="single" w:color="000000" w:sz="4" w:space="0"/>
              <w:right w:val="single" w:color="000000" w:sz="4" w:space="0"/>
            </w:tcBorders>
            <w:noWrap/>
            <w:vAlign w:val="center"/>
          </w:tcPr>
          <w:p w14:paraId="53A847F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项目</w:t>
            </w:r>
            <w:r>
              <w:rPr>
                <w:rFonts w:hint="eastAsia" w:asciiTheme="minorEastAsia" w:hAnsiTheme="minorEastAsia" w:cstheme="minorEastAsia"/>
                <w:color w:val="000000"/>
                <w:kern w:val="0"/>
                <w:sz w:val="21"/>
                <w:szCs w:val="21"/>
                <w:lang w:eastAsia="zh-CN" w:bidi="ar"/>
              </w:rPr>
              <w:t>（</w:t>
            </w:r>
            <w:r>
              <w:rPr>
                <w:rFonts w:hint="eastAsia" w:asciiTheme="minorEastAsia" w:hAnsiTheme="minorEastAsia" w:cstheme="minorEastAsia"/>
                <w:color w:val="000000"/>
                <w:kern w:val="0"/>
                <w:sz w:val="21"/>
                <w:szCs w:val="21"/>
                <w:lang w:bidi="ar"/>
              </w:rPr>
              <w:t>按功能科目</w:t>
            </w:r>
            <w:r>
              <w:rPr>
                <w:rFonts w:hint="eastAsia" w:asciiTheme="minorEastAsia" w:hAnsiTheme="minorEastAsia" w:cstheme="minorEastAsia"/>
                <w:color w:val="000000"/>
                <w:kern w:val="0"/>
                <w:sz w:val="21"/>
                <w:szCs w:val="21"/>
                <w:lang w:eastAsia="zh-CN" w:bidi="ar"/>
              </w:rPr>
              <w:t>）</w:t>
            </w:r>
          </w:p>
        </w:tc>
        <w:tc>
          <w:tcPr>
            <w:tcW w:w="577" w:type="pct"/>
            <w:tcBorders>
              <w:top w:val="nil"/>
              <w:left w:val="nil"/>
              <w:bottom w:val="single" w:color="000000" w:sz="4" w:space="0"/>
              <w:right w:val="single" w:color="000000" w:sz="4" w:space="0"/>
            </w:tcBorders>
            <w:noWrap/>
            <w:vAlign w:val="center"/>
          </w:tcPr>
          <w:p w14:paraId="2BB589D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合计</w:t>
            </w:r>
          </w:p>
        </w:tc>
        <w:tc>
          <w:tcPr>
            <w:tcW w:w="612" w:type="pct"/>
            <w:tcBorders>
              <w:top w:val="nil"/>
              <w:left w:val="nil"/>
              <w:bottom w:val="single" w:color="000000" w:sz="4" w:space="0"/>
              <w:right w:val="single" w:color="000000" w:sz="4" w:space="0"/>
            </w:tcBorders>
            <w:noWrap/>
            <w:vAlign w:val="center"/>
          </w:tcPr>
          <w:p w14:paraId="1F98C6F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一般公共预算支出</w:t>
            </w:r>
          </w:p>
        </w:tc>
        <w:tc>
          <w:tcPr>
            <w:tcW w:w="602" w:type="pct"/>
            <w:tcBorders>
              <w:top w:val="nil"/>
              <w:left w:val="nil"/>
              <w:bottom w:val="single" w:color="000000" w:sz="4" w:space="0"/>
              <w:right w:val="single" w:color="000000" w:sz="4" w:space="0"/>
            </w:tcBorders>
            <w:noWrap/>
            <w:vAlign w:val="center"/>
          </w:tcPr>
          <w:p w14:paraId="35FF9540">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政府性基金预算支出</w:t>
            </w:r>
          </w:p>
        </w:tc>
        <w:tc>
          <w:tcPr>
            <w:tcW w:w="632" w:type="pct"/>
            <w:tcBorders>
              <w:top w:val="nil"/>
              <w:left w:val="nil"/>
              <w:bottom w:val="single" w:color="000000" w:sz="4" w:space="0"/>
              <w:right w:val="single" w:color="000000" w:sz="4" w:space="0"/>
            </w:tcBorders>
            <w:noWrap/>
            <w:vAlign w:val="center"/>
          </w:tcPr>
          <w:p w14:paraId="785221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国有资本经营预算支出</w:t>
            </w:r>
          </w:p>
        </w:tc>
      </w:tr>
      <w:tr w14:paraId="33FA26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C9B6C89">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一、</w:t>
            </w:r>
            <w:r>
              <w:rPr>
                <w:rFonts w:hint="eastAsia" w:asciiTheme="minorEastAsia" w:hAnsiTheme="minorEastAsia" w:cstheme="minorEastAsia"/>
                <w:color w:val="000000"/>
                <w:kern w:val="0"/>
                <w:sz w:val="21"/>
                <w:szCs w:val="21"/>
                <w:lang w:val="en-US" w:eastAsia="zh-CN" w:bidi="ar"/>
              </w:rPr>
              <w:t>本年</w:t>
            </w:r>
            <w:r>
              <w:rPr>
                <w:rFonts w:hint="eastAsia" w:asciiTheme="minorEastAsia" w:hAnsiTheme="minorEastAsia" w:cstheme="minorEastAsia"/>
                <w:color w:val="000000"/>
                <w:kern w:val="0"/>
                <w:sz w:val="21"/>
                <w:szCs w:val="21"/>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0BC6B65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2,369.00</w:t>
            </w:r>
          </w:p>
        </w:tc>
        <w:tc>
          <w:tcPr>
            <w:tcW w:w="948" w:type="pct"/>
            <w:tcBorders>
              <w:top w:val="nil"/>
              <w:left w:val="nil"/>
              <w:bottom w:val="single" w:color="000000" w:sz="4" w:space="0"/>
              <w:right w:val="single" w:color="000000" w:sz="4" w:space="0"/>
            </w:tcBorders>
            <w:noWrap/>
            <w:vAlign w:val="center"/>
          </w:tcPr>
          <w:p w14:paraId="67B9F50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教育支出</w:t>
            </w:r>
          </w:p>
        </w:tc>
        <w:tc>
          <w:tcPr>
            <w:tcW w:w="577" w:type="pct"/>
            <w:tcBorders>
              <w:top w:val="nil"/>
              <w:left w:val="nil"/>
              <w:bottom w:val="single" w:color="000000" w:sz="4" w:space="0"/>
              <w:right w:val="single" w:color="000000" w:sz="4" w:space="0"/>
            </w:tcBorders>
            <w:noWrap/>
            <w:vAlign w:val="center"/>
          </w:tcPr>
          <w:p w14:paraId="7FCE2B1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2,008.87</w:t>
            </w:r>
          </w:p>
        </w:tc>
        <w:tc>
          <w:tcPr>
            <w:tcW w:w="612" w:type="pct"/>
            <w:tcBorders>
              <w:top w:val="nil"/>
              <w:left w:val="nil"/>
              <w:bottom w:val="single" w:color="000000" w:sz="4" w:space="0"/>
              <w:right w:val="single" w:color="000000" w:sz="4" w:space="0"/>
            </w:tcBorders>
            <w:noWrap/>
            <w:vAlign w:val="center"/>
          </w:tcPr>
          <w:p w14:paraId="14DC83D7">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2,008.87</w:t>
            </w:r>
          </w:p>
        </w:tc>
        <w:tc>
          <w:tcPr>
            <w:tcW w:w="602" w:type="pct"/>
            <w:tcBorders>
              <w:top w:val="nil"/>
              <w:left w:val="nil"/>
              <w:bottom w:val="single" w:color="000000" w:sz="4" w:space="0"/>
              <w:right w:val="single" w:color="000000" w:sz="4" w:space="0"/>
            </w:tcBorders>
            <w:noWrap/>
            <w:vAlign w:val="center"/>
          </w:tcPr>
          <w:p w14:paraId="57EECE3D">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632" w:type="pct"/>
            <w:tcBorders>
              <w:top w:val="nil"/>
              <w:left w:val="nil"/>
              <w:bottom w:val="single" w:color="000000" w:sz="4" w:space="0"/>
              <w:right w:val="single" w:color="000000" w:sz="4" w:space="0"/>
            </w:tcBorders>
            <w:noWrap/>
            <w:vAlign w:val="center"/>
          </w:tcPr>
          <w:p w14:paraId="5B6077F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r>
      <w:tr w14:paraId="3778684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E813F0">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w:t>
            </w: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收入</w:t>
            </w:r>
          </w:p>
        </w:tc>
        <w:tc>
          <w:tcPr>
            <w:tcW w:w="657" w:type="pct"/>
            <w:noWrap/>
            <w:vAlign w:val="center"/>
          </w:tcPr>
          <w:p w14:paraId="524CEBD8">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2,369.00</w:t>
            </w:r>
          </w:p>
        </w:tc>
        <w:tc>
          <w:tcPr>
            <w:tcW w:w="948" w:type="pct"/>
            <w:tcBorders>
              <w:top w:val="nil"/>
              <w:left w:val="single" w:color="000000" w:sz="4" w:space="0"/>
              <w:bottom w:val="single" w:color="000000" w:sz="4" w:space="0"/>
              <w:right w:val="single" w:color="000000" w:sz="4" w:space="0"/>
            </w:tcBorders>
            <w:noWrap/>
            <w:vAlign w:val="center"/>
          </w:tcPr>
          <w:p w14:paraId="54EC193E">
            <w:pPr>
              <w:widowControl/>
              <w:snapToGrid w:val="0"/>
              <w:jc w:val="center"/>
              <w:textAlignment w:val="center"/>
              <w:rPr>
                <w:rFonts w:hint="eastAsia" w:asciiTheme="minorEastAsia" w:hAnsiTheme="minorEastAsia" w:cstheme="minorEastAsia"/>
                <w:color w:val="000000"/>
                <w:kern w:val="0"/>
                <w:sz w:val="21"/>
                <w:szCs w:val="21"/>
                <w:lang w:bidi="ar"/>
              </w:rPr>
            </w:pPr>
            <w:r>
              <w:t>社会保障和就业支出</w:t>
            </w:r>
          </w:p>
        </w:tc>
        <w:tc>
          <w:tcPr>
            <w:tcW w:w="577" w:type="pct"/>
            <w:tcBorders>
              <w:top w:val="nil"/>
              <w:left w:val="nil"/>
              <w:bottom w:val="single" w:color="000000" w:sz="4" w:space="0"/>
              <w:right w:val="single" w:color="000000" w:sz="4" w:space="0"/>
            </w:tcBorders>
            <w:noWrap/>
            <w:vAlign w:val="center"/>
          </w:tcPr>
          <w:p w14:paraId="66C4A8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248.44</w:t>
            </w:r>
          </w:p>
        </w:tc>
        <w:tc>
          <w:tcPr>
            <w:tcW w:w="612" w:type="pct"/>
            <w:tcBorders>
              <w:top w:val="nil"/>
              <w:left w:val="nil"/>
              <w:bottom w:val="single" w:color="000000" w:sz="4" w:space="0"/>
              <w:right w:val="single" w:color="000000" w:sz="4" w:space="0"/>
            </w:tcBorders>
            <w:noWrap/>
            <w:vAlign w:val="center"/>
          </w:tcPr>
          <w:p w14:paraId="35C08F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248.44</w:t>
            </w:r>
          </w:p>
        </w:tc>
        <w:tc>
          <w:tcPr>
            <w:tcW w:w="602" w:type="pct"/>
            <w:tcBorders>
              <w:top w:val="nil"/>
              <w:left w:val="nil"/>
              <w:bottom w:val="single" w:color="000000" w:sz="4" w:space="0"/>
              <w:right w:val="single" w:color="000000" w:sz="4" w:space="0"/>
            </w:tcBorders>
            <w:noWrap/>
            <w:vAlign w:val="center"/>
          </w:tcPr>
          <w:p w14:paraId="4A65F3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3B4811A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34EF6D3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9C4FBB">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2F131F0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w:t>
            </w:r>
          </w:p>
        </w:tc>
        <w:tc>
          <w:tcPr>
            <w:tcW w:w="948" w:type="pct"/>
            <w:tcBorders>
              <w:top w:val="nil"/>
              <w:left w:val="nil"/>
              <w:bottom w:val="single" w:color="000000" w:sz="4" w:space="0"/>
              <w:right w:val="single" w:color="000000" w:sz="4" w:space="0"/>
            </w:tcBorders>
            <w:noWrap/>
            <w:vAlign w:val="center"/>
          </w:tcPr>
          <w:p w14:paraId="7F6429DA">
            <w:pPr>
              <w:widowControl/>
              <w:snapToGrid w:val="0"/>
              <w:jc w:val="center"/>
              <w:textAlignment w:val="center"/>
              <w:rPr>
                <w:rFonts w:hint="eastAsia" w:asciiTheme="minorEastAsia" w:hAnsiTheme="minorEastAsia" w:cstheme="minorEastAsia"/>
                <w:color w:val="000000"/>
                <w:kern w:val="0"/>
                <w:sz w:val="21"/>
                <w:szCs w:val="21"/>
                <w:lang w:bidi="ar"/>
              </w:rPr>
            </w:pPr>
            <w:r>
              <w:t>卫生健康支出</w:t>
            </w:r>
          </w:p>
        </w:tc>
        <w:tc>
          <w:tcPr>
            <w:tcW w:w="577" w:type="pct"/>
            <w:tcBorders>
              <w:top w:val="nil"/>
              <w:left w:val="nil"/>
              <w:bottom w:val="single" w:color="000000" w:sz="4" w:space="0"/>
              <w:right w:val="single" w:color="000000" w:sz="4" w:space="0"/>
            </w:tcBorders>
            <w:noWrap/>
            <w:vAlign w:val="center"/>
          </w:tcPr>
          <w:p w14:paraId="5102BE9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159.19</w:t>
            </w:r>
          </w:p>
        </w:tc>
        <w:tc>
          <w:tcPr>
            <w:tcW w:w="612" w:type="pct"/>
            <w:tcBorders>
              <w:top w:val="nil"/>
              <w:left w:val="nil"/>
              <w:bottom w:val="single" w:color="000000" w:sz="4" w:space="0"/>
              <w:right w:val="single" w:color="000000" w:sz="4" w:space="0"/>
            </w:tcBorders>
            <w:noWrap/>
            <w:vAlign w:val="center"/>
          </w:tcPr>
          <w:p w14:paraId="41A0F8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159.19</w:t>
            </w:r>
          </w:p>
        </w:tc>
        <w:tc>
          <w:tcPr>
            <w:tcW w:w="602" w:type="pct"/>
            <w:tcBorders>
              <w:top w:val="nil"/>
              <w:left w:val="nil"/>
              <w:bottom w:val="single" w:color="000000" w:sz="4" w:space="0"/>
              <w:right w:val="single" w:color="000000" w:sz="4" w:space="0"/>
            </w:tcBorders>
            <w:noWrap/>
            <w:vAlign w:val="center"/>
          </w:tcPr>
          <w:p w14:paraId="08940E2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c>
          <w:tcPr>
            <w:tcW w:w="632" w:type="pct"/>
            <w:tcBorders>
              <w:top w:val="nil"/>
              <w:left w:val="nil"/>
              <w:bottom w:val="single" w:color="000000" w:sz="4" w:space="0"/>
              <w:right w:val="single" w:color="000000" w:sz="4" w:space="0"/>
            </w:tcBorders>
            <w:noWrap/>
            <w:vAlign w:val="center"/>
          </w:tcPr>
          <w:p w14:paraId="2431BAA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t>0.00</w:t>
            </w:r>
          </w:p>
        </w:tc>
      </w:tr>
      <w:tr w14:paraId="023126D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941CD3">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国有资本经营预算收入</w:t>
            </w:r>
          </w:p>
        </w:tc>
        <w:tc>
          <w:tcPr>
            <w:tcW w:w="657" w:type="pct"/>
            <w:tcBorders>
              <w:top w:val="nil"/>
              <w:left w:val="nil"/>
              <w:bottom w:val="single" w:color="000000" w:sz="4" w:space="0"/>
              <w:right w:val="single" w:color="000000" w:sz="4" w:space="0"/>
            </w:tcBorders>
            <w:vAlign w:val="center"/>
          </w:tcPr>
          <w:p w14:paraId="270E0B6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nil"/>
              <w:left w:val="nil"/>
              <w:bottom w:val="single" w:color="000000" w:sz="4" w:space="0"/>
              <w:right w:val="single" w:color="000000" w:sz="4" w:space="0"/>
            </w:tcBorders>
            <w:noWrap/>
            <w:vAlign w:val="center"/>
          </w:tcPr>
          <w:p w14:paraId="3D693C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6B663D4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049060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388448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61F2C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6F4AE5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17641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02B2C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B51958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68294D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A4A8E4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319070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204E4B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22ABDF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2B98ED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2187B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9670C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C0DEB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4471D6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FA607F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759C3D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A5D07C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1BF80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89FC12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11A8E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86759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BEC36D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13CE74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C938AA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EB20D7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AEFA6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231687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20A8040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28A098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CDD501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B5E330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B9C98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C9ADB4">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23441F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87ACB4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65D61ED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3F5BE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B77C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7EF4A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C93DF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A216D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90FBD6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289FD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994EBC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93FE82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FC1A70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37941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4D9665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0E4669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AE82BB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95CD9D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6B852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78C63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3E0E9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2436845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8F0F89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B4EE3B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8D501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A96A6D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06F2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4D60AE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64A4455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CE29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99688A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6629B4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BC93D0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086657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4918F0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675E9C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0CE9A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E43A6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D1730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52DFF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32061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1C9FD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5A0367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559AF9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721089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07BF41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F7F047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2C94455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272ECE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97D77C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B5E49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5CC1F24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9AD5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B1E077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14856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D1F766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A8660A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689F487">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A474D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7EA035B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31D3CBD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CC0525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87EE2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677EC1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C5E89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11F920C">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E06784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2038485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7B76F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5F6349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664393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4C3D27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1AEB5F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1E112F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0A1FE7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81060D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20A1E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BD6D23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4940BE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B7AE26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27580D">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001DB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4F0D8F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0FEC33E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161F313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C2065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D2FEC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498F0E1A">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FDA4954">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4717727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BA531C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0FD5A1D">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4AEF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6F3FE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70A714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059B25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5482D60">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3CBD0F09">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5584B02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1929650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944ECE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1CEA61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C55908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097992E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5460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2F3C0CE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08629DB">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3538F87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2B88745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83FA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1C24B41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6E59D82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140FD6">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079DD10F">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7B8B6D3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61485A0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56CFC3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602F34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BCFE9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569255D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F0F240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65B70A2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0962D14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7886C4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0D88A8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02F7451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400AD5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782DA3E8">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13F47AF6">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single" w:color="000000" w:sz="4" w:space="0"/>
              <w:left w:val="nil"/>
              <w:bottom w:val="single" w:color="000000" w:sz="4" w:space="0"/>
              <w:right w:val="single" w:color="000000" w:sz="4" w:space="0"/>
            </w:tcBorders>
            <w:vAlign w:val="center"/>
          </w:tcPr>
          <w:p w14:paraId="79234C69">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162B716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577" w:type="pct"/>
            <w:tcBorders>
              <w:top w:val="nil"/>
              <w:left w:val="nil"/>
              <w:bottom w:val="single" w:color="000000" w:sz="4" w:space="0"/>
              <w:right w:val="single" w:color="000000" w:sz="4" w:space="0"/>
            </w:tcBorders>
            <w:noWrap/>
            <w:vAlign w:val="center"/>
          </w:tcPr>
          <w:p w14:paraId="407C7C0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717615CE">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648A746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679F8091">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8B20B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13E352">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A7D43C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44CE599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732EA7F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59FC311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CDB70C0">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3F4885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7200B5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0DB481B">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7454241E">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10C5879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ED7388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B7DE28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39DAD432">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034C6CFF">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2DCCF4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FF1F4AC">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657" w:type="pct"/>
            <w:tcBorders>
              <w:top w:val="nil"/>
              <w:left w:val="nil"/>
              <w:bottom w:val="single" w:color="000000" w:sz="4" w:space="0"/>
              <w:right w:val="single" w:color="000000" w:sz="4" w:space="0"/>
            </w:tcBorders>
            <w:vAlign w:val="center"/>
          </w:tcPr>
          <w:p w14:paraId="09853C4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948" w:type="pct"/>
            <w:tcBorders>
              <w:top w:val="nil"/>
              <w:left w:val="nil"/>
              <w:bottom w:val="single" w:color="000000" w:sz="4" w:space="0"/>
              <w:right w:val="single" w:color="000000" w:sz="4" w:space="0"/>
            </w:tcBorders>
            <w:noWrap/>
            <w:vAlign w:val="center"/>
          </w:tcPr>
          <w:p w14:paraId="7D132168">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1C85500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C7A8D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54F2483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673191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30EC7EC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B0FE49A">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657" w:type="pct"/>
            <w:tcBorders>
              <w:top w:val="nil"/>
              <w:left w:val="nil"/>
              <w:bottom w:val="single" w:color="000000" w:sz="4" w:space="0"/>
              <w:right w:val="single" w:color="000000" w:sz="4" w:space="0"/>
            </w:tcBorders>
            <w:vAlign w:val="center"/>
          </w:tcPr>
          <w:p w14:paraId="18F60FE3">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948" w:type="pct"/>
            <w:tcBorders>
              <w:top w:val="nil"/>
              <w:left w:val="nil"/>
              <w:bottom w:val="single" w:color="000000" w:sz="4" w:space="0"/>
              <w:right w:val="single" w:color="000000" w:sz="4" w:space="0"/>
            </w:tcBorders>
            <w:noWrap/>
            <w:vAlign w:val="center"/>
          </w:tcPr>
          <w:p w14:paraId="33CE0865">
            <w:pPr>
              <w:widowControl/>
              <w:snapToGrid w:val="0"/>
              <w:jc w:val="center"/>
              <w:textAlignment w:val="center"/>
              <w:rPr>
                <w:rFonts w:hint="eastAsia" w:asciiTheme="minorEastAsia" w:hAnsiTheme="minorEastAsia" w:cstheme="minorEastAsia"/>
                <w:color w:val="000000"/>
                <w:kern w:val="0"/>
                <w:sz w:val="21"/>
                <w:szCs w:val="21"/>
                <w:lang w:bidi="ar"/>
              </w:rPr>
            </w:pPr>
          </w:p>
        </w:tc>
        <w:tc>
          <w:tcPr>
            <w:tcW w:w="577" w:type="pct"/>
            <w:tcBorders>
              <w:top w:val="nil"/>
              <w:left w:val="nil"/>
              <w:bottom w:val="single" w:color="000000" w:sz="4" w:space="0"/>
              <w:right w:val="single" w:color="000000" w:sz="4" w:space="0"/>
            </w:tcBorders>
            <w:noWrap/>
            <w:vAlign w:val="center"/>
          </w:tcPr>
          <w:p w14:paraId="5895CE8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4D2B78A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DAE61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543DB75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r>
      <w:tr w14:paraId="1C9C203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39D6AAD">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二、上年结转</w:t>
            </w:r>
          </w:p>
        </w:tc>
        <w:tc>
          <w:tcPr>
            <w:tcW w:w="657" w:type="pct"/>
            <w:tcBorders>
              <w:top w:val="nil"/>
              <w:left w:val="nil"/>
              <w:bottom w:val="single" w:color="auto" w:sz="4" w:space="0"/>
              <w:right w:val="single" w:color="000000" w:sz="4" w:space="0"/>
            </w:tcBorders>
            <w:vAlign w:val="center"/>
          </w:tcPr>
          <w:p w14:paraId="336449A1">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47.50　</w:t>
            </w:r>
          </w:p>
        </w:tc>
        <w:tc>
          <w:tcPr>
            <w:tcW w:w="948" w:type="pct"/>
            <w:tcBorders>
              <w:top w:val="nil"/>
              <w:left w:val="nil"/>
              <w:bottom w:val="single" w:color="auto" w:sz="4" w:space="0"/>
              <w:right w:val="single" w:color="000000" w:sz="4" w:space="0"/>
            </w:tcBorders>
            <w:noWrap/>
            <w:vAlign w:val="center"/>
          </w:tcPr>
          <w:p w14:paraId="5506DC22">
            <w:pPr>
              <w:widowControl/>
              <w:snapToGrid w:val="0"/>
              <w:jc w:val="center"/>
              <w:textAlignment w:val="center"/>
              <w:rPr>
                <w:rFonts w:hint="eastAsia" w:asciiTheme="minorEastAsia" w:hAnsiTheme="minorEastAsia" w:cstheme="minorEastAsia"/>
                <w:color w:val="000000"/>
                <w:kern w:val="0"/>
                <w:sz w:val="21"/>
                <w:szCs w:val="21"/>
                <w:lang w:eastAsia="zh-CN" w:bidi="ar"/>
              </w:rPr>
            </w:pPr>
          </w:p>
        </w:tc>
        <w:tc>
          <w:tcPr>
            <w:tcW w:w="577" w:type="pct"/>
            <w:tcBorders>
              <w:top w:val="nil"/>
              <w:left w:val="nil"/>
              <w:bottom w:val="single" w:color="000000" w:sz="4" w:space="0"/>
              <w:right w:val="single" w:color="000000" w:sz="4" w:space="0"/>
            </w:tcBorders>
            <w:noWrap/>
            <w:vAlign w:val="center"/>
          </w:tcPr>
          <w:p w14:paraId="2622D43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000000" w:sz="4" w:space="0"/>
              <w:right w:val="single" w:color="000000" w:sz="4" w:space="0"/>
            </w:tcBorders>
            <w:noWrap/>
            <w:vAlign w:val="center"/>
          </w:tcPr>
          <w:p w14:paraId="02517BB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000000" w:sz="4" w:space="0"/>
              <w:right w:val="single" w:color="000000" w:sz="4" w:space="0"/>
            </w:tcBorders>
            <w:noWrap/>
            <w:vAlign w:val="center"/>
          </w:tcPr>
          <w:p w14:paraId="40F830B3">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000000" w:sz="4" w:space="0"/>
              <w:right w:val="single" w:color="000000" w:sz="4" w:space="0"/>
            </w:tcBorders>
            <w:noWrap/>
            <w:vAlign w:val="center"/>
          </w:tcPr>
          <w:p w14:paraId="7269E609">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6F2A3B8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7E4D5573">
            <w:pPr>
              <w:widowControl/>
              <w:snapToGrid w:val="0"/>
              <w:ind w:firstLine="210" w:firstLineChars="10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eastAsia="zh-CN" w:bidi="ar"/>
              </w:rPr>
              <w:t>一般公共预算财政拨款</w:t>
            </w:r>
            <w:r>
              <w:rPr>
                <w:rFonts w:hint="eastAsia" w:asciiTheme="minorEastAsia" w:hAnsiTheme="minorEastAsia" w:cstheme="minorEastAsia"/>
                <w:color w:val="000000"/>
                <w:kern w:val="0"/>
                <w:sz w:val="21"/>
                <w:szCs w:val="21"/>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02DC1FF5">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47.50　</w:t>
            </w:r>
          </w:p>
        </w:tc>
        <w:tc>
          <w:tcPr>
            <w:tcW w:w="948" w:type="pct"/>
            <w:tcBorders>
              <w:top w:val="single" w:color="auto" w:sz="4" w:space="0"/>
              <w:left w:val="single" w:color="auto" w:sz="4" w:space="0"/>
              <w:bottom w:val="single" w:color="auto" w:sz="4" w:space="0"/>
              <w:right w:val="single" w:color="auto" w:sz="4" w:space="0"/>
            </w:tcBorders>
            <w:noWrap/>
            <w:vAlign w:val="center"/>
          </w:tcPr>
          <w:p w14:paraId="415E6B03">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nil"/>
              <w:left w:val="single" w:color="auto" w:sz="4" w:space="0"/>
              <w:bottom w:val="single" w:color="auto" w:sz="4" w:space="0"/>
              <w:right w:val="single" w:color="000000" w:sz="4" w:space="0"/>
            </w:tcBorders>
            <w:noWrap/>
            <w:vAlign w:val="center"/>
          </w:tcPr>
          <w:p w14:paraId="6BB37AC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nil"/>
              <w:left w:val="nil"/>
              <w:bottom w:val="single" w:color="auto" w:sz="4" w:space="0"/>
              <w:right w:val="single" w:color="000000" w:sz="4" w:space="0"/>
            </w:tcBorders>
            <w:noWrap/>
            <w:vAlign w:val="center"/>
          </w:tcPr>
          <w:p w14:paraId="266B678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nil"/>
              <w:left w:val="nil"/>
              <w:bottom w:val="single" w:color="auto" w:sz="4" w:space="0"/>
              <w:right w:val="single" w:color="000000" w:sz="4" w:space="0"/>
            </w:tcBorders>
            <w:noWrap/>
            <w:vAlign w:val="center"/>
          </w:tcPr>
          <w:p w14:paraId="3CD53064">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nil"/>
              <w:left w:val="nil"/>
              <w:bottom w:val="single" w:color="auto" w:sz="4" w:space="0"/>
              <w:right w:val="single" w:color="000000" w:sz="4" w:space="0"/>
            </w:tcBorders>
            <w:noWrap/>
            <w:vAlign w:val="center"/>
          </w:tcPr>
          <w:p w14:paraId="616E0E2E">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21B40BBF">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743302CC">
            <w:pPr>
              <w:widowControl/>
              <w:snapToGrid w:val="0"/>
              <w:jc w:val="left"/>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xml:space="preserve">  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0985BB34">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03C362DB">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5FC3842A">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1324CA76">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178ADAF5">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5311EF5">
            <w:pPr>
              <w:widowControl/>
              <w:snapToGrid w:val="0"/>
              <w:jc w:val="center"/>
              <w:textAlignment w:val="center"/>
              <w:rPr>
                <w:rFonts w:hint="default" w:asciiTheme="minorEastAsia" w:hAnsiTheme="minorEastAsia" w:cstheme="minorEastAsia"/>
                <w:color w:val="000000"/>
                <w:kern w:val="0"/>
                <w:sz w:val="21"/>
                <w:szCs w:val="21"/>
                <w:lang w:val="en-US" w:eastAsia="zh-CN" w:bidi="ar"/>
              </w:rPr>
            </w:pPr>
          </w:p>
        </w:tc>
      </w:tr>
      <w:tr w14:paraId="160A4D5B">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0D5AA7C2">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37C68EBE">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2,416.50</w:t>
            </w:r>
          </w:p>
        </w:tc>
        <w:tc>
          <w:tcPr>
            <w:tcW w:w="948" w:type="pct"/>
            <w:tcBorders>
              <w:top w:val="single" w:color="auto" w:sz="4" w:space="0"/>
              <w:left w:val="single" w:color="auto" w:sz="4" w:space="0"/>
              <w:bottom w:val="single" w:color="auto" w:sz="4" w:space="0"/>
              <w:right w:val="single" w:color="auto" w:sz="4" w:space="0"/>
            </w:tcBorders>
            <w:noWrap/>
            <w:vAlign w:val="center"/>
          </w:tcPr>
          <w:p w14:paraId="68D25ACF">
            <w:pPr>
              <w:widowControl/>
              <w:snapToGrid w:val="0"/>
              <w:jc w:val="center"/>
              <w:textAlignment w:val="center"/>
              <w:rPr>
                <w:rFonts w:hint="eastAsia" w:asciiTheme="minorEastAsia" w:hAnsiTheme="minorEastAsia" w:cstheme="minorEastAsia"/>
                <w:color w:val="000000"/>
                <w:kern w:val="0"/>
                <w:sz w:val="21"/>
                <w:szCs w:val="21"/>
                <w:lang w:bidi="ar"/>
              </w:rPr>
            </w:pPr>
            <w:r>
              <w:rPr>
                <w:rFonts w:hint="eastAsia" w:asciiTheme="minorEastAsia" w:hAnsiTheme="minorEastAsia" w:cstheme="minorEastAsia"/>
                <w:color w:val="000000"/>
                <w:kern w:val="0"/>
                <w:sz w:val="21"/>
                <w:szCs w:val="21"/>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0A13BAB8">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2,416.50</w:t>
            </w:r>
          </w:p>
        </w:tc>
        <w:tc>
          <w:tcPr>
            <w:tcW w:w="612" w:type="pct"/>
            <w:tcBorders>
              <w:top w:val="single" w:color="auto" w:sz="4" w:space="0"/>
              <w:left w:val="single" w:color="auto" w:sz="4" w:space="0"/>
              <w:bottom w:val="single" w:color="auto" w:sz="4" w:space="0"/>
              <w:right w:val="single" w:color="auto" w:sz="4" w:space="0"/>
            </w:tcBorders>
            <w:noWrap/>
            <w:vAlign w:val="center"/>
          </w:tcPr>
          <w:p w14:paraId="7B232AF9">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2,416.50</w:t>
            </w:r>
          </w:p>
        </w:tc>
        <w:tc>
          <w:tcPr>
            <w:tcW w:w="602" w:type="pct"/>
            <w:tcBorders>
              <w:top w:val="single" w:color="auto" w:sz="4" w:space="0"/>
              <w:left w:val="single" w:color="auto" w:sz="4" w:space="0"/>
              <w:bottom w:val="single" w:color="auto" w:sz="4" w:space="0"/>
              <w:right w:val="single" w:color="auto" w:sz="4" w:space="0"/>
            </w:tcBorders>
            <w:noWrap/>
            <w:vAlign w:val="center"/>
          </w:tcPr>
          <w:p w14:paraId="70CD72CC">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08D60987">
            <w:pPr>
              <w:widowControl/>
              <w:snapToGrid w:val="0"/>
              <w:jc w:val="center"/>
              <w:textAlignment w:val="center"/>
              <w:rPr>
                <w:rFonts w:hint="eastAsia" w:asciiTheme="minorEastAsia" w:hAnsiTheme="minorEastAsia" w:cstheme="minorEastAsia"/>
                <w:color w:val="000000"/>
                <w:kern w:val="0"/>
                <w:sz w:val="21"/>
                <w:szCs w:val="21"/>
                <w:lang w:val="en-US" w:eastAsia="zh-CN" w:bidi="ar"/>
              </w:rPr>
            </w:pPr>
            <w:r>
              <w:rPr>
                <w:rFonts w:hint="eastAsia" w:asciiTheme="minorEastAsia" w:hAnsiTheme="minorEastAsia" w:cstheme="minorEastAsia"/>
                <w:color w:val="000000"/>
                <w:kern w:val="0"/>
                <w:sz w:val="21"/>
                <w:szCs w:val="21"/>
                <w:lang w:val="en-US" w:eastAsia="zh-CN" w:bidi="ar"/>
              </w:rPr>
              <w:t>0.00</w:t>
            </w:r>
          </w:p>
        </w:tc>
      </w:tr>
    </w:tbl>
    <w:p w14:paraId="06D02D5C">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72051056">
        <w:tblPrEx>
          <w:tblCellMar>
            <w:top w:w="0" w:type="dxa"/>
            <w:left w:w="108" w:type="dxa"/>
            <w:bottom w:w="0" w:type="dxa"/>
            <w:right w:w="108" w:type="dxa"/>
          </w:tblCellMar>
        </w:tblPrEx>
        <w:trPr>
          <w:trHeight w:val="585" w:hRule="atLeast"/>
          <w:tblHeader/>
        </w:trPr>
        <w:tc>
          <w:tcPr>
            <w:tcW w:w="5000" w:type="pct"/>
            <w:gridSpan w:val="5"/>
            <w:noWrap/>
            <w:vAlign w:val="center"/>
          </w:tcPr>
          <w:p w14:paraId="3FFFEECE">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br w:type="page"/>
            </w:r>
            <w:r>
              <w:rPr>
                <w:rFonts w:hint="eastAsia" w:asciiTheme="minorEastAsia" w:hAnsiTheme="minorEastAsia" w:eastAsiaTheme="minorEastAsia" w:cstheme="minorEastAsia"/>
                <w:b/>
                <w:bCs/>
                <w:color w:val="000000"/>
                <w:kern w:val="0"/>
                <w:sz w:val="24"/>
                <w:szCs w:val="24"/>
                <w:lang w:bidi="ar"/>
              </w:rPr>
              <w:t>一般公共预算支出表</w:t>
            </w:r>
          </w:p>
        </w:tc>
      </w:tr>
      <w:tr w14:paraId="6B640D44">
        <w:tblPrEx>
          <w:tblCellMar>
            <w:top w:w="0" w:type="dxa"/>
            <w:left w:w="108" w:type="dxa"/>
            <w:bottom w:w="0" w:type="dxa"/>
            <w:right w:w="108" w:type="dxa"/>
          </w:tblCellMar>
        </w:tblPrEx>
        <w:trPr>
          <w:trHeight w:val="420" w:hRule="atLeast"/>
          <w:tblHeader/>
        </w:trPr>
        <w:tc>
          <w:tcPr>
            <w:tcW w:w="2433" w:type="pct"/>
            <w:gridSpan w:val="2"/>
            <w:noWrap/>
            <w:vAlign w:val="center"/>
          </w:tcPr>
          <w:p w14:paraId="17DD022A">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201105兴国县思源实验小学</w:t>
            </w:r>
          </w:p>
        </w:tc>
        <w:tc>
          <w:tcPr>
            <w:tcW w:w="1056" w:type="pct"/>
            <w:noWrap/>
            <w:vAlign w:val="bottom"/>
          </w:tcPr>
          <w:p w14:paraId="30FFE363">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684" w:type="pct"/>
            <w:noWrap/>
            <w:vAlign w:val="bottom"/>
          </w:tcPr>
          <w:p w14:paraId="00E6ACE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25" w:type="pct"/>
            <w:noWrap/>
            <w:vAlign w:val="center"/>
          </w:tcPr>
          <w:p w14:paraId="578CCEAA">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211F8A8C">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458F855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7B8E82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611847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75E3680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579" w:type="pct"/>
            <w:tcBorders>
              <w:top w:val="nil"/>
              <w:left w:val="nil"/>
              <w:bottom w:val="single" w:color="000000" w:sz="4" w:space="0"/>
              <w:right w:val="single" w:color="000000" w:sz="4" w:space="0"/>
            </w:tcBorders>
            <w:noWrap/>
            <w:vAlign w:val="center"/>
          </w:tcPr>
          <w:p w14:paraId="5CAD7A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56" w:type="pct"/>
            <w:tcBorders>
              <w:top w:val="nil"/>
              <w:left w:val="nil"/>
              <w:bottom w:val="single" w:color="000000" w:sz="4" w:space="0"/>
              <w:right w:val="single" w:color="000000" w:sz="4" w:space="0"/>
            </w:tcBorders>
            <w:noWrap/>
            <w:vAlign w:val="center"/>
          </w:tcPr>
          <w:p w14:paraId="4FFA6A4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684" w:type="pct"/>
            <w:tcBorders>
              <w:top w:val="nil"/>
              <w:left w:val="nil"/>
              <w:bottom w:val="single" w:color="000000" w:sz="4" w:space="0"/>
              <w:right w:val="single" w:color="000000" w:sz="4" w:space="0"/>
            </w:tcBorders>
            <w:noWrap/>
            <w:vAlign w:val="center"/>
          </w:tcPr>
          <w:p w14:paraId="7EDCF39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825" w:type="pct"/>
            <w:tcBorders>
              <w:top w:val="nil"/>
              <w:left w:val="nil"/>
              <w:bottom w:val="single" w:color="000000" w:sz="4" w:space="0"/>
              <w:right w:val="single" w:color="000000" w:sz="4" w:space="0"/>
            </w:tcBorders>
            <w:noWrap/>
            <w:vAlign w:val="center"/>
          </w:tcPr>
          <w:p w14:paraId="6CC6689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99C412C">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7F81A4D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579" w:type="pct"/>
            <w:tcBorders>
              <w:top w:val="nil"/>
              <w:left w:val="nil"/>
              <w:bottom w:val="nil"/>
              <w:right w:val="single" w:color="000000" w:sz="4" w:space="0"/>
            </w:tcBorders>
            <w:noWrap/>
            <w:vAlign w:val="center"/>
          </w:tcPr>
          <w:p w14:paraId="66D4B22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56" w:type="pct"/>
            <w:tcBorders>
              <w:top w:val="nil"/>
              <w:left w:val="nil"/>
              <w:bottom w:val="nil"/>
              <w:right w:val="single" w:color="000000" w:sz="4" w:space="0"/>
            </w:tcBorders>
            <w:noWrap/>
            <w:vAlign w:val="center"/>
          </w:tcPr>
          <w:p w14:paraId="0701C9C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684" w:type="pct"/>
            <w:tcBorders>
              <w:top w:val="nil"/>
              <w:left w:val="nil"/>
              <w:bottom w:val="nil"/>
              <w:right w:val="single" w:color="000000" w:sz="4" w:space="0"/>
            </w:tcBorders>
            <w:noWrap/>
            <w:vAlign w:val="center"/>
          </w:tcPr>
          <w:p w14:paraId="239649A0">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825" w:type="pct"/>
            <w:tcBorders>
              <w:top w:val="nil"/>
              <w:left w:val="nil"/>
              <w:bottom w:val="nil"/>
              <w:right w:val="single" w:color="000000" w:sz="4" w:space="0"/>
            </w:tcBorders>
            <w:noWrap/>
            <w:vAlign w:val="center"/>
          </w:tcPr>
          <w:p w14:paraId="04E6109B">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r w14:paraId="7AA9424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897B4B1">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579" w:type="pct"/>
            <w:tcBorders>
              <w:top w:val="single" w:color="000000" w:sz="4" w:space="0"/>
              <w:left w:val="nil"/>
              <w:bottom w:val="single" w:color="000000" w:sz="4" w:space="0"/>
              <w:right w:val="single" w:color="000000" w:sz="4" w:space="0"/>
            </w:tcBorders>
            <w:noWrap/>
            <w:vAlign w:val="center"/>
          </w:tcPr>
          <w:p w14:paraId="294AFC0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40C072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2,369.00</w:t>
            </w:r>
          </w:p>
        </w:tc>
        <w:tc>
          <w:tcPr>
            <w:tcW w:w="684" w:type="pct"/>
            <w:tcBorders>
              <w:top w:val="single" w:color="000000" w:sz="4" w:space="0"/>
              <w:left w:val="nil"/>
              <w:bottom w:val="single" w:color="000000" w:sz="4" w:space="0"/>
              <w:right w:val="single" w:color="000000" w:sz="4" w:space="0"/>
            </w:tcBorders>
            <w:noWrap/>
            <w:vAlign w:val="center"/>
          </w:tcPr>
          <w:p w14:paraId="56F73BD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2,146.64</w:t>
            </w:r>
          </w:p>
        </w:tc>
        <w:tc>
          <w:tcPr>
            <w:tcW w:w="825" w:type="pct"/>
            <w:tcBorders>
              <w:top w:val="single" w:color="000000" w:sz="4" w:space="0"/>
              <w:left w:val="nil"/>
              <w:bottom w:val="single" w:color="000000" w:sz="4" w:space="0"/>
              <w:right w:val="single" w:color="000000" w:sz="4" w:space="0"/>
            </w:tcBorders>
            <w:noWrap/>
            <w:vAlign w:val="center"/>
          </w:tcPr>
          <w:p w14:paraId="1065798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222.36</w:t>
            </w:r>
          </w:p>
        </w:tc>
      </w:tr>
      <w:tr w14:paraId="0640199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C5514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w:t>
            </w:r>
          </w:p>
        </w:tc>
        <w:tc>
          <w:tcPr>
            <w:tcW w:w="1579" w:type="pct"/>
            <w:tcBorders>
              <w:top w:val="single" w:color="000000" w:sz="4" w:space="0"/>
              <w:left w:val="nil"/>
              <w:bottom w:val="single" w:color="000000" w:sz="4" w:space="0"/>
              <w:right w:val="single" w:color="000000" w:sz="4" w:space="0"/>
            </w:tcBorders>
            <w:noWrap/>
            <w:vAlign w:val="center"/>
          </w:tcPr>
          <w:p w14:paraId="1B3248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教育支出</w:t>
            </w:r>
          </w:p>
        </w:tc>
        <w:tc>
          <w:tcPr>
            <w:tcW w:w="1056" w:type="pct"/>
            <w:tcBorders>
              <w:top w:val="single" w:color="000000" w:sz="4" w:space="0"/>
              <w:left w:val="nil"/>
              <w:bottom w:val="single" w:color="000000" w:sz="4" w:space="0"/>
              <w:right w:val="single" w:color="000000" w:sz="4" w:space="0"/>
            </w:tcBorders>
            <w:noWrap/>
            <w:vAlign w:val="center"/>
          </w:tcPr>
          <w:p w14:paraId="79FE0A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1,961.37</w:t>
            </w:r>
          </w:p>
        </w:tc>
        <w:tc>
          <w:tcPr>
            <w:tcW w:w="684" w:type="pct"/>
            <w:tcBorders>
              <w:top w:val="single" w:color="000000" w:sz="4" w:space="0"/>
              <w:left w:val="nil"/>
              <w:bottom w:val="single" w:color="000000" w:sz="4" w:space="0"/>
              <w:right w:val="single" w:color="000000" w:sz="4" w:space="0"/>
            </w:tcBorders>
            <w:noWrap/>
            <w:vAlign w:val="center"/>
          </w:tcPr>
          <w:p w14:paraId="3ACB12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1,739.01</w:t>
            </w:r>
          </w:p>
        </w:tc>
        <w:tc>
          <w:tcPr>
            <w:tcW w:w="825" w:type="pct"/>
            <w:tcBorders>
              <w:top w:val="single" w:color="000000" w:sz="4" w:space="0"/>
              <w:left w:val="nil"/>
              <w:bottom w:val="single" w:color="000000" w:sz="4" w:space="0"/>
              <w:right w:val="single" w:color="000000" w:sz="4" w:space="0"/>
            </w:tcBorders>
            <w:noWrap/>
            <w:vAlign w:val="center"/>
          </w:tcPr>
          <w:p w14:paraId="4C14191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222.36</w:t>
            </w:r>
          </w:p>
        </w:tc>
      </w:tr>
      <w:tr w14:paraId="775BB8A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136591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20502</w:t>
            </w:r>
          </w:p>
        </w:tc>
        <w:tc>
          <w:tcPr>
            <w:tcW w:w="1579" w:type="pct"/>
            <w:tcBorders>
              <w:top w:val="single" w:color="000000" w:sz="4" w:space="0"/>
              <w:left w:val="nil"/>
              <w:bottom w:val="single" w:color="000000" w:sz="4" w:space="0"/>
              <w:right w:val="single" w:color="000000" w:sz="4" w:space="0"/>
            </w:tcBorders>
            <w:noWrap/>
            <w:vAlign w:val="center"/>
          </w:tcPr>
          <w:p w14:paraId="724FB20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普通教育</w:t>
            </w:r>
          </w:p>
        </w:tc>
        <w:tc>
          <w:tcPr>
            <w:tcW w:w="1056" w:type="pct"/>
            <w:tcBorders>
              <w:top w:val="single" w:color="000000" w:sz="4" w:space="0"/>
              <w:left w:val="nil"/>
              <w:bottom w:val="single" w:color="000000" w:sz="4" w:space="0"/>
              <w:right w:val="single" w:color="000000" w:sz="4" w:space="0"/>
            </w:tcBorders>
            <w:noWrap/>
            <w:vAlign w:val="center"/>
          </w:tcPr>
          <w:p w14:paraId="2662DD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1,961.37</w:t>
            </w:r>
          </w:p>
        </w:tc>
        <w:tc>
          <w:tcPr>
            <w:tcW w:w="684" w:type="pct"/>
            <w:tcBorders>
              <w:top w:val="single" w:color="000000" w:sz="4" w:space="0"/>
              <w:left w:val="nil"/>
              <w:bottom w:val="single" w:color="000000" w:sz="4" w:space="0"/>
              <w:right w:val="single" w:color="000000" w:sz="4" w:space="0"/>
            </w:tcBorders>
            <w:noWrap/>
            <w:vAlign w:val="center"/>
          </w:tcPr>
          <w:p w14:paraId="02A508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1,739.01</w:t>
            </w:r>
          </w:p>
        </w:tc>
        <w:tc>
          <w:tcPr>
            <w:tcW w:w="825" w:type="pct"/>
            <w:tcBorders>
              <w:top w:val="single" w:color="000000" w:sz="4" w:space="0"/>
              <w:left w:val="nil"/>
              <w:bottom w:val="single" w:color="000000" w:sz="4" w:space="0"/>
              <w:right w:val="single" w:color="000000" w:sz="4" w:space="0"/>
            </w:tcBorders>
            <w:noWrap/>
            <w:vAlign w:val="center"/>
          </w:tcPr>
          <w:p w14:paraId="186046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222.36</w:t>
            </w:r>
          </w:p>
        </w:tc>
      </w:tr>
      <w:tr w14:paraId="7EDD220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A1709D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2050202</w:t>
            </w:r>
          </w:p>
        </w:tc>
        <w:tc>
          <w:tcPr>
            <w:tcW w:w="1579" w:type="pct"/>
            <w:tcBorders>
              <w:top w:val="single" w:color="000000" w:sz="4" w:space="0"/>
              <w:left w:val="nil"/>
              <w:bottom w:val="single" w:color="000000" w:sz="4" w:space="0"/>
              <w:right w:val="single" w:color="000000" w:sz="4" w:space="0"/>
            </w:tcBorders>
            <w:noWrap/>
            <w:vAlign w:val="center"/>
          </w:tcPr>
          <w:p w14:paraId="084AE9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小学教育</w:t>
            </w:r>
          </w:p>
        </w:tc>
        <w:tc>
          <w:tcPr>
            <w:tcW w:w="1056" w:type="pct"/>
            <w:tcBorders>
              <w:top w:val="single" w:color="000000" w:sz="4" w:space="0"/>
              <w:left w:val="nil"/>
              <w:bottom w:val="single" w:color="000000" w:sz="4" w:space="0"/>
              <w:right w:val="single" w:color="000000" w:sz="4" w:space="0"/>
            </w:tcBorders>
            <w:noWrap/>
            <w:vAlign w:val="center"/>
          </w:tcPr>
          <w:p w14:paraId="4D28D41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1,961.37</w:t>
            </w:r>
          </w:p>
        </w:tc>
        <w:tc>
          <w:tcPr>
            <w:tcW w:w="684" w:type="pct"/>
            <w:tcBorders>
              <w:top w:val="single" w:color="000000" w:sz="4" w:space="0"/>
              <w:left w:val="nil"/>
              <w:bottom w:val="single" w:color="000000" w:sz="4" w:space="0"/>
              <w:right w:val="single" w:color="000000" w:sz="4" w:space="0"/>
            </w:tcBorders>
            <w:noWrap/>
            <w:vAlign w:val="center"/>
          </w:tcPr>
          <w:p w14:paraId="32C4AE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1,739.01</w:t>
            </w:r>
          </w:p>
        </w:tc>
        <w:tc>
          <w:tcPr>
            <w:tcW w:w="825" w:type="pct"/>
            <w:tcBorders>
              <w:top w:val="single" w:color="000000" w:sz="4" w:space="0"/>
              <w:left w:val="nil"/>
              <w:bottom w:val="single" w:color="000000" w:sz="4" w:space="0"/>
              <w:right w:val="single" w:color="000000" w:sz="4" w:space="0"/>
            </w:tcBorders>
            <w:noWrap/>
            <w:vAlign w:val="center"/>
          </w:tcPr>
          <w:p w14:paraId="01224B6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222.36</w:t>
            </w:r>
          </w:p>
        </w:tc>
      </w:tr>
      <w:tr w14:paraId="032AE3D3">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BA9E65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1618878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1382A43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248.44</w:t>
            </w:r>
          </w:p>
        </w:tc>
        <w:tc>
          <w:tcPr>
            <w:tcW w:w="684" w:type="pct"/>
            <w:tcBorders>
              <w:top w:val="single" w:color="000000" w:sz="4" w:space="0"/>
              <w:left w:val="nil"/>
              <w:bottom w:val="single" w:color="000000" w:sz="4" w:space="0"/>
              <w:right w:val="single" w:color="000000" w:sz="4" w:space="0"/>
            </w:tcBorders>
            <w:noWrap/>
            <w:vAlign w:val="center"/>
          </w:tcPr>
          <w:p w14:paraId="0C4A57C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248.44</w:t>
            </w:r>
          </w:p>
        </w:tc>
        <w:tc>
          <w:tcPr>
            <w:tcW w:w="825" w:type="pct"/>
            <w:tcBorders>
              <w:top w:val="single" w:color="000000" w:sz="4" w:space="0"/>
              <w:left w:val="nil"/>
              <w:bottom w:val="single" w:color="000000" w:sz="4" w:space="0"/>
              <w:right w:val="single" w:color="000000" w:sz="4" w:space="0"/>
            </w:tcBorders>
            <w:noWrap/>
            <w:vAlign w:val="center"/>
          </w:tcPr>
          <w:p w14:paraId="14C0378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094E724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CBE0A2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0DC071A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EBE1E3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235.83</w:t>
            </w:r>
          </w:p>
        </w:tc>
        <w:tc>
          <w:tcPr>
            <w:tcW w:w="684" w:type="pct"/>
            <w:tcBorders>
              <w:top w:val="single" w:color="000000" w:sz="4" w:space="0"/>
              <w:left w:val="nil"/>
              <w:bottom w:val="single" w:color="000000" w:sz="4" w:space="0"/>
              <w:right w:val="single" w:color="000000" w:sz="4" w:space="0"/>
            </w:tcBorders>
            <w:noWrap/>
            <w:vAlign w:val="center"/>
          </w:tcPr>
          <w:p w14:paraId="0F999F8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235.83</w:t>
            </w:r>
          </w:p>
        </w:tc>
        <w:tc>
          <w:tcPr>
            <w:tcW w:w="825" w:type="pct"/>
            <w:tcBorders>
              <w:top w:val="single" w:color="000000" w:sz="4" w:space="0"/>
              <w:left w:val="nil"/>
              <w:bottom w:val="single" w:color="000000" w:sz="4" w:space="0"/>
              <w:right w:val="single" w:color="000000" w:sz="4" w:space="0"/>
            </w:tcBorders>
            <w:noWrap/>
            <w:vAlign w:val="center"/>
          </w:tcPr>
          <w:p w14:paraId="1EEA2C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16D126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D7673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3C17526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77E5F32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235.83</w:t>
            </w:r>
          </w:p>
        </w:tc>
        <w:tc>
          <w:tcPr>
            <w:tcW w:w="684" w:type="pct"/>
            <w:tcBorders>
              <w:top w:val="single" w:color="000000" w:sz="4" w:space="0"/>
              <w:left w:val="nil"/>
              <w:bottom w:val="single" w:color="000000" w:sz="4" w:space="0"/>
              <w:right w:val="single" w:color="000000" w:sz="4" w:space="0"/>
            </w:tcBorders>
            <w:noWrap/>
            <w:vAlign w:val="center"/>
          </w:tcPr>
          <w:p w14:paraId="437A25E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235.83</w:t>
            </w:r>
          </w:p>
        </w:tc>
        <w:tc>
          <w:tcPr>
            <w:tcW w:w="825" w:type="pct"/>
            <w:tcBorders>
              <w:top w:val="single" w:color="000000" w:sz="4" w:space="0"/>
              <w:left w:val="nil"/>
              <w:bottom w:val="single" w:color="000000" w:sz="4" w:space="0"/>
              <w:right w:val="single" w:color="000000" w:sz="4" w:space="0"/>
            </w:tcBorders>
            <w:noWrap/>
            <w:vAlign w:val="center"/>
          </w:tcPr>
          <w:p w14:paraId="06D01D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02E3FE9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BFCA3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04FD329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0C827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12.61</w:t>
            </w:r>
          </w:p>
        </w:tc>
        <w:tc>
          <w:tcPr>
            <w:tcW w:w="684" w:type="pct"/>
            <w:tcBorders>
              <w:top w:val="single" w:color="000000" w:sz="4" w:space="0"/>
              <w:left w:val="nil"/>
              <w:bottom w:val="single" w:color="000000" w:sz="4" w:space="0"/>
              <w:right w:val="single" w:color="000000" w:sz="4" w:space="0"/>
            </w:tcBorders>
            <w:noWrap/>
            <w:vAlign w:val="center"/>
          </w:tcPr>
          <w:p w14:paraId="66696FD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12.61</w:t>
            </w:r>
          </w:p>
        </w:tc>
        <w:tc>
          <w:tcPr>
            <w:tcW w:w="825" w:type="pct"/>
            <w:tcBorders>
              <w:top w:val="single" w:color="000000" w:sz="4" w:space="0"/>
              <w:left w:val="nil"/>
              <w:bottom w:val="single" w:color="000000" w:sz="4" w:space="0"/>
              <w:right w:val="single" w:color="000000" w:sz="4" w:space="0"/>
            </w:tcBorders>
            <w:noWrap/>
            <w:vAlign w:val="center"/>
          </w:tcPr>
          <w:p w14:paraId="6F977DC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500D502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375CCB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2893B4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00436E6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12.61</w:t>
            </w:r>
          </w:p>
        </w:tc>
        <w:tc>
          <w:tcPr>
            <w:tcW w:w="684" w:type="pct"/>
            <w:tcBorders>
              <w:top w:val="single" w:color="000000" w:sz="4" w:space="0"/>
              <w:left w:val="nil"/>
              <w:bottom w:val="single" w:color="000000" w:sz="4" w:space="0"/>
              <w:right w:val="single" w:color="000000" w:sz="4" w:space="0"/>
            </w:tcBorders>
            <w:noWrap/>
            <w:vAlign w:val="center"/>
          </w:tcPr>
          <w:p w14:paraId="3D7A33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12.61</w:t>
            </w:r>
          </w:p>
        </w:tc>
        <w:tc>
          <w:tcPr>
            <w:tcW w:w="825" w:type="pct"/>
            <w:tcBorders>
              <w:top w:val="single" w:color="000000" w:sz="4" w:space="0"/>
              <w:left w:val="nil"/>
              <w:bottom w:val="single" w:color="000000" w:sz="4" w:space="0"/>
              <w:right w:val="single" w:color="000000" w:sz="4" w:space="0"/>
            </w:tcBorders>
            <w:noWrap/>
            <w:vAlign w:val="center"/>
          </w:tcPr>
          <w:p w14:paraId="40C967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43D3A21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DE8F3F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187B5CE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7D2C9DC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684" w:type="pct"/>
            <w:tcBorders>
              <w:top w:val="single" w:color="000000" w:sz="4" w:space="0"/>
              <w:left w:val="nil"/>
              <w:bottom w:val="single" w:color="000000" w:sz="4" w:space="0"/>
              <w:right w:val="single" w:color="000000" w:sz="4" w:space="0"/>
            </w:tcBorders>
            <w:noWrap/>
            <w:vAlign w:val="center"/>
          </w:tcPr>
          <w:p w14:paraId="2BAF67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825" w:type="pct"/>
            <w:tcBorders>
              <w:top w:val="single" w:color="000000" w:sz="4" w:space="0"/>
              <w:left w:val="nil"/>
              <w:bottom w:val="single" w:color="000000" w:sz="4" w:space="0"/>
              <w:right w:val="single" w:color="000000" w:sz="4" w:space="0"/>
            </w:tcBorders>
            <w:noWrap/>
            <w:vAlign w:val="center"/>
          </w:tcPr>
          <w:p w14:paraId="7446C1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6A18F211">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853636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1748189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5C47CA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684" w:type="pct"/>
            <w:tcBorders>
              <w:top w:val="single" w:color="000000" w:sz="4" w:space="0"/>
              <w:left w:val="nil"/>
              <w:bottom w:val="single" w:color="000000" w:sz="4" w:space="0"/>
              <w:right w:val="single" w:color="000000" w:sz="4" w:space="0"/>
            </w:tcBorders>
            <w:noWrap/>
            <w:vAlign w:val="center"/>
          </w:tcPr>
          <w:p w14:paraId="097EF64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159.19</w:t>
            </w:r>
          </w:p>
        </w:tc>
        <w:tc>
          <w:tcPr>
            <w:tcW w:w="825" w:type="pct"/>
            <w:tcBorders>
              <w:top w:val="single" w:color="000000" w:sz="4" w:space="0"/>
              <w:left w:val="nil"/>
              <w:bottom w:val="single" w:color="000000" w:sz="4" w:space="0"/>
              <w:right w:val="single" w:color="000000" w:sz="4" w:space="0"/>
            </w:tcBorders>
            <w:noWrap/>
            <w:vAlign w:val="center"/>
          </w:tcPr>
          <w:p w14:paraId="43A0995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0.00</w:t>
            </w:r>
          </w:p>
        </w:tc>
      </w:tr>
      <w:tr w14:paraId="4717336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DD035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35BEC02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24F491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100.23</w:t>
            </w:r>
          </w:p>
        </w:tc>
        <w:tc>
          <w:tcPr>
            <w:tcW w:w="684" w:type="pct"/>
            <w:tcBorders>
              <w:top w:val="single" w:color="000000" w:sz="4" w:space="0"/>
              <w:left w:val="nil"/>
              <w:bottom w:val="single" w:color="000000" w:sz="4" w:space="0"/>
              <w:right w:val="single" w:color="000000" w:sz="4" w:space="0"/>
            </w:tcBorders>
            <w:noWrap/>
            <w:vAlign w:val="center"/>
          </w:tcPr>
          <w:p w14:paraId="478AF1D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100.23</w:t>
            </w:r>
          </w:p>
        </w:tc>
        <w:tc>
          <w:tcPr>
            <w:tcW w:w="825" w:type="pct"/>
            <w:tcBorders>
              <w:top w:val="single" w:color="000000" w:sz="4" w:space="0"/>
              <w:left w:val="nil"/>
              <w:bottom w:val="single" w:color="000000" w:sz="4" w:space="0"/>
              <w:right w:val="single" w:color="000000" w:sz="4" w:space="0"/>
            </w:tcBorders>
            <w:noWrap/>
            <w:vAlign w:val="center"/>
          </w:tcPr>
          <w:p w14:paraId="713DA75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r w14:paraId="3F41B345">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165839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1D4AB44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7F621A1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58.96</w:t>
            </w:r>
          </w:p>
        </w:tc>
        <w:tc>
          <w:tcPr>
            <w:tcW w:w="684" w:type="pct"/>
            <w:tcBorders>
              <w:top w:val="single" w:color="000000" w:sz="4" w:space="0"/>
              <w:left w:val="nil"/>
              <w:bottom w:val="single" w:color="000000" w:sz="4" w:space="0"/>
              <w:right w:val="single" w:color="000000" w:sz="4" w:space="0"/>
            </w:tcBorders>
            <w:noWrap/>
            <w:vAlign w:val="center"/>
          </w:tcPr>
          <w:p w14:paraId="10E23F1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58.96</w:t>
            </w:r>
          </w:p>
        </w:tc>
        <w:tc>
          <w:tcPr>
            <w:tcW w:w="825" w:type="pct"/>
            <w:tcBorders>
              <w:top w:val="single" w:color="000000" w:sz="4" w:space="0"/>
              <w:left w:val="nil"/>
              <w:bottom w:val="single" w:color="000000" w:sz="4" w:space="0"/>
              <w:right w:val="single" w:color="000000" w:sz="4" w:space="0"/>
            </w:tcBorders>
            <w:noWrap/>
            <w:vAlign w:val="center"/>
          </w:tcPr>
          <w:p w14:paraId="4250398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r>
    </w:tbl>
    <w:p w14:paraId="075F5F87">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664A92C1">
        <w:tblPrEx>
          <w:tblCellMar>
            <w:top w:w="0" w:type="dxa"/>
            <w:left w:w="108" w:type="dxa"/>
            <w:bottom w:w="0" w:type="dxa"/>
            <w:right w:w="108" w:type="dxa"/>
          </w:tblCellMar>
        </w:tblPrEx>
        <w:trPr>
          <w:trHeight w:val="585" w:hRule="atLeast"/>
        </w:trPr>
        <w:tc>
          <w:tcPr>
            <w:tcW w:w="5000" w:type="pct"/>
            <w:gridSpan w:val="5"/>
            <w:noWrap/>
            <w:vAlign w:val="center"/>
          </w:tcPr>
          <w:p w14:paraId="2D399ADB">
            <w:pPr>
              <w:widowControl/>
              <w:jc w:val="center"/>
              <w:rPr>
                <w:rFonts w:hint="eastAsia" w:ascii="宋体" w:hAnsi="宋体" w:eastAsia="宋体" w:cs="Arial"/>
                <w:b/>
                <w:color w:val="000000"/>
                <w:kern w:val="0"/>
                <w:sz w:val="44"/>
                <w:szCs w:val="44"/>
              </w:rPr>
            </w:pPr>
            <w:r>
              <w:rPr>
                <w:rFonts w:hint="eastAsia" w:asciiTheme="minorEastAsia" w:hAnsiTheme="minorEastAsia" w:eastAsiaTheme="minorEastAsia" w:cstheme="minorEastAsia"/>
                <w:b/>
                <w:bCs/>
                <w:color w:val="000000"/>
                <w:kern w:val="0"/>
                <w:sz w:val="24"/>
                <w:szCs w:val="24"/>
                <w:lang w:bidi="ar"/>
              </w:rPr>
              <w:t>一般公共预算基本支出表</w:t>
            </w:r>
          </w:p>
        </w:tc>
      </w:tr>
      <w:tr w14:paraId="0C671863">
        <w:tblPrEx>
          <w:tblCellMar>
            <w:top w:w="0" w:type="dxa"/>
            <w:left w:w="108" w:type="dxa"/>
            <w:bottom w:w="0" w:type="dxa"/>
            <w:right w:w="108" w:type="dxa"/>
          </w:tblCellMar>
        </w:tblPrEx>
        <w:trPr>
          <w:trHeight w:val="420" w:hRule="atLeast"/>
        </w:trPr>
        <w:tc>
          <w:tcPr>
            <w:tcW w:w="2398" w:type="pct"/>
            <w:gridSpan w:val="2"/>
            <w:noWrap/>
            <w:vAlign w:val="center"/>
          </w:tcPr>
          <w:p w14:paraId="725CF06E">
            <w:pPr>
              <w:widowControl/>
              <w:snapToGrid w:val="0"/>
              <w:jc w:val="lef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201105兴国县思源实验小学</w:t>
            </w:r>
          </w:p>
        </w:tc>
        <w:tc>
          <w:tcPr>
            <w:tcW w:w="891" w:type="pct"/>
            <w:noWrap/>
            <w:vAlign w:val="bottom"/>
          </w:tcPr>
          <w:p w14:paraId="17998D21">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42" w:type="pct"/>
            <w:noWrap/>
            <w:vAlign w:val="bottom"/>
          </w:tcPr>
          <w:p w14:paraId="738627DA">
            <w:pPr>
              <w:widowControl/>
              <w:snapToGrid w:val="0"/>
              <w:jc w:val="center"/>
              <w:textAlignment w:val="center"/>
              <w:rPr>
                <w:rFonts w:hint="eastAsia" w:asciiTheme="minorEastAsia" w:hAnsiTheme="minorEastAsia" w:cstheme="minorEastAsia"/>
                <w:color w:val="000000"/>
                <w:kern w:val="0"/>
                <w:sz w:val="13"/>
                <w:szCs w:val="13"/>
                <w:lang w:bidi="ar"/>
              </w:rPr>
            </w:pPr>
          </w:p>
        </w:tc>
        <w:tc>
          <w:tcPr>
            <w:tcW w:w="867" w:type="pct"/>
            <w:noWrap/>
            <w:vAlign w:val="center"/>
          </w:tcPr>
          <w:p w14:paraId="266D2AF5">
            <w:pPr>
              <w:widowControl/>
              <w:snapToGrid w:val="0"/>
              <w:jc w:val="right"/>
              <w:textAlignment w:val="center"/>
              <w:rPr>
                <w:rFonts w:hint="eastAsia" w:asciiTheme="minorEastAsia" w:hAnsiTheme="minorEastAsia" w:cstheme="minorEastAsia"/>
                <w:color w:val="000000"/>
                <w:kern w:val="0"/>
                <w:sz w:val="13"/>
                <w:szCs w:val="13"/>
                <w:lang w:bidi="ar"/>
              </w:rPr>
            </w:pPr>
            <w:r>
              <w:rPr>
                <w:rFonts w:hint="eastAsia" w:asciiTheme="minorEastAsia" w:hAnsiTheme="minorEastAsia" w:cstheme="minorEastAsia"/>
                <w:color w:val="000000"/>
                <w:kern w:val="0"/>
                <w:sz w:val="18"/>
                <w:szCs w:val="18"/>
                <w:lang w:bidi="ar"/>
              </w:rPr>
              <w:t>单位：万元</w:t>
            </w:r>
          </w:p>
        </w:tc>
      </w:tr>
      <w:tr w14:paraId="6F6D72E4">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742C6F2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7C3E4C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年基本支出</w:t>
            </w:r>
          </w:p>
        </w:tc>
      </w:tr>
      <w:tr w14:paraId="4F7318EC">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41F9CEF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460" w:type="pct"/>
            <w:tcBorders>
              <w:top w:val="nil"/>
              <w:left w:val="nil"/>
              <w:bottom w:val="single" w:color="000000" w:sz="4" w:space="0"/>
              <w:right w:val="nil"/>
            </w:tcBorders>
            <w:noWrap/>
            <w:vAlign w:val="center"/>
          </w:tcPr>
          <w:p w14:paraId="5293425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891" w:type="pct"/>
            <w:tcBorders>
              <w:top w:val="nil"/>
              <w:left w:val="single" w:color="000000" w:sz="4" w:space="0"/>
              <w:bottom w:val="single" w:color="000000" w:sz="4" w:space="0"/>
              <w:right w:val="single" w:color="000000" w:sz="4" w:space="0"/>
            </w:tcBorders>
            <w:noWrap/>
            <w:vAlign w:val="center"/>
          </w:tcPr>
          <w:p w14:paraId="7FADAA7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842" w:type="pct"/>
            <w:tcBorders>
              <w:top w:val="nil"/>
              <w:left w:val="nil"/>
              <w:bottom w:val="single" w:color="000000" w:sz="4" w:space="0"/>
              <w:right w:val="single" w:color="000000" w:sz="4" w:space="0"/>
            </w:tcBorders>
            <w:noWrap/>
            <w:vAlign w:val="center"/>
          </w:tcPr>
          <w:p w14:paraId="292C98F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人员经费</w:t>
            </w:r>
          </w:p>
        </w:tc>
        <w:tc>
          <w:tcPr>
            <w:tcW w:w="867" w:type="pct"/>
            <w:tcBorders>
              <w:top w:val="nil"/>
              <w:left w:val="nil"/>
              <w:bottom w:val="single" w:color="000000" w:sz="4" w:space="0"/>
              <w:right w:val="single" w:color="000000" w:sz="4" w:space="0"/>
            </w:tcBorders>
            <w:noWrap/>
            <w:vAlign w:val="center"/>
          </w:tcPr>
          <w:p w14:paraId="53E44EE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公用经费</w:t>
            </w:r>
          </w:p>
        </w:tc>
      </w:tr>
      <w:tr w14:paraId="5F6BB54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F33223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E9EB4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A65BC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3975C1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605963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r>
      <w:tr w14:paraId="5930F65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85EA012">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231E39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CE31C9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2,146.64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13C5E9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2,146.64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2BE757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033C1271">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6F1B01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743BD72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4FBF7E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2,133.49</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92484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2,133.49</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13B5B4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4B39559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DA719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AA404B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AD4E26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830.52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14129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830.52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C782B6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EC2468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024083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1880E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5CE3A3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332.53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35C2F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332.53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8AC758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43E5D4A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1EFAE1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57A507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A18232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67.34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869BBC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67.34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611FEC4">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EA2686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C214BB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CF4010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绩效工资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B52004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304.20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9DC83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304.20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A22D0EB">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242E0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8B8A4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6A2F18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05418EC">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235.83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BC2F7D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235.83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0B5EA6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32F208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E41FB4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B02834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D3BBF15">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100.23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2EB2CF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100.23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242D6A">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02859D5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DA5783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684F50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9E15D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58.96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64ED0F">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58.96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868B633">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1EA94F4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EEF0F0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465F27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D544DA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50C3BC7">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12.61</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1F950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298BA01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8316B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186BF0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DC0CF0D">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191.27</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1C7EBD40">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191.27</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51B4BE">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r w14:paraId="64E6597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65E55B2">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A513B2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color w:val="000000"/>
                <w:kern w:val="0"/>
                <w:sz w:val="18"/>
                <w:szCs w:val="18"/>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E6B9CB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140B57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13.15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72EB3E9">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color w:val="000000"/>
                <w:kern w:val="0"/>
                <w:sz w:val="18"/>
                <w:szCs w:val="18"/>
                <w:lang w:val="en-US" w:eastAsia="zh-CN" w:bidi="ar"/>
              </w:rPr>
              <w:t>0.00</w:t>
            </w:r>
          </w:p>
        </w:tc>
      </w:tr>
      <w:tr w14:paraId="52C1F3B0">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E713B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DCA795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0D703491">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13.15</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B279B42">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13.15</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9F49A38">
            <w:pPr>
              <w:widowControl/>
              <w:snapToGrid w:val="0"/>
              <w:jc w:val="center"/>
              <w:textAlignment w:val="center"/>
              <w:rPr>
                <w:rFonts w:hint="default"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val="en-US" w:eastAsia="zh-CN" w:bidi="ar"/>
              </w:rPr>
              <w:t>0.00</w:t>
            </w:r>
          </w:p>
        </w:tc>
      </w:tr>
    </w:tbl>
    <w:p w14:paraId="524E74F9">
      <w:pPr>
        <w:widowControl/>
        <w:jc w:val="left"/>
        <w:rPr>
          <w:rStyle w:val="13"/>
          <w:rFonts w:ascii="仿宋" w:hAnsi="仿宋" w:eastAsia="仿宋"/>
          <w:bCs/>
          <w:sz w:val="32"/>
          <w:szCs w:val="32"/>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50965B6B">
        <w:tblPrEx>
          <w:tblCellMar>
            <w:top w:w="0" w:type="dxa"/>
            <w:left w:w="108" w:type="dxa"/>
            <w:bottom w:w="0" w:type="dxa"/>
            <w:right w:w="108" w:type="dxa"/>
          </w:tblCellMar>
        </w:tblPrEx>
        <w:trPr>
          <w:trHeight w:val="450" w:hRule="atLeast"/>
          <w:tblHeader/>
        </w:trPr>
        <w:tc>
          <w:tcPr>
            <w:tcW w:w="636" w:type="pct"/>
            <w:noWrap/>
            <w:vAlign w:val="bottom"/>
          </w:tcPr>
          <w:p w14:paraId="39974833">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303" w:type="pct"/>
            <w:noWrap/>
            <w:vAlign w:val="bottom"/>
          </w:tcPr>
          <w:p w14:paraId="32995531">
            <w:pPr>
              <w:widowControl/>
              <w:jc w:val="left"/>
              <w:rPr>
                <w:rFonts w:ascii="Times New Roman" w:hAnsi="Times New Roman" w:eastAsia="宋体"/>
                <w:kern w:val="0"/>
                <w:sz w:val="20"/>
                <w:szCs w:val="20"/>
              </w:rPr>
            </w:pPr>
          </w:p>
        </w:tc>
        <w:tc>
          <w:tcPr>
            <w:tcW w:w="684" w:type="pct"/>
            <w:noWrap/>
            <w:vAlign w:val="bottom"/>
          </w:tcPr>
          <w:p w14:paraId="3B318426">
            <w:pPr>
              <w:widowControl/>
              <w:jc w:val="left"/>
              <w:rPr>
                <w:rFonts w:ascii="Times New Roman" w:hAnsi="Times New Roman" w:eastAsia="宋体"/>
                <w:kern w:val="0"/>
                <w:sz w:val="20"/>
                <w:szCs w:val="20"/>
              </w:rPr>
            </w:pPr>
          </w:p>
        </w:tc>
        <w:tc>
          <w:tcPr>
            <w:tcW w:w="538" w:type="pct"/>
            <w:noWrap/>
            <w:vAlign w:val="bottom"/>
          </w:tcPr>
          <w:p w14:paraId="387DDADD">
            <w:pPr>
              <w:widowControl/>
              <w:jc w:val="left"/>
              <w:rPr>
                <w:rFonts w:ascii="Times New Roman" w:hAnsi="Times New Roman" w:eastAsia="宋体"/>
                <w:kern w:val="0"/>
                <w:sz w:val="20"/>
                <w:szCs w:val="20"/>
              </w:rPr>
            </w:pPr>
          </w:p>
        </w:tc>
        <w:tc>
          <w:tcPr>
            <w:tcW w:w="2836" w:type="pct"/>
            <w:gridSpan w:val="5"/>
            <w:noWrap/>
            <w:vAlign w:val="center"/>
          </w:tcPr>
          <w:p w14:paraId="3B96060F">
            <w:pPr>
              <w:widowControl/>
              <w:snapToGrid w:val="0"/>
              <w:jc w:val="right"/>
              <w:textAlignment w:val="center"/>
              <w:rPr>
                <w:rFonts w:hint="eastAsia" w:asciiTheme="minorEastAsia" w:hAnsiTheme="minorEastAsia" w:cstheme="minorEastAsia"/>
                <w:color w:val="000000"/>
                <w:kern w:val="0"/>
                <w:sz w:val="13"/>
                <w:szCs w:val="13"/>
                <w:lang w:eastAsia="zh-CN" w:bidi="ar"/>
              </w:rPr>
            </w:pPr>
          </w:p>
        </w:tc>
      </w:tr>
      <w:tr w14:paraId="6BB4EE98">
        <w:tblPrEx>
          <w:tblCellMar>
            <w:top w:w="0" w:type="dxa"/>
            <w:left w:w="108" w:type="dxa"/>
            <w:bottom w:w="0" w:type="dxa"/>
            <w:right w:w="108" w:type="dxa"/>
          </w:tblCellMar>
        </w:tblPrEx>
        <w:trPr>
          <w:trHeight w:val="485" w:hRule="atLeast"/>
          <w:tblHeader/>
        </w:trPr>
        <w:tc>
          <w:tcPr>
            <w:tcW w:w="5000" w:type="pct"/>
            <w:gridSpan w:val="9"/>
            <w:noWrap/>
            <w:vAlign w:val="center"/>
          </w:tcPr>
          <w:p w14:paraId="49FB07E4">
            <w:pPr>
              <w:widowControl/>
              <w:snapToGrid w:val="0"/>
              <w:jc w:val="center"/>
              <w:textAlignment w:val="center"/>
              <w:rPr>
                <w:rFonts w:hint="default" w:eastAsia="仿宋_GB2312" w:asciiTheme="minorEastAsia" w:hAnsiTheme="minorEastAsia" w:cstheme="minorEastAsia"/>
                <w:color w:val="000000"/>
                <w:kern w:val="0"/>
                <w:sz w:val="13"/>
                <w:szCs w:val="13"/>
                <w:lang w:val="en-US" w:eastAsia="zh-CN" w:bidi="ar"/>
              </w:rPr>
            </w:pPr>
            <w:r>
              <w:rPr>
                <w:rFonts w:hint="eastAsia" w:asciiTheme="minorEastAsia" w:hAnsiTheme="minorEastAsia" w:eastAsiaTheme="minorEastAsia" w:cstheme="minorEastAsia"/>
                <w:b/>
                <w:bCs/>
                <w:color w:val="000000"/>
                <w:kern w:val="0"/>
                <w:sz w:val="24"/>
                <w:szCs w:val="24"/>
                <w:lang w:val="en-US" w:eastAsia="zh-CN" w:bidi="ar"/>
              </w:rPr>
              <w:t>财政拨款</w:t>
            </w:r>
            <w:r>
              <w:rPr>
                <w:rFonts w:hint="eastAsia" w:asciiTheme="minorEastAsia" w:hAnsiTheme="minorEastAsia" w:eastAsiaTheme="minorEastAsia" w:cstheme="minorEastAsia"/>
                <w:b/>
                <w:bCs/>
                <w:color w:val="000000"/>
                <w:kern w:val="0"/>
                <w:sz w:val="24"/>
                <w:szCs w:val="24"/>
                <w:lang w:bidi="ar"/>
              </w:rPr>
              <w:t>“三公”经费</w:t>
            </w:r>
            <w:r>
              <w:rPr>
                <w:rFonts w:hint="eastAsia" w:asciiTheme="minorEastAsia" w:hAnsiTheme="minorEastAsia" w:eastAsiaTheme="minorEastAsia" w:cstheme="minorEastAsia"/>
                <w:b/>
                <w:bCs/>
                <w:color w:val="000000"/>
                <w:kern w:val="0"/>
                <w:sz w:val="24"/>
                <w:szCs w:val="24"/>
                <w:lang w:val="en-US" w:eastAsia="zh-CN" w:bidi="ar"/>
              </w:rPr>
              <w:t>支出表</w:t>
            </w:r>
          </w:p>
        </w:tc>
      </w:tr>
      <w:tr w14:paraId="0B89C43F">
        <w:tblPrEx>
          <w:tblCellMar>
            <w:top w:w="0" w:type="dxa"/>
            <w:left w:w="108" w:type="dxa"/>
            <w:bottom w:w="0" w:type="dxa"/>
            <w:right w:w="108" w:type="dxa"/>
          </w:tblCellMar>
        </w:tblPrEx>
        <w:trPr>
          <w:trHeight w:val="340" w:hRule="atLeast"/>
          <w:tblHeader/>
        </w:trPr>
        <w:tc>
          <w:tcPr>
            <w:tcW w:w="2163" w:type="pct"/>
            <w:gridSpan w:val="4"/>
            <w:noWrap/>
            <w:vAlign w:val="center"/>
          </w:tcPr>
          <w:p w14:paraId="4EC2CAAA">
            <w:pPr>
              <w:widowControl/>
              <w:jc w:val="left"/>
              <w:rPr>
                <w:rFonts w:ascii="Times New Roman" w:hAnsi="Times New Roman" w:eastAsia="宋体"/>
                <w:kern w:val="0"/>
                <w:sz w:val="20"/>
                <w:szCs w:val="20"/>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201105兴国县思源实验小学</w:t>
            </w:r>
          </w:p>
        </w:tc>
        <w:tc>
          <w:tcPr>
            <w:tcW w:w="742" w:type="pct"/>
            <w:noWrap/>
            <w:vAlign w:val="bottom"/>
          </w:tcPr>
          <w:p w14:paraId="6FE40B0E">
            <w:pPr>
              <w:widowControl/>
              <w:jc w:val="left"/>
              <w:rPr>
                <w:rFonts w:ascii="Times New Roman" w:hAnsi="Times New Roman" w:eastAsia="宋体"/>
                <w:kern w:val="0"/>
                <w:sz w:val="20"/>
                <w:szCs w:val="20"/>
              </w:rPr>
            </w:pPr>
          </w:p>
        </w:tc>
        <w:tc>
          <w:tcPr>
            <w:tcW w:w="474" w:type="pct"/>
            <w:noWrap/>
            <w:vAlign w:val="bottom"/>
          </w:tcPr>
          <w:p w14:paraId="007F5C1B">
            <w:pPr>
              <w:widowControl/>
              <w:jc w:val="left"/>
              <w:rPr>
                <w:rFonts w:ascii="Times New Roman" w:hAnsi="Times New Roman" w:eastAsia="宋体"/>
                <w:kern w:val="0"/>
                <w:sz w:val="20"/>
                <w:szCs w:val="20"/>
              </w:rPr>
            </w:pPr>
          </w:p>
        </w:tc>
        <w:tc>
          <w:tcPr>
            <w:tcW w:w="596" w:type="pct"/>
            <w:noWrap/>
            <w:vAlign w:val="bottom"/>
          </w:tcPr>
          <w:p w14:paraId="36C224C0">
            <w:pPr>
              <w:widowControl/>
              <w:jc w:val="left"/>
              <w:rPr>
                <w:rFonts w:ascii="Times New Roman" w:hAnsi="Times New Roman" w:eastAsia="宋体"/>
                <w:kern w:val="0"/>
                <w:sz w:val="20"/>
                <w:szCs w:val="20"/>
              </w:rPr>
            </w:pPr>
          </w:p>
        </w:tc>
        <w:tc>
          <w:tcPr>
            <w:tcW w:w="1023" w:type="pct"/>
            <w:gridSpan w:val="2"/>
            <w:noWrap/>
            <w:vAlign w:val="bottom"/>
          </w:tcPr>
          <w:p w14:paraId="411F1C64">
            <w:pPr>
              <w:widowControl/>
              <w:snapToGrid w:val="0"/>
              <w:jc w:val="right"/>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单位：万元</w:t>
            </w:r>
          </w:p>
        </w:tc>
      </w:tr>
      <w:tr w14:paraId="5F42FFBD">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25B3FC3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2EEF486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因公出国</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境</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4FDE3B4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332A05A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公务用车购置及运行维护费</w:t>
            </w:r>
          </w:p>
        </w:tc>
      </w:tr>
      <w:tr w14:paraId="5FAF86FA">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72786B1A">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684" w:type="pct"/>
            <w:tcBorders>
              <w:top w:val="nil"/>
              <w:left w:val="nil"/>
              <w:bottom w:val="single" w:color="000000" w:sz="4" w:space="0"/>
              <w:right w:val="single" w:color="000000" w:sz="4" w:space="0"/>
            </w:tcBorders>
            <w:noWrap/>
            <w:vAlign w:val="center"/>
          </w:tcPr>
          <w:p w14:paraId="0FAC7B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38" w:type="pct"/>
            <w:tcBorders>
              <w:top w:val="nil"/>
              <w:left w:val="nil"/>
              <w:bottom w:val="single" w:color="000000" w:sz="4" w:space="0"/>
              <w:right w:val="single" w:color="000000" w:sz="4" w:space="0"/>
            </w:tcBorders>
            <w:vAlign w:val="center"/>
          </w:tcPr>
          <w:p w14:paraId="5CFB311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一般公务出国（境）费</w:t>
            </w:r>
          </w:p>
        </w:tc>
        <w:tc>
          <w:tcPr>
            <w:tcW w:w="742" w:type="pct"/>
            <w:tcBorders>
              <w:top w:val="nil"/>
              <w:left w:val="nil"/>
              <w:bottom w:val="single" w:color="000000" w:sz="4" w:space="0"/>
              <w:right w:val="single" w:color="000000" w:sz="4" w:space="0"/>
            </w:tcBorders>
            <w:vAlign w:val="center"/>
          </w:tcPr>
          <w:p w14:paraId="3ADBFFB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04328CDB">
            <w:pPr>
              <w:widowControl/>
              <w:snapToGrid w:val="0"/>
              <w:jc w:val="center"/>
              <w:textAlignment w:val="center"/>
              <w:rPr>
                <w:rFonts w:hint="eastAsia" w:asciiTheme="minorEastAsia" w:hAnsiTheme="minorEastAsia" w:cstheme="minorEastAsia"/>
                <w:color w:val="000000"/>
                <w:kern w:val="0"/>
                <w:sz w:val="18"/>
                <w:szCs w:val="18"/>
                <w:lang w:bidi="ar"/>
              </w:rPr>
            </w:pPr>
          </w:p>
        </w:tc>
        <w:tc>
          <w:tcPr>
            <w:tcW w:w="596" w:type="pct"/>
            <w:tcBorders>
              <w:top w:val="nil"/>
              <w:left w:val="nil"/>
              <w:bottom w:val="single" w:color="000000" w:sz="4" w:space="0"/>
              <w:right w:val="single" w:color="000000" w:sz="4" w:space="0"/>
            </w:tcBorders>
            <w:noWrap/>
            <w:vAlign w:val="center"/>
          </w:tcPr>
          <w:p w14:paraId="305B709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小计</w:t>
            </w:r>
          </w:p>
        </w:tc>
        <w:tc>
          <w:tcPr>
            <w:tcW w:w="543" w:type="pct"/>
            <w:tcBorders>
              <w:top w:val="nil"/>
              <w:left w:val="nil"/>
              <w:bottom w:val="single" w:color="000000" w:sz="4" w:space="0"/>
              <w:right w:val="single" w:color="000000" w:sz="4" w:space="0"/>
            </w:tcBorders>
            <w:vAlign w:val="center"/>
          </w:tcPr>
          <w:p w14:paraId="12230D0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公务用车运行维护费</w:t>
            </w:r>
          </w:p>
        </w:tc>
        <w:tc>
          <w:tcPr>
            <w:tcW w:w="479" w:type="pct"/>
            <w:tcBorders>
              <w:top w:val="nil"/>
              <w:left w:val="nil"/>
              <w:bottom w:val="single" w:color="000000" w:sz="4" w:space="0"/>
              <w:right w:val="single" w:color="000000" w:sz="4" w:space="0"/>
            </w:tcBorders>
            <w:noWrap/>
            <w:vAlign w:val="center"/>
          </w:tcPr>
          <w:p w14:paraId="22C8209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公务用车购置</w:t>
            </w:r>
          </w:p>
        </w:tc>
      </w:tr>
      <w:tr w14:paraId="193D5A76">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7785DC56">
            <w:pPr>
              <w:widowControl/>
              <w:snapToGrid w:val="0"/>
              <w:jc w:val="center"/>
              <w:textAlignment w:val="center"/>
              <w:rPr>
                <w:rFonts w:hint="eastAsia" w:asciiTheme="minorEastAsia" w:hAnsiTheme="minorEastAsia" w:eastAsiaTheme="minorEastAsia" w:cstheme="minorEastAsia"/>
                <w:color w:val="000000"/>
                <w:kern w:val="0"/>
                <w:sz w:val="18"/>
                <w:szCs w:val="18"/>
                <w:lang w:eastAsia="zh-CN" w:bidi="ar"/>
              </w:rPr>
            </w:pPr>
            <w:r>
              <w:rPr>
                <w:rFonts w:hint="eastAsia" w:asciiTheme="minorEastAsia" w:hAnsiTheme="minorEastAsia" w:cstheme="minorEastAsia"/>
                <w:color w:val="000000"/>
                <w:kern w:val="0"/>
                <w:sz w:val="18"/>
                <w:szCs w:val="18"/>
                <w:lang w:val="en-US" w:eastAsia="zh-CN" w:bidi="ar"/>
              </w:rPr>
              <w:t>1</w:t>
            </w:r>
          </w:p>
        </w:tc>
        <w:tc>
          <w:tcPr>
            <w:tcW w:w="684" w:type="pct"/>
            <w:tcBorders>
              <w:top w:val="nil"/>
              <w:left w:val="single" w:color="000000" w:sz="4" w:space="0"/>
              <w:bottom w:val="nil"/>
              <w:right w:val="nil"/>
            </w:tcBorders>
            <w:vAlign w:val="center"/>
          </w:tcPr>
          <w:p w14:paraId="20846DF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2</w:t>
            </w:r>
          </w:p>
        </w:tc>
        <w:tc>
          <w:tcPr>
            <w:tcW w:w="538" w:type="pct"/>
            <w:tcBorders>
              <w:top w:val="nil"/>
              <w:left w:val="single" w:color="000000" w:sz="4" w:space="0"/>
              <w:bottom w:val="nil"/>
              <w:right w:val="nil"/>
            </w:tcBorders>
            <w:vAlign w:val="center"/>
          </w:tcPr>
          <w:p w14:paraId="12A80BE1">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3</w:t>
            </w:r>
          </w:p>
        </w:tc>
        <w:tc>
          <w:tcPr>
            <w:tcW w:w="742" w:type="pct"/>
            <w:tcBorders>
              <w:top w:val="nil"/>
              <w:left w:val="single" w:color="000000" w:sz="4" w:space="0"/>
              <w:bottom w:val="nil"/>
              <w:right w:val="nil"/>
            </w:tcBorders>
            <w:vAlign w:val="center"/>
          </w:tcPr>
          <w:p w14:paraId="0C977738">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4</w:t>
            </w:r>
          </w:p>
        </w:tc>
        <w:tc>
          <w:tcPr>
            <w:tcW w:w="474" w:type="pct"/>
            <w:tcBorders>
              <w:top w:val="nil"/>
              <w:left w:val="single" w:color="000000" w:sz="4" w:space="0"/>
              <w:bottom w:val="nil"/>
              <w:right w:val="nil"/>
            </w:tcBorders>
            <w:vAlign w:val="center"/>
          </w:tcPr>
          <w:p w14:paraId="643A38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5</w:t>
            </w:r>
          </w:p>
        </w:tc>
        <w:tc>
          <w:tcPr>
            <w:tcW w:w="596" w:type="pct"/>
            <w:tcBorders>
              <w:top w:val="nil"/>
              <w:left w:val="single" w:color="000000" w:sz="4" w:space="0"/>
              <w:bottom w:val="nil"/>
              <w:right w:val="nil"/>
            </w:tcBorders>
            <w:vAlign w:val="center"/>
          </w:tcPr>
          <w:p w14:paraId="5A3B5DF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6</w:t>
            </w:r>
          </w:p>
        </w:tc>
        <w:tc>
          <w:tcPr>
            <w:tcW w:w="543" w:type="pct"/>
            <w:tcBorders>
              <w:top w:val="nil"/>
              <w:left w:val="single" w:color="000000" w:sz="4" w:space="0"/>
              <w:bottom w:val="nil"/>
              <w:right w:val="nil"/>
            </w:tcBorders>
            <w:vAlign w:val="center"/>
          </w:tcPr>
          <w:p w14:paraId="0EACA62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7</w:t>
            </w:r>
          </w:p>
        </w:tc>
        <w:tc>
          <w:tcPr>
            <w:tcW w:w="479" w:type="pct"/>
            <w:tcBorders>
              <w:top w:val="nil"/>
              <w:left w:val="single" w:color="000000" w:sz="4" w:space="0"/>
              <w:bottom w:val="nil"/>
              <w:right w:val="single" w:color="000000" w:sz="4" w:space="0"/>
            </w:tcBorders>
            <w:vAlign w:val="center"/>
          </w:tcPr>
          <w:p w14:paraId="70044EF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8</w:t>
            </w:r>
          </w:p>
        </w:tc>
      </w:tr>
      <w:tr w14:paraId="6DCEC3B4">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BB5341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684" w:type="pct"/>
            <w:tcBorders>
              <w:top w:val="single" w:color="000000" w:sz="4" w:space="0"/>
              <w:left w:val="nil"/>
              <w:bottom w:val="single" w:color="000000" w:sz="4" w:space="0"/>
              <w:right w:val="single" w:color="000000" w:sz="4" w:space="0"/>
            </w:tcBorders>
            <w:vAlign w:val="center"/>
          </w:tcPr>
          <w:p w14:paraId="62C9288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011FED2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742" w:type="pct"/>
            <w:tcBorders>
              <w:top w:val="single" w:color="000000" w:sz="4" w:space="0"/>
              <w:left w:val="nil"/>
              <w:bottom w:val="single" w:color="000000" w:sz="4" w:space="0"/>
              <w:right w:val="single" w:color="000000" w:sz="4" w:space="0"/>
            </w:tcBorders>
            <w:vAlign w:val="center"/>
          </w:tcPr>
          <w:p w14:paraId="31514D2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474" w:type="pct"/>
            <w:tcBorders>
              <w:top w:val="single" w:color="000000" w:sz="4" w:space="0"/>
              <w:left w:val="nil"/>
              <w:bottom w:val="single" w:color="000000" w:sz="4" w:space="0"/>
              <w:right w:val="nil"/>
            </w:tcBorders>
            <w:vAlign w:val="center"/>
          </w:tcPr>
          <w:p w14:paraId="3C965E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3.00</w:t>
            </w:r>
          </w:p>
        </w:tc>
        <w:tc>
          <w:tcPr>
            <w:tcW w:w="596" w:type="pct"/>
            <w:tcBorders>
              <w:top w:val="single" w:color="000000" w:sz="4" w:space="0"/>
              <w:left w:val="single" w:color="000000" w:sz="4" w:space="0"/>
              <w:bottom w:val="single" w:color="000000" w:sz="4" w:space="0"/>
              <w:right w:val="nil"/>
            </w:tcBorders>
            <w:vAlign w:val="center"/>
          </w:tcPr>
          <w:p w14:paraId="07926F0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b w:val="0"/>
                <w:color w:val="000000"/>
                <w:kern w:val="0"/>
                <w:sz w:val="18"/>
                <w:szCs w:val="18"/>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514C7652">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c>
          <w:tcPr>
            <w:tcW w:w="479" w:type="pct"/>
            <w:tcBorders>
              <w:top w:val="single" w:color="000000" w:sz="4" w:space="0"/>
              <w:left w:val="nil"/>
              <w:bottom w:val="single" w:color="000000" w:sz="4" w:space="0"/>
              <w:right w:val="single" w:color="000000" w:sz="4" w:space="0"/>
            </w:tcBorders>
            <w:vAlign w:val="center"/>
          </w:tcPr>
          <w:p w14:paraId="2689CCD3">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b w:val="0"/>
                <w:color w:val="000000"/>
                <w:kern w:val="0"/>
                <w:sz w:val="18"/>
                <w:szCs w:val="18"/>
                <w:lang w:bidi="ar"/>
              </w:rPr>
              <w:t>0.00</w:t>
            </w:r>
          </w:p>
        </w:tc>
      </w:tr>
    </w:tbl>
    <w:p w14:paraId="7C2426F9">
      <w:pPr>
        <w:widowControl/>
        <w:jc w:val="left"/>
        <w:rPr>
          <w:rStyle w:val="13"/>
          <w:rFonts w:hint="eastAsia" w:ascii="仿宋" w:hAnsi="仿宋" w:eastAsia="仿宋"/>
          <w:bCs/>
          <w:sz w:val="32"/>
          <w:szCs w:val="32"/>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40DE16BF">
        <w:tblPrEx>
          <w:tblCellMar>
            <w:top w:w="0" w:type="dxa"/>
            <w:left w:w="108" w:type="dxa"/>
            <w:bottom w:w="0" w:type="dxa"/>
            <w:right w:w="108" w:type="dxa"/>
          </w:tblCellMar>
        </w:tblPrEx>
        <w:trPr>
          <w:trHeight w:val="507" w:hRule="atLeast"/>
          <w:tblHeader/>
        </w:trPr>
        <w:tc>
          <w:tcPr>
            <w:tcW w:w="976" w:type="pct"/>
            <w:noWrap/>
            <w:vAlign w:val="bottom"/>
          </w:tcPr>
          <w:p w14:paraId="7773C8C9">
            <w:pPr>
              <w:widowControl/>
              <w:jc w:val="left"/>
              <w:rPr>
                <w:rFonts w:hint="eastAsia" w:ascii="宋体" w:hAnsi="宋体" w:eastAsia="宋体" w:cs="宋体"/>
                <w:kern w:val="0"/>
                <w:sz w:val="24"/>
                <w:szCs w:val="24"/>
              </w:rPr>
            </w:pPr>
            <w:r>
              <w:rPr>
                <w:rFonts w:ascii="Times New Roman" w:hAnsi="Times New Roman" w:eastAsia="宋体"/>
                <w:kern w:val="0"/>
                <w:sz w:val="20"/>
                <w:szCs w:val="20"/>
              </w:rPr>
              <w:br w:type="page"/>
            </w:r>
          </w:p>
        </w:tc>
        <w:tc>
          <w:tcPr>
            <w:tcW w:w="1221" w:type="pct"/>
            <w:noWrap/>
            <w:vAlign w:val="bottom"/>
          </w:tcPr>
          <w:p w14:paraId="1CD61BE5">
            <w:pPr>
              <w:widowControl/>
              <w:jc w:val="left"/>
              <w:rPr>
                <w:rFonts w:ascii="Times New Roman" w:hAnsi="Times New Roman" w:eastAsia="宋体"/>
                <w:kern w:val="0"/>
                <w:sz w:val="20"/>
                <w:szCs w:val="20"/>
              </w:rPr>
            </w:pPr>
          </w:p>
        </w:tc>
        <w:tc>
          <w:tcPr>
            <w:tcW w:w="2801" w:type="pct"/>
            <w:gridSpan w:val="3"/>
            <w:noWrap/>
            <w:vAlign w:val="center"/>
          </w:tcPr>
          <w:p w14:paraId="55B3966F">
            <w:pPr>
              <w:widowControl/>
              <w:snapToGrid w:val="0"/>
              <w:jc w:val="right"/>
              <w:textAlignment w:val="center"/>
              <w:rPr>
                <w:rFonts w:hint="eastAsia" w:asciiTheme="minorEastAsia" w:hAnsiTheme="minorEastAsia" w:cstheme="minorEastAsia"/>
                <w:color w:val="000000"/>
                <w:kern w:val="0"/>
                <w:sz w:val="13"/>
                <w:szCs w:val="13"/>
                <w:lang w:eastAsia="zh-CN" w:bidi="ar"/>
              </w:rPr>
            </w:pPr>
            <w:r>
              <w:rPr>
                <w:rFonts w:hint="eastAsia" w:asciiTheme="minorEastAsia" w:hAnsiTheme="minorEastAsia" w:cstheme="minorEastAsia"/>
                <w:color w:val="000000"/>
                <w:kern w:val="0"/>
                <w:sz w:val="18"/>
                <w:szCs w:val="18"/>
                <w:lang w:eastAsia="zh-CN" w:bidi="ar"/>
              </w:rPr>
              <w:t>注：若为空表，则为该部门（单位）无政府性基金支出</w:t>
            </w:r>
          </w:p>
        </w:tc>
      </w:tr>
      <w:tr w14:paraId="07BE6CB9">
        <w:tblPrEx>
          <w:tblCellMar>
            <w:top w:w="0" w:type="dxa"/>
            <w:left w:w="108" w:type="dxa"/>
            <w:bottom w:w="0" w:type="dxa"/>
            <w:right w:w="108" w:type="dxa"/>
          </w:tblCellMar>
        </w:tblPrEx>
        <w:trPr>
          <w:trHeight w:val="564" w:hRule="atLeast"/>
          <w:tblHeader/>
        </w:trPr>
        <w:tc>
          <w:tcPr>
            <w:tcW w:w="5000" w:type="pct"/>
            <w:gridSpan w:val="5"/>
            <w:noWrap/>
            <w:vAlign w:val="center"/>
          </w:tcPr>
          <w:p w14:paraId="26293D1B">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政府性基金预算支出表</w:t>
            </w:r>
          </w:p>
        </w:tc>
      </w:tr>
      <w:tr w14:paraId="1596929D">
        <w:tblPrEx>
          <w:tblCellMar>
            <w:top w:w="0" w:type="dxa"/>
            <w:left w:w="108" w:type="dxa"/>
            <w:bottom w:w="0" w:type="dxa"/>
            <w:right w:w="108" w:type="dxa"/>
          </w:tblCellMar>
        </w:tblPrEx>
        <w:trPr>
          <w:trHeight w:val="405" w:hRule="atLeast"/>
          <w:tblHeader/>
        </w:trPr>
        <w:tc>
          <w:tcPr>
            <w:tcW w:w="2198" w:type="pct"/>
            <w:gridSpan w:val="2"/>
            <w:noWrap/>
            <w:vAlign w:val="center"/>
          </w:tcPr>
          <w:p w14:paraId="1648DB35">
            <w:pPr>
              <w:widowControl/>
              <w:jc w:val="both"/>
              <w:rPr>
                <w:rFonts w:hint="eastAsia" w:ascii="宋体" w:hAnsi="宋体" w:eastAsia="宋体" w:cs="Arial"/>
                <w:color w:val="000000"/>
                <w:kern w:val="0"/>
                <w:sz w:val="24"/>
                <w:szCs w:val="24"/>
                <w:lang w:eastAsia="zh-CN"/>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201105兴国县思源实验小学</w:t>
            </w:r>
          </w:p>
        </w:tc>
        <w:tc>
          <w:tcPr>
            <w:tcW w:w="1099" w:type="pct"/>
            <w:noWrap/>
            <w:vAlign w:val="bottom"/>
          </w:tcPr>
          <w:p w14:paraId="011C54A5">
            <w:pPr>
              <w:rPr>
                <w:rFonts w:hint="eastAsia" w:ascii="宋体" w:hAnsi="宋体" w:eastAsia="宋体" w:cs="Arial"/>
                <w:color w:val="000000"/>
                <w:kern w:val="0"/>
                <w:sz w:val="24"/>
                <w:szCs w:val="24"/>
              </w:rPr>
            </w:pPr>
          </w:p>
        </w:tc>
        <w:tc>
          <w:tcPr>
            <w:tcW w:w="766" w:type="pct"/>
            <w:noWrap/>
            <w:vAlign w:val="bottom"/>
          </w:tcPr>
          <w:p w14:paraId="2D92C244">
            <w:pPr>
              <w:widowControl/>
              <w:jc w:val="left"/>
              <w:rPr>
                <w:rFonts w:ascii="Times New Roman" w:hAnsi="Times New Roman" w:eastAsia="宋体"/>
                <w:kern w:val="0"/>
                <w:sz w:val="20"/>
                <w:szCs w:val="20"/>
              </w:rPr>
            </w:pPr>
          </w:p>
        </w:tc>
        <w:tc>
          <w:tcPr>
            <w:tcW w:w="935" w:type="pct"/>
            <w:noWrap/>
            <w:vAlign w:val="center"/>
          </w:tcPr>
          <w:p w14:paraId="6A4CC16C">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00A4C85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01D3D14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1D800E3">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55837430">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47186774">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21" w:type="pct"/>
            <w:tcBorders>
              <w:top w:val="nil"/>
              <w:left w:val="nil"/>
              <w:bottom w:val="single" w:color="000000" w:sz="4" w:space="0"/>
              <w:right w:val="single" w:color="000000" w:sz="4" w:space="0"/>
            </w:tcBorders>
            <w:noWrap/>
            <w:vAlign w:val="center"/>
          </w:tcPr>
          <w:p w14:paraId="11B3DF6E">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99" w:type="pct"/>
            <w:tcBorders>
              <w:top w:val="nil"/>
              <w:left w:val="nil"/>
              <w:bottom w:val="single" w:color="000000" w:sz="4" w:space="0"/>
              <w:right w:val="single" w:color="000000" w:sz="4" w:space="0"/>
            </w:tcBorders>
            <w:noWrap/>
            <w:vAlign w:val="center"/>
          </w:tcPr>
          <w:p w14:paraId="2299866D">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6" w:type="pct"/>
            <w:tcBorders>
              <w:top w:val="nil"/>
              <w:left w:val="nil"/>
              <w:bottom w:val="single" w:color="000000" w:sz="4" w:space="0"/>
              <w:right w:val="single" w:color="000000" w:sz="4" w:space="0"/>
            </w:tcBorders>
            <w:noWrap/>
            <w:vAlign w:val="center"/>
          </w:tcPr>
          <w:p w14:paraId="4CBFD5B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35" w:type="pct"/>
            <w:tcBorders>
              <w:top w:val="nil"/>
              <w:left w:val="nil"/>
              <w:bottom w:val="single" w:color="000000" w:sz="4" w:space="0"/>
              <w:right w:val="single" w:color="000000" w:sz="4" w:space="0"/>
            </w:tcBorders>
            <w:noWrap/>
            <w:vAlign w:val="center"/>
          </w:tcPr>
          <w:p w14:paraId="50C355D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65F36488">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12BE0EA">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21" w:type="pct"/>
            <w:tcBorders>
              <w:top w:val="nil"/>
              <w:left w:val="nil"/>
              <w:bottom w:val="single" w:color="000000" w:sz="4" w:space="0"/>
              <w:right w:val="single" w:color="000000" w:sz="4" w:space="0"/>
            </w:tcBorders>
            <w:noWrap/>
            <w:vAlign w:val="center"/>
          </w:tcPr>
          <w:p w14:paraId="0C06B5C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99" w:type="pct"/>
            <w:tcBorders>
              <w:top w:val="nil"/>
              <w:left w:val="nil"/>
              <w:bottom w:val="single" w:color="000000" w:sz="4" w:space="0"/>
              <w:right w:val="single" w:color="000000" w:sz="4" w:space="0"/>
            </w:tcBorders>
            <w:noWrap/>
            <w:vAlign w:val="center"/>
          </w:tcPr>
          <w:p w14:paraId="729C955B">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6" w:type="pct"/>
            <w:tcBorders>
              <w:top w:val="nil"/>
              <w:left w:val="nil"/>
              <w:bottom w:val="single" w:color="000000" w:sz="4" w:space="0"/>
              <w:right w:val="single" w:color="000000" w:sz="4" w:space="0"/>
            </w:tcBorders>
            <w:noWrap/>
            <w:vAlign w:val="center"/>
          </w:tcPr>
          <w:p w14:paraId="55F099EE">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35" w:type="pct"/>
            <w:tcBorders>
              <w:top w:val="nil"/>
              <w:left w:val="nil"/>
              <w:bottom w:val="single" w:color="000000" w:sz="4" w:space="0"/>
              <w:right w:val="single" w:color="000000" w:sz="4" w:space="0"/>
            </w:tcBorders>
            <w:noWrap/>
            <w:vAlign w:val="center"/>
          </w:tcPr>
          <w:p w14:paraId="026648A9">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526EB36D">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6477B595">
        <w:tblPrEx>
          <w:tblCellMar>
            <w:top w:w="0" w:type="dxa"/>
            <w:left w:w="108" w:type="dxa"/>
            <w:bottom w:w="0" w:type="dxa"/>
            <w:right w:w="108" w:type="dxa"/>
          </w:tblCellMar>
        </w:tblPrEx>
        <w:trPr>
          <w:trHeight w:val="619" w:hRule="atLeast"/>
          <w:tblHeader/>
        </w:trPr>
        <w:tc>
          <w:tcPr>
            <w:tcW w:w="960" w:type="pct"/>
            <w:noWrap/>
            <w:vAlign w:val="bottom"/>
          </w:tcPr>
          <w:p w14:paraId="5CC206F1">
            <w:pPr>
              <w:rPr>
                <w:rStyle w:val="13"/>
                <w:rFonts w:hint="eastAsia" w:ascii="仿宋" w:hAnsi="仿宋" w:eastAsia="仿宋"/>
                <w:bCs/>
                <w:sz w:val="32"/>
                <w:szCs w:val="32"/>
              </w:rPr>
            </w:pPr>
          </w:p>
        </w:tc>
        <w:tc>
          <w:tcPr>
            <w:tcW w:w="1233" w:type="pct"/>
            <w:noWrap/>
            <w:vAlign w:val="bottom"/>
          </w:tcPr>
          <w:p w14:paraId="65CD1E9C">
            <w:pPr>
              <w:widowControl/>
              <w:jc w:val="left"/>
              <w:rPr>
                <w:rFonts w:ascii="Times New Roman" w:hAnsi="Times New Roman" w:eastAsia="宋体"/>
                <w:kern w:val="0"/>
                <w:sz w:val="20"/>
                <w:szCs w:val="20"/>
              </w:rPr>
            </w:pPr>
          </w:p>
        </w:tc>
        <w:tc>
          <w:tcPr>
            <w:tcW w:w="2805" w:type="pct"/>
            <w:gridSpan w:val="3"/>
            <w:noWrap/>
            <w:vAlign w:val="center"/>
          </w:tcPr>
          <w:p w14:paraId="4C6CF4B6">
            <w:pPr>
              <w:widowControl/>
              <w:jc w:val="right"/>
              <w:rPr>
                <w:rFonts w:ascii="宋体" w:hAnsi="宋体" w:eastAsia="宋体" w:cs="Arial"/>
                <w:color w:val="000000"/>
                <w:kern w:val="0"/>
                <w:sz w:val="24"/>
                <w:szCs w:val="24"/>
              </w:rPr>
            </w:pPr>
            <w:r>
              <w:rPr>
                <w:rFonts w:hint="eastAsia" w:ascii="宋体" w:hAnsi="宋体" w:eastAsia="宋体" w:cs="Arial"/>
                <w:color w:val="000000"/>
                <w:kern w:val="0"/>
                <w:sz w:val="18"/>
                <w:szCs w:val="18"/>
              </w:rPr>
              <w:t>注：若为空表，则为该部门（单位）无国有资本经营预算支出</w:t>
            </w:r>
          </w:p>
        </w:tc>
      </w:tr>
      <w:tr w14:paraId="2631CF0B">
        <w:tblPrEx>
          <w:tblCellMar>
            <w:top w:w="0" w:type="dxa"/>
            <w:left w:w="108" w:type="dxa"/>
            <w:bottom w:w="0" w:type="dxa"/>
            <w:right w:w="108" w:type="dxa"/>
          </w:tblCellMar>
        </w:tblPrEx>
        <w:trPr>
          <w:trHeight w:val="613" w:hRule="atLeast"/>
          <w:tblHeader/>
        </w:trPr>
        <w:tc>
          <w:tcPr>
            <w:tcW w:w="5000" w:type="pct"/>
            <w:gridSpan w:val="5"/>
            <w:noWrap/>
            <w:vAlign w:val="center"/>
          </w:tcPr>
          <w:p w14:paraId="0EB6FE3E">
            <w:pPr>
              <w:widowControl/>
              <w:jc w:val="center"/>
              <w:rPr>
                <w:rFonts w:hint="eastAsia" w:ascii="宋体" w:hAnsi="宋体" w:eastAsia="宋体" w:cs="Arial"/>
                <w:b/>
                <w:bCs/>
                <w:color w:val="000000"/>
                <w:kern w:val="0"/>
                <w:sz w:val="44"/>
                <w:szCs w:val="44"/>
              </w:rPr>
            </w:pPr>
            <w:r>
              <w:rPr>
                <w:rFonts w:hint="eastAsia" w:asciiTheme="minorEastAsia" w:hAnsiTheme="minorEastAsia" w:eastAsiaTheme="minorEastAsia" w:cstheme="minorEastAsia"/>
                <w:b/>
                <w:bCs/>
                <w:color w:val="000000"/>
                <w:kern w:val="0"/>
                <w:sz w:val="24"/>
                <w:szCs w:val="24"/>
                <w:lang w:bidi="ar"/>
              </w:rPr>
              <w:t>国有资本经营预算支出表</w:t>
            </w:r>
          </w:p>
        </w:tc>
      </w:tr>
      <w:tr w14:paraId="1A911BA0">
        <w:tblPrEx>
          <w:tblCellMar>
            <w:top w:w="0" w:type="dxa"/>
            <w:left w:w="108" w:type="dxa"/>
            <w:bottom w:w="0" w:type="dxa"/>
            <w:right w:w="108" w:type="dxa"/>
          </w:tblCellMar>
        </w:tblPrEx>
        <w:trPr>
          <w:trHeight w:val="413" w:hRule="atLeast"/>
          <w:tblHeader/>
        </w:trPr>
        <w:tc>
          <w:tcPr>
            <w:tcW w:w="3282" w:type="pct"/>
            <w:gridSpan w:val="3"/>
            <w:noWrap/>
            <w:vAlign w:val="center"/>
          </w:tcPr>
          <w:p w14:paraId="541CE518">
            <w:pPr>
              <w:jc w:val="left"/>
              <w:rPr>
                <w:rFonts w:hint="eastAsia"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填报单位</w:t>
            </w:r>
            <w:r>
              <w:rPr>
                <w:rFonts w:hint="eastAsia" w:asciiTheme="minorEastAsia" w:hAnsiTheme="minorEastAsia" w:cstheme="minorEastAsia"/>
                <w:color w:val="000000"/>
                <w:kern w:val="0"/>
                <w:sz w:val="18"/>
                <w:szCs w:val="18"/>
                <w:lang w:eastAsia="zh-CN" w:bidi="ar"/>
              </w:rPr>
              <w:t>：</w:t>
            </w:r>
            <w:r>
              <w:rPr>
                <w:rFonts w:hint="eastAsia" w:asciiTheme="minorEastAsia" w:hAnsiTheme="minorEastAsia" w:cstheme="minorEastAsia"/>
                <w:color w:val="000000"/>
                <w:kern w:val="0"/>
                <w:sz w:val="18"/>
                <w:szCs w:val="18"/>
                <w:lang w:bidi="ar"/>
              </w:rPr>
              <w:t>201105兴国县思源实验小学</w:t>
            </w:r>
          </w:p>
        </w:tc>
        <w:tc>
          <w:tcPr>
            <w:tcW w:w="762" w:type="pct"/>
            <w:noWrap/>
            <w:vAlign w:val="bottom"/>
          </w:tcPr>
          <w:p w14:paraId="573840F3">
            <w:pPr>
              <w:widowControl/>
              <w:jc w:val="left"/>
              <w:rPr>
                <w:rFonts w:ascii="Times New Roman" w:hAnsi="Times New Roman" w:eastAsia="宋体"/>
                <w:kern w:val="0"/>
                <w:sz w:val="20"/>
                <w:szCs w:val="20"/>
              </w:rPr>
            </w:pPr>
          </w:p>
        </w:tc>
        <w:tc>
          <w:tcPr>
            <w:tcW w:w="954" w:type="pct"/>
            <w:noWrap/>
            <w:vAlign w:val="center"/>
          </w:tcPr>
          <w:p w14:paraId="1BBA611A">
            <w:pPr>
              <w:widowControl/>
              <w:jc w:val="right"/>
              <w:rPr>
                <w:rFonts w:ascii="宋体" w:hAnsi="宋体" w:eastAsia="宋体" w:cs="Arial"/>
                <w:color w:val="000000"/>
                <w:kern w:val="0"/>
                <w:sz w:val="24"/>
                <w:szCs w:val="24"/>
              </w:rPr>
            </w:pPr>
            <w:r>
              <w:rPr>
                <w:rFonts w:hint="eastAsia" w:asciiTheme="minorEastAsia" w:hAnsiTheme="minorEastAsia" w:cstheme="minorEastAsia"/>
                <w:color w:val="000000"/>
                <w:kern w:val="0"/>
                <w:sz w:val="18"/>
                <w:szCs w:val="18"/>
                <w:lang w:bidi="ar"/>
              </w:rPr>
              <w:t>单位：万元</w:t>
            </w:r>
          </w:p>
        </w:tc>
      </w:tr>
      <w:tr w14:paraId="0EC0605E">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6CA62FBC">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7D6E47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eastAsia="zh-CN" w:bidi="ar"/>
              </w:rPr>
              <w:t>2026</w:t>
            </w:r>
            <w:r>
              <w:rPr>
                <w:rFonts w:hint="eastAsia" w:asciiTheme="minorEastAsia" w:hAnsiTheme="minorEastAsia" w:cstheme="minorEastAsia"/>
                <w:color w:val="000000"/>
                <w:kern w:val="0"/>
                <w:sz w:val="18"/>
                <w:szCs w:val="18"/>
                <w:lang w:bidi="ar"/>
              </w:rPr>
              <w:t>年预算数</w:t>
            </w:r>
          </w:p>
        </w:tc>
      </w:tr>
      <w:tr w14:paraId="4F3BF589">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153389B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科目编码</w:t>
            </w:r>
          </w:p>
        </w:tc>
        <w:tc>
          <w:tcPr>
            <w:tcW w:w="1233" w:type="pct"/>
            <w:tcBorders>
              <w:top w:val="nil"/>
              <w:left w:val="nil"/>
              <w:bottom w:val="single" w:color="000000" w:sz="4" w:space="0"/>
              <w:right w:val="single" w:color="000000" w:sz="4" w:space="0"/>
            </w:tcBorders>
            <w:noWrap/>
            <w:vAlign w:val="center"/>
          </w:tcPr>
          <w:p w14:paraId="110C83FF">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 xml:space="preserve">科目名称 </w:t>
            </w:r>
          </w:p>
        </w:tc>
        <w:tc>
          <w:tcPr>
            <w:tcW w:w="1088" w:type="pct"/>
            <w:tcBorders>
              <w:top w:val="nil"/>
              <w:left w:val="nil"/>
              <w:bottom w:val="single" w:color="000000" w:sz="4" w:space="0"/>
              <w:right w:val="single" w:color="000000" w:sz="4" w:space="0"/>
            </w:tcBorders>
            <w:noWrap/>
            <w:vAlign w:val="center"/>
          </w:tcPr>
          <w:p w14:paraId="3CF6D249">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合计</w:t>
            </w:r>
          </w:p>
        </w:tc>
        <w:tc>
          <w:tcPr>
            <w:tcW w:w="762" w:type="pct"/>
            <w:tcBorders>
              <w:top w:val="nil"/>
              <w:left w:val="nil"/>
              <w:bottom w:val="single" w:color="000000" w:sz="4" w:space="0"/>
              <w:right w:val="single" w:color="000000" w:sz="4" w:space="0"/>
            </w:tcBorders>
            <w:noWrap/>
            <w:vAlign w:val="center"/>
          </w:tcPr>
          <w:p w14:paraId="3C15FB8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基本支出</w:t>
            </w:r>
          </w:p>
        </w:tc>
        <w:tc>
          <w:tcPr>
            <w:tcW w:w="954" w:type="pct"/>
            <w:tcBorders>
              <w:top w:val="nil"/>
              <w:left w:val="nil"/>
              <w:bottom w:val="single" w:color="000000" w:sz="4" w:space="0"/>
              <w:right w:val="single" w:color="000000" w:sz="4" w:space="0"/>
            </w:tcBorders>
            <w:noWrap/>
            <w:vAlign w:val="center"/>
          </w:tcPr>
          <w:p w14:paraId="27313756">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项目支出</w:t>
            </w:r>
          </w:p>
        </w:tc>
      </w:tr>
      <w:tr w14:paraId="3CB99C44">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24E9E1E0">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6419B527">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257878E5">
            <w:pPr>
              <w:widowControl/>
              <w:snapToGrid w:val="0"/>
              <w:jc w:val="center"/>
              <w:textAlignment w:val="center"/>
              <w:rPr>
                <w:rFonts w:hint="eastAsia" w:asciiTheme="minorEastAsia" w:hAnsiTheme="minorEastAsia" w:cstheme="minorEastAsia"/>
                <w:color w:val="000000"/>
                <w:kern w:val="0"/>
                <w:sz w:val="18"/>
                <w:szCs w:val="18"/>
                <w:lang w:bidi="ar"/>
              </w:rPr>
            </w:pPr>
            <w:r>
              <w:rPr>
                <w:rFonts w:hint="eastAsia" w:asciiTheme="minorEastAsia" w:hAnsiTheme="minorEastAsia" w:cstheme="minorEastAsia"/>
                <w:color w:val="000000"/>
                <w:kern w:val="0"/>
                <w:sz w:val="18"/>
                <w:szCs w:val="18"/>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4A04A138">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767F252C">
            <w:pPr>
              <w:widowControl/>
              <w:snapToGrid w:val="0"/>
              <w:jc w:val="center"/>
              <w:textAlignment w:val="center"/>
              <w:rPr>
                <w:rFonts w:hint="eastAsia" w:asciiTheme="minorEastAsia" w:hAnsiTheme="minorEastAsia" w:cstheme="minorEastAsia"/>
                <w:color w:val="000000"/>
                <w:kern w:val="0"/>
                <w:sz w:val="18"/>
                <w:szCs w:val="18"/>
                <w:lang w:val="en-US" w:eastAsia="zh-CN" w:bidi="ar"/>
              </w:rPr>
            </w:pPr>
            <w:r>
              <w:rPr>
                <w:rFonts w:hint="eastAsia" w:asciiTheme="minorEastAsia" w:hAnsiTheme="minorEastAsia" w:cstheme="minorEastAsia"/>
                <w:color w:val="000000"/>
                <w:kern w:val="0"/>
                <w:sz w:val="18"/>
                <w:szCs w:val="18"/>
                <w:lang w:val="en-US" w:eastAsia="zh-CN" w:bidi="ar"/>
              </w:rPr>
              <w:t>3</w:t>
            </w:r>
          </w:p>
        </w:tc>
      </w:tr>
    </w:tbl>
    <w:p w14:paraId="09C6BC44">
      <w:pPr>
        <w:jc w:val="left"/>
        <w:rPr>
          <w:rStyle w:val="13"/>
          <w:rFonts w:hint="eastAsia" w:ascii="仿宋" w:hAnsi="仿宋" w:eastAsia="仿宋"/>
          <w:bCs/>
          <w:sz w:val="32"/>
          <w:szCs w:val="32"/>
        </w:rPr>
      </w:pPr>
      <w:r>
        <w:rPr>
          <w:rStyle w:val="13"/>
          <w:rFonts w:hint="eastAsia" w:ascii="仿宋" w:hAnsi="仿宋" w:eastAsia="仿宋"/>
          <w:bCs/>
          <w:sz w:val="32"/>
          <w:szCs w:val="32"/>
        </w:rPr>
        <w:br w:type="page"/>
      </w:r>
    </w:p>
    <w:p w14:paraId="4B8D5F60">
      <w:pPr>
        <w:rPr>
          <w:rFonts w:hint="eastAsia"/>
          <w:lang w:eastAsia="zh-CN"/>
        </w:rPr>
      </w:pPr>
    </w:p>
    <w:p w14:paraId="4416B503">
      <w:pPr>
        <w:pStyle w:val="2"/>
        <w:rPr>
          <w:rFonts w:hint="eastAsia"/>
          <w:lang w:eastAsia="zh-CN"/>
        </w:rPr>
        <w:sectPr>
          <w:pgSz w:w="11906" w:h="16838"/>
          <w:pgMar w:top="720" w:right="720" w:bottom="720" w:left="720" w:header="851" w:footer="992" w:gutter="0"/>
          <w:cols w:space="425" w:num="1"/>
          <w:docGrid w:type="lines" w:linePitch="312" w:charSpace="0"/>
        </w:sectPr>
      </w:pPr>
      <w:r>
        <w:drawing>
          <wp:inline distT="0" distB="0" distL="114300" distR="114300">
            <wp:extent cx="6638290" cy="6919595"/>
            <wp:effectExtent l="0" t="0" r="10160" b="146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6"/>
                    <a:stretch>
                      <a:fillRect/>
                    </a:stretch>
                  </pic:blipFill>
                  <pic:spPr>
                    <a:xfrm>
                      <a:off x="0" y="0"/>
                      <a:ext cx="6638290" cy="6919595"/>
                    </a:xfrm>
                    <a:prstGeom prst="rect">
                      <a:avLst/>
                    </a:prstGeom>
                    <a:noFill/>
                    <a:ln>
                      <a:noFill/>
                    </a:ln>
                  </pic:spPr>
                </pic:pic>
              </a:graphicData>
            </a:graphic>
          </wp:inline>
        </w:drawing>
      </w:r>
    </w:p>
    <w:p w14:paraId="70CF2CC1">
      <w:pPr>
        <w:pStyle w:val="18"/>
        <w:numPr>
          <w:ilvl w:val="0"/>
          <w:numId w:val="0"/>
        </w:numPr>
        <w:bidi w:val="0"/>
        <w:ind w:left="420" w:leftChars="200"/>
        <w:jc w:val="center"/>
        <w:rPr>
          <w:rFonts w:hint="eastAsia"/>
          <w:lang w:eastAsia="zh-CN"/>
        </w:rPr>
      </w:pPr>
      <w:r>
        <w:rPr>
          <w:rFonts w:hint="eastAsia"/>
          <w:lang w:val="en-US" w:eastAsia="zh-CN"/>
        </w:rPr>
        <w:t>第三部分  兴国县思源实验小学2026年单位预算情况说明</w:t>
      </w:r>
    </w:p>
    <w:p w14:paraId="1D61E754">
      <w:pPr>
        <w:widowControl/>
        <w:spacing w:line="580" w:lineRule="exact"/>
        <w:jc w:val="center"/>
        <w:rPr>
          <w:rFonts w:ascii="仿宋_GB2312" w:eastAsia="仿宋_GB2312"/>
          <w:b/>
          <w:sz w:val="32"/>
          <w:szCs w:val="30"/>
        </w:rPr>
      </w:pPr>
    </w:p>
    <w:p w14:paraId="7A4F2BB2">
      <w:pPr>
        <w:pStyle w:val="18"/>
        <w:numPr>
          <w:ilvl w:val="0"/>
          <w:numId w:val="0"/>
        </w:numPr>
        <w:bidi w:val="0"/>
        <w:ind w:left="420" w:leftChars="200" w:firstLine="321" w:firstLineChars="100"/>
        <w:rPr>
          <w:rFonts w:ascii="楷体_GB2312" w:eastAsia="楷体_GB2312"/>
          <w:b/>
          <w:sz w:val="32"/>
          <w:szCs w:val="30"/>
        </w:rPr>
      </w:pPr>
      <w:r>
        <w:rPr>
          <w:rFonts w:hint="eastAsia" w:ascii="楷体_GB2312" w:eastAsia="楷体_GB2312"/>
          <w:b/>
          <w:sz w:val="32"/>
          <w:szCs w:val="30"/>
        </w:rPr>
        <w:t>一、</w:t>
      </w:r>
      <w:r>
        <w:rPr>
          <w:rFonts w:hint="eastAsia" w:ascii="楷体_GB2312" w:eastAsia="楷体_GB2312"/>
          <w:b/>
          <w:sz w:val="32"/>
          <w:szCs w:val="30"/>
          <w:lang w:eastAsia="zh-CN"/>
        </w:rPr>
        <w:t>2026</w:t>
      </w:r>
      <w:r>
        <w:rPr>
          <w:rFonts w:hint="eastAsia" w:ascii="楷体_GB2312" w:eastAsia="楷体_GB2312"/>
          <w:b/>
          <w:sz w:val="32"/>
          <w:szCs w:val="30"/>
        </w:rPr>
        <w:t>年</w:t>
      </w:r>
      <w:r>
        <w:rPr>
          <w:rFonts w:hint="eastAsia" w:ascii="楷体_GB2312" w:eastAsia="楷体_GB2312"/>
          <w:b/>
          <w:sz w:val="32"/>
          <w:szCs w:val="30"/>
          <w:lang w:val="en-US" w:eastAsia="zh-CN"/>
        </w:rPr>
        <w:t>单位</w:t>
      </w:r>
      <w:r>
        <w:rPr>
          <w:rFonts w:hint="eastAsia" w:ascii="楷体_GB2312" w:eastAsia="楷体_GB2312"/>
          <w:b/>
          <w:sz w:val="32"/>
          <w:szCs w:val="30"/>
        </w:rPr>
        <w:t>预算收支情况说明</w:t>
      </w:r>
    </w:p>
    <w:p w14:paraId="3987491E">
      <w:pPr>
        <w:pStyle w:val="20"/>
        <w:numPr>
          <w:ilvl w:val="0"/>
          <w:numId w:val="0"/>
        </w:numPr>
        <w:bidi w:val="0"/>
        <w:ind w:left="420" w:leftChars="200"/>
        <w:rPr>
          <w:rFonts w:hint="eastAsia"/>
        </w:rPr>
      </w:pPr>
      <w:r>
        <w:rPr>
          <w:rFonts w:hint="eastAsia"/>
        </w:rPr>
        <w:t xml:space="preserve"> </w:t>
      </w:r>
      <w:r>
        <w:rPr>
          <w:rFonts w:hint="eastAsia"/>
          <w:lang w:eastAsia="zh-CN"/>
        </w:rPr>
        <w:t>（一）</w:t>
      </w:r>
      <w:r>
        <w:rPr>
          <w:rFonts w:hint="eastAsia"/>
        </w:rPr>
        <w:t>收入预算情况</w:t>
      </w:r>
    </w:p>
    <w:p w14:paraId="71E98ADD">
      <w:pPr>
        <w:pStyle w:val="19"/>
        <w:bidi w:val="0"/>
        <w:rPr>
          <w:rFonts w:hint="eastAsia"/>
          <w:lang w:eastAsia="zh-CN"/>
        </w:rPr>
      </w:pPr>
      <w:r>
        <w:rPr>
          <w:rFonts w:hint="eastAsia"/>
          <w:lang w:eastAsia="zh-CN"/>
        </w:rPr>
        <w:t>2026</w:t>
      </w:r>
      <w:r>
        <w:rPr>
          <w:rFonts w:hint="eastAsia"/>
        </w:rPr>
        <w:t>年</w:t>
      </w:r>
      <w:r>
        <w:rPr>
          <w:rFonts w:hint="eastAsia"/>
          <w:lang w:eastAsia="zh-CN"/>
        </w:rPr>
        <w:t>兴国县思源实验小学</w:t>
      </w:r>
      <w:r>
        <w:rPr>
          <w:rFonts w:hint="eastAsia"/>
        </w:rPr>
        <w:t>收入预算总额为3266.50万元</w:t>
      </w:r>
      <w:r>
        <w:rPr>
          <w:rFonts w:hint="eastAsia"/>
          <w:lang w:eastAsia="zh-CN"/>
        </w:rPr>
        <w:t>，</w:t>
      </w:r>
      <w:r>
        <w:rPr>
          <w:rFonts w:hint="eastAsia"/>
        </w:rPr>
        <w:t>较上年预算安排增加</w:t>
      </w:r>
      <w:r>
        <w:rPr>
          <w:rFonts w:hint="eastAsia"/>
          <w:lang w:val="en-US" w:eastAsia="zh-CN"/>
        </w:rPr>
        <w:t>95.20</w:t>
      </w:r>
      <w:r>
        <w:rPr>
          <w:rFonts w:hint="eastAsia"/>
        </w:rPr>
        <w:t>万元</w:t>
      </w:r>
      <w:r>
        <w:rPr>
          <w:rFonts w:hint="eastAsia"/>
          <w:lang w:eastAsia="zh-CN"/>
        </w:rPr>
        <w:t>，增减变化主要原因是：提高了教职工工资标准，教职工人员增加，相应收入增加。</w:t>
      </w:r>
    </w:p>
    <w:p w14:paraId="5CB820BB">
      <w:pPr>
        <w:pStyle w:val="19"/>
        <w:bidi w:val="0"/>
        <w:rPr>
          <w:rFonts w:hint="eastAsia"/>
          <w:lang w:eastAsia="zh-CN"/>
        </w:rPr>
      </w:pPr>
      <w:r>
        <w:rPr>
          <w:rFonts w:hint="eastAsia"/>
          <w:lang w:eastAsia="zh-CN"/>
        </w:rPr>
        <w:t>本年收入合计3219.00万元，较上年预算安排增加</w:t>
      </w:r>
      <w:r>
        <w:rPr>
          <w:rFonts w:hint="eastAsia"/>
          <w:lang w:val="en-US" w:eastAsia="zh-CN"/>
        </w:rPr>
        <w:t>95.20</w:t>
      </w:r>
      <w:r>
        <w:rPr>
          <w:rFonts w:hint="eastAsia"/>
          <w:lang w:eastAsia="zh-CN"/>
        </w:rPr>
        <w:t>万元；包括：财政拨款收入2369.00万元，较上年预算安排增加215.47 万元；教育收费资金收入</w:t>
      </w:r>
      <w:r>
        <w:rPr>
          <w:rFonts w:hint="eastAsia"/>
          <w:lang w:val="en-US" w:eastAsia="zh-CN"/>
        </w:rPr>
        <w:t>0</w:t>
      </w:r>
      <w:r>
        <w:rPr>
          <w:rFonts w:hint="eastAsia"/>
          <w:lang w:eastAsia="zh-CN"/>
        </w:rPr>
        <w:t>万元，较上年预算安排减少</w:t>
      </w:r>
      <w:r>
        <w:rPr>
          <w:rFonts w:hint="eastAsia"/>
          <w:lang w:val="en-US" w:eastAsia="zh-CN"/>
        </w:rPr>
        <w:t>0</w:t>
      </w:r>
      <w:r>
        <w:rPr>
          <w:rFonts w:hint="eastAsia"/>
          <w:lang w:eastAsia="zh-CN"/>
        </w:rPr>
        <w:t>万元；其他收入850.00万元，较上年预算安排增加</w:t>
      </w:r>
      <w:r>
        <w:rPr>
          <w:rFonts w:hint="eastAsia"/>
          <w:lang w:val="en-US" w:eastAsia="zh-CN"/>
        </w:rPr>
        <w:t>0</w:t>
      </w:r>
      <w:r>
        <w:rPr>
          <w:rFonts w:hint="eastAsia"/>
          <w:lang w:eastAsia="zh-CN"/>
        </w:rPr>
        <w:t>万元。上年结转47.50万元，较上年预算安排减少120.27 万元。</w:t>
      </w:r>
    </w:p>
    <w:p w14:paraId="651F80C4">
      <w:pPr>
        <w:pStyle w:val="20"/>
        <w:numPr>
          <w:ilvl w:val="0"/>
          <w:numId w:val="0"/>
        </w:numPr>
        <w:bidi w:val="0"/>
        <w:ind w:left="420" w:leftChars="200"/>
        <w:rPr>
          <w:rFonts w:hint="eastAsia"/>
        </w:rPr>
      </w:pPr>
      <w:r>
        <w:rPr>
          <w:rFonts w:hint="eastAsia"/>
        </w:rPr>
        <w:t xml:space="preserve"> </w:t>
      </w:r>
      <w:r>
        <w:rPr>
          <w:rFonts w:hint="eastAsia"/>
          <w:lang w:eastAsia="zh-CN"/>
        </w:rPr>
        <w:t>（二）</w:t>
      </w:r>
      <w:r>
        <w:rPr>
          <w:rFonts w:hint="eastAsia"/>
          <w:lang w:val="en-US" w:eastAsia="zh-CN"/>
        </w:rPr>
        <w:t>支出预算情况</w:t>
      </w:r>
    </w:p>
    <w:p w14:paraId="519FD120">
      <w:pPr>
        <w:pStyle w:val="19"/>
        <w:bidi w:val="0"/>
        <w:rPr>
          <w:rFonts w:hint="eastAsia"/>
          <w:color w:val="000000" w:themeColor="text1"/>
          <w14:textFill>
            <w14:solidFill>
              <w14:schemeClr w14:val="tx1"/>
            </w14:solidFill>
          </w14:textFill>
        </w:rPr>
      </w:pPr>
      <w:r>
        <w:rPr>
          <w:rFonts w:hint="eastAsia"/>
          <w:lang w:eastAsia="zh-CN"/>
        </w:rPr>
        <w:t>2026</w:t>
      </w:r>
      <w:r>
        <w:rPr>
          <w:rFonts w:hint="eastAsia"/>
        </w:rPr>
        <w:t>年</w:t>
      </w:r>
      <w:r>
        <w:rPr>
          <w:rFonts w:hint="eastAsia"/>
          <w:lang w:eastAsia="zh-CN"/>
        </w:rPr>
        <w:t>兴国县思源实验小学</w:t>
      </w:r>
      <w:r>
        <w:rPr>
          <w:rFonts w:hint="eastAsia"/>
        </w:rPr>
        <w:t>支出预算总额为3266.50万元</w:t>
      </w:r>
      <w:r>
        <w:rPr>
          <w:rFonts w:hint="eastAsia"/>
          <w:lang w:eastAsia="zh-CN"/>
        </w:rPr>
        <w:t>，</w:t>
      </w:r>
      <w:r>
        <w:rPr>
          <w:rFonts w:hint="eastAsia"/>
        </w:rPr>
        <w:t>较上年预算安排增加</w:t>
      </w:r>
      <w:r>
        <w:rPr>
          <w:rFonts w:hint="eastAsia"/>
          <w:lang w:val="en-US" w:eastAsia="zh-CN"/>
        </w:rPr>
        <w:t>95.20</w:t>
      </w:r>
      <w:r>
        <w:rPr>
          <w:rFonts w:hint="eastAsia"/>
        </w:rPr>
        <w:t xml:space="preserve"> 万元</w:t>
      </w:r>
      <w:r>
        <w:rPr>
          <w:rFonts w:hint="eastAsia"/>
          <w:lang w:eastAsia="zh-CN"/>
        </w:rPr>
        <w:t>，</w:t>
      </w:r>
      <w:r>
        <w:rPr>
          <w:rFonts w:hint="eastAsia"/>
          <w:color w:val="000000" w:themeColor="text1"/>
          <w14:textFill>
            <w14:solidFill>
              <w14:schemeClr w14:val="tx1"/>
            </w14:solidFill>
          </w14:textFill>
        </w:rPr>
        <w:t>增减变化主要原因是：</w:t>
      </w:r>
      <w:r>
        <w:rPr>
          <w:rFonts w:hint="eastAsia"/>
          <w:color w:val="000000" w:themeColor="text1"/>
          <w:lang w:eastAsia="zh-CN"/>
          <w14:textFill>
            <w14:solidFill>
              <w14:schemeClr w14:val="tx1"/>
            </w14:solidFill>
          </w14:textFill>
        </w:rPr>
        <w:t>提高了教职工工资标准，</w:t>
      </w:r>
      <w:r>
        <w:rPr>
          <w:rFonts w:hint="eastAsia"/>
          <w:color w:val="000000" w:themeColor="text1"/>
          <w14:textFill>
            <w14:solidFill>
              <w14:schemeClr w14:val="tx1"/>
            </w14:solidFill>
          </w14:textFill>
        </w:rPr>
        <w:t>教职工人员增加，相应支出增加。</w:t>
      </w:r>
    </w:p>
    <w:p w14:paraId="1703D7F2">
      <w:pPr>
        <w:pStyle w:val="19"/>
        <w:bidi w:val="0"/>
        <w:rPr>
          <w:rFonts w:hint="eastAsia"/>
        </w:rPr>
      </w:pPr>
      <w:r>
        <w:rPr>
          <w:rFonts w:hint="eastAsia"/>
        </w:rPr>
        <w:t>按支出项目类别划分：基本支出2146.64万元</w:t>
      </w:r>
      <w:r>
        <w:rPr>
          <w:rFonts w:hint="eastAsia"/>
          <w:lang w:eastAsia="zh-CN"/>
        </w:rPr>
        <w:t>，</w:t>
      </w:r>
      <w:r>
        <w:rPr>
          <w:rFonts w:hint="eastAsia"/>
        </w:rPr>
        <w:t>较上年预算安排</w:t>
      </w:r>
      <w:r>
        <w:rPr>
          <w:rFonts w:hint="eastAsia"/>
          <w:lang w:val="en-US" w:eastAsia="zh-CN"/>
        </w:rPr>
        <w:t>减少6.90</w:t>
      </w:r>
      <w:r>
        <w:rPr>
          <w:rFonts w:hint="eastAsia"/>
        </w:rPr>
        <w:t>万元</w:t>
      </w:r>
      <w:r>
        <w:rPr>
          <w:rFonts w:hint="eastAsia"/>
          <w:lang w:eastAsia="zh-CN"/>
        </w:rPr>
        <w:t>；</w:t>
      </w:r>
      <w:r>
        <w:rPr>
          <w:rFonts w:hint="eastAsia"/>
        </w:rPr>
        <w:t>项目支出1119.86万元</w:t>
      </w:r>
      <w:r>
        <w:rPr>
          <w:rFonts w:hint="eastAsia"/>
          <w:lang w:eastAsia="zh-CN"/>
        </w:rPr>
        <w:t>，</w:t>
      </w:r>
      <w:r>
        <w:rPr>
          <w:rFonts w:hint="eastAsia"/>
        </w:rPr>
        <w:t>较上年预算安排增加102.1</w:t>
      </w:r>
      <w:r>
        <w:rPr>
          <w:rFonts w:hint="eastAsia"/>
          <w:lang w:val="en-US" w:eastAsia="zh-CN"/>
        </w:rPr>
        <w:t>0</w:t>
      </w:r>
      <w:r>
        <w:rPr>
          <w:rFonts w:hint="eastAsia"/>
        </w:rPr>
        <w:t>万元。</w:t>
      </w:r>
    </w:p>
    <w:p w14:paraId="23CF976F">
      <w:pPr>
        <w:pStyle w:val="19"/>
        <w:bidi w:val="0"/>
        <w:rPr>
          <w:rFonts w:hint="eastAsia"/>
        </w:rPr>
      </w:pPr>
      <w:r>
        <w:rPr>
          <w:rFonts w:hint="eastAsia"/>
        </w:rPr>
        <w:t>按支出功能科目划分：教育支出2008.87万元，较上年预算安排</w:t>
      </w:r>
      <w:r>
        <w:rPr>
          <w:rFonts w:hint="eastAsia"/>
          <w:lang w:eastAsia="zh-CN"/>
        </w:rPr>
        <w:t>增加</w:t>
      </w:r>
      <w:r>
        <w:rPr>
          <w:rFonts w:hint="eastAsia"/>
        </w:rPr>
        <w:t>255.47 万元；社会保障和就业支出248.44万元，较上年预算安排</w:t>
      </w:r>
      <w:r>
        <w:rPr>
          <w:rFonts w:hint="eastAsia"/>
          <w:lang w:eastAsia="zh-CN"/>
        </w:rPr>
        <w:t>减少</w:t>
      </w:r>
      <w:r>
        <w:rPr>
          <w:rFonts w:hint="eastAsia"/>
        </w:rPr>
        <w:t>23.70 万元</w:t>
      </w:r>
      <w:r>
        <w:rPr>
          <w:rFonts w:hint="eastAsia"/>
          <w:color w:val="000000" w:themeColor="text1"/>
          <w14:textFill>
            <w14:solidFill>
              <w14:schemeClr w14:val="tx1"/>
            </w14:solidFill>
          </w14:textFill>
        </w:rPr>
        <w:t>；住房保障支出</w:t>
      </w:r>
      <w:r>
        <w:rPr>
          <w:rFonts w:hint="eastAsia"/>
          <w:color w:val="000000" w:themeColor="text1"/>
          <w:lang w:val="en-US" w:eastAsia="zh-CN"/>
          <w14:textFill>
            <w14:solidFill>
              <w14:schemeClr w14:val="tx1"/>
            </w14:solidFill>
          </w14:textFill>
        </w:rPr>
        <w:t>0.00</w:t>
      </w:r>
      <w:r>
        <w:rPr>
          <w:rFonts w:hint="eastAsia"/>
          <w:color w:val="000000" w:themeColor="text1"/>
          <w14:textFill>
            <w14:solidFill>
              <w14:schemeClr w14:val="tx1"/>
            </w14:solidFill>
          </w14:textFill>
        </w:rPr>
        <w:t>万元，较上年预算安排</w:t>
      </w:r>
      <w:r>
        <w:rPr>
          <w:rFonts w:hint="eastAsia"/>
          <w:color w:val="000000" w:themeColor="text1"/>
          <w:lang w:val="en-US" w:eastAsia="zh-CN"/>
          <w14:textFill>
            <w14:solidFill>
              <w14:schemeClr w14:val="tx1"/>
            </w14:solidFill>
          </w14:textFill>
        </w:rPr>
        <w:t>减少200.45</w:t>
      </w:r>
      <w:r>
        <w:rPr>
          <w:rFonts w:hint="eastAsia"/>
          <w:color w:val="000000" w:themeColor="text1"/>
          <w14:textFill>
            <w14:solidFill>
              <w14:schemeClr w14:val="tx1"/>
            </w14:solidFill>
          </w14:textFill>
        </w:rPr>
        <w:t xml:space="preserve"> 万元；卫生健康支出159.19万元，较上年预算安排</w:t>
      </w:r>
      <w:r>
        <w:rPr>
          <w:rFonts w:hint="eastAsia"/>
          <w:color w:val="000000" w:themeColor="text1"/>
          <w:lang w:eastAsia="zh-CN"/>
          <w14:textFill>
            <w14:solidFill>
              <w14:schemeClr w14:val="tx1"/>
            </w14:solidFill>
          </w14:textFill>
        </w:rPr>
        <w:t>增加</w:t>
      </w:r>
      <w:r>
        <w:rPr>
          <w:rFonts w:hint="eastAsia"/>
          <w:color w:val="000000" w:themeColor="text1"/>
          <w14:textFill>
            <w14:solidFill>
              <w14:schemeClr w14:val="tx1"/>
            </w14:solidFill>
          </w14:textFill>
        </w:rPr>
        <w:t>63.88 万元；其</w:t>
      </w:r>
      <w:r>
        <w:rPr>
          <w:rFonts w:hint="eastAsia"/>
        </w:rPr>
        <w:t>他支出850.00万元，较上年预算安排增加</w:t>
      </w:r>
      <w:r>
        <w:rPr>
          <w:rFonts w:hint="eastAsia"/>
          <w:lang w:val="en-US" w:eastAsia="zh-CN"/>
        </w:rPr>
        <w:t>0.00</w:t>
      </w:r>
      <w:r>
        <w:rPr>
          <w:rFonts w:hint="eastAsia"/>
        </w:rPr>
        <w:t>万元。</w:t>
      </w:r>
    </w:p>
    <w:p w14:paraId="41460B2D">
      <w:pPr>
        <w:pStyle w:val="19"/>
        <w:bidi w:val="0"/>
        <w:rPr>
          <w:rFonts w:hint="eastAsia"/>
        </w:rPr>
      </w:pPr>
      <w:r>
        <w:rPr>
          <w:rFonts w:hint="eastAsia"/>
        </w:rPr>
        <w:t>按支出经济分类划分：工资福利支出2133.49万元，较上年预算安排增加219.92万元；</w:t>
      </w:r>
      <w:r>
        <w:rPr>
          <w:rFonts w:hint="eastAsia"/>
          <w:color w:val="000000" w:themeColor="text1"/>
          <w14:textFill>
            <w14:solidFill>
              <w14:schemeClr w14:val="tx1"/>
            </w14:solidFill>
          </w14:textFill>
        </w:rPr>
        <w:t>商品和服务支出1045.36万元，较上年预算安排增加809.4</w:t>
      </w:r>
      <w:r>
        <w:rPr>
          <w:rFonts w:hint="eastAsia"/>
          <w:color w:val="000000" w:themeColor="text1"/>
          <w:lang w:val="en-US" w:eastAsia="zh-CN"/>
          <w14:textFill>
            <w14:solidFill>
              <w14:schemeClr w14:val="tx1"/>
            </w14:solidFill>
          </w14:textFill>
        </w:rPr>
        <w:t>0</w:t>
      </w:r>
      <w:r>
        <w:rPr>
          <w:rFonts w:hint="eastAsia"/>
          <w:color w:val="000000" w:themeColor="text1"/>
          <w14:textFill>
            <w14:solidFill>
              <w14:schemeClr w14:val="tx1"/>
            </w14:solidFill>
          </w14:textFill>
        </w:rPr>
        <w:t>万元</w:t>
      </w:r>
      <w:r>
        <w:rPr>
          <w:rFonts w:hint="eastAsia"/>
        </w:rPr>
        <w:t>；对个人和家庭的补助13.15万元，较上年预算安排增加13.15万元；资本性支出27.00万元，较上年预算安排增加23</w:t>
      </w:r>
      <w:r>
        <w:rPr>
          <w:rFonts w:hint="eastAsia"/>
          <w:lang w:val="en-US" w:eastAsia="zh-CN"/>
        </w:rPr>
        <w:t>.00</w:t>
      </w:r>
      <w:r>
        <w:rPr>
          <w:rFonts w:hint="eastAsia"/>
        </w:rPr>
        <w:t>万元；其他支出47.50万元，较上年预算安排减少970.2</w:t>
      </w:r>
      <w:r>
        <w:rPr>
          <w:rFonts w:hint="eastAsia"/>
          <w:lang w:val="en-US" w:eastAsia="zh-CN"/>
        </w:rPr>
        <w:t>7</w:t>
      </w:r>
      <w:r>
        <w:rPr>
          <w:rFonts w:hint="eastAsia"/>
        </w:rPr>
        <w:t>万元。</w:t>
      </w:r>
    </w:p>
    <w:p w14:paraId="797F663F">
      <w:pPr>
        <w:pStyle w:val="20"/>
        <w:numPr>
          <w:ilvl w:val="0"/>
          <w:numId w:val="0"/>
        </w:numPr>
        <w:bidi w:val="0"/>
        <w:ind w:left="420" w:leftChars="200"/>
        <w:rPr>
          <w:rFonts w:hint="eastAsia"/>
          <w:lang w:val="en-US" w:eastAsia="zh-CN"/>
        </w:rPr>
      </w:pPr>
      <w:r>
        <w:rPr>
          <w:rFonts w:hint="eastAsia"/>
          <w:lang w:val="en-US" w:eastAsia="zh-CN"/>
        </w:rPr>
        <w:t xml:space="preserve"> （三）财政拨款支出情况</w:t>
      </w:r>
    </w:p>
    <w:p w14:paraId="3BABCC20">
      <w:pPr>
        <w:pStyle w:val="19"/>
        <w:bidi w:val="0"/>
        <w:rPr>
          <w:rFonts w:hint="eastAsia"/>
        </w:rPr>
      </w:pPr>
      <w:r>
        <w:rPr>
          <w:rFonts w:hint="eastAsia"/>
          <w:lang w:eastAsia="zh-CN"/>
        </w:rPr>
        <w:t>2026</w:t>
      </w:r>
      <w:r>
        <w:rPr>
          <w:rFonts w:hint="eastAsia"/>
        </w:rPr>
        <w:t>年</w:t>
      </w:r>
      <w:r>
        <w:rPr>
          <w:rFonts w:hint="eastAsia"/>
          <w:lang w:eastAsia="zh-CN"/>
        </w:rPr>
        <w:t>兴国县思源实验小学</w:t>
      </w:r>
      <w:r>
        <w:rPr>
          <w:rFonts w:hint="eastAsia"/>
        </w:rPr>
        <w:t>财政拨款支出预算总额2416.50万元</w:t>
      </w:r>
      <w:r>
        <w:rPr>
          <w:rFonts w:hint="eastAsia"/>
          <w:lang w:eastAsia="zh-CN"/>
        </w:rPr>
        <w:t>，</w:t>
      </w:r>
      <w:r>
        <w:rPr>
          <w:rFonts w:hint="eastAsia"/>
        </w:rPr>
        <w:t>较上年预算安排增加262.97万元</w:t>
      </w:r>
      <w:r>
        <w:rPr>
          <w:rFonts w:hint="eastAsia"/>
          <w:lang w:eastAsia="zh-CN"/>
        </w:rPr>
        <w:t>，</w:t>
      </w:r>
      <w:r>
        <w:rPr>
          <w:rFonts w:hint="eastAsia"/>
          <w:color w:val="000000" w:themeColor="text1"/>
          <w14:textFill>
            <w14:solidFill>
              <w14:schemeClr w14:val="tx1"/>
            </w14:solidFill>
          </w14:textFill>
        </w:rPr>
        <w:t>增减变化主要原因是：</w:t>
      </w:r>
      <w:r>
        <w:rPr>
          <w:rFonts w:hint="eastAsia" w:ascii="仿宋" w:hAnsi="仿宋" w:eastAsia="仿宋" w:cs="仿宋"/>
          <w:color w:val="auto"/>
          <w:sz w:val="32"/>
          <w:szCs w:val="32"/>
          <w:u w:val="none"/>
          <w:lang w:eastAsia="zh-CN"/>
        </w:rPr>
        <w:t>提高了教职工工资标准，教职工人员增加，相应支出增加。</w:t>
      </w:r>
    </w:p>
    <w:p w14:paraId="127D42BD">
      <w:pPr>
        <w:pStyle w:val="19"/>
        <w:bidi w:val="0"/>
        <w:rPr>
          <w:rFonts w:hint="eastAsia"/>
        </w:rPr>
      </w:pPr>
      <w:r>
        <w:rPr>
          <w:rFonts w:hint="eastAsia"/>
        </w:rPr>
        <w:t>按支出功能科目划分：教育支出2008.87万元，社会保障和就业支出248.44万元，卫生健康支出159.19万元。</w:t>
      </w:r>
    </w:p>
    <w:p w14:paraId="20A89C7B">
      <w:pPr>
        <w:pStyle w:val="19"/>
        <w:bidi w:val="0"/>
        <w:rPr>
          <w:rFonts w:hint="eastAsia"/>
        </w:rPr>
      </w:pPr>
      <w:r>
        <w:rPr>
          <w:rFonts w:hint="eastAsia"/>
        </w:rPr>
        <w:t>按支出项目类别划分：基本支出2146.64万元</w:t>
      </w:r>
      <w:r>
        <w:rPr>
          <w:rFonts w:hint="eastAsia"/>
          <w:lang w:eastAsia="zh-CN"/>
        </w:rPr>
        <w:t>，</w:t>
      </w:r>
      <w:r>
        <w:rPr>
          <w:rFonts w:hint="eastAsia"/>
        </w:rPr>
        <w:t>项目支出269.86万元。</w:t>
      </w:r>
    </w:p>
    <w:p w14:paraId="2B365C7A">
      <w:pPr>
        <w:pStyle w:val="19"/>
        <w:bidi w:val="0"/>
        <w:rPr>
          <w:rFonts w:hint="eastAsia"/>
        </w:rPr>
      </w:pPr>
      <w:r>
        <w:rPr>
          <w:rFonts w:hint="eastAsia"/>
        </w:rPr>
        <w:t>按支</w:t>
      </w:r>
      <w:r>
        <w:rPr>
          <w:rFonts w:hint="eastAsia"/>
          <w:lang w:val="en-US" w:eastAsia="zh-CN"/>
        </w:rPr>
        <w:t>出经济分类</w:t>
      </w:r>
      <w:r>
        <w:rPr>
          <w:rFonts w:hint="eastAsia"/>
        </w:rPr>
        <w:t>划分：工资福利支出2133.49万元，商品和服务支出195.36万元，对个人和家庭的补助13.15万元，资本性支出27.00万元，其他支出47.50万元。</w:t>
      </w:r>
    </w:p>
    <w:p w14:paraId="41B5FAE0">
      <w:pPr>
        <w:pStyle w:val="20"/>
        <w:numPr>
          <w:ilvl w:val="0"/>
          <w:numId w:val="0"/>
        </w:numPr>
        <w:bidi w:val="0"/>
        <w:ind w:firstLine="643" w:firstLineChars="200"/>
        <w:rPr>
          <w:rFonts w:hint="eastAsia"/>
          <w:lang w:val="en-US" w:eastAsia="zh-CN"/>
        </w:rPr>
      </w:pPr>
      <w:r>
        <w:rPr>
          <w:rFonts w:hint="eastAsia"/>
          <w:lang w:eastAsia="zh-CN"/>
        </w:rPr>
        <w:t>（四）</w:t>
      </w:r>
      <w:r>
        <w:rPr>
          <w:rFonts w:hint="eastAsia"/>
          <w:lang w:val="en-US" w:eastAsia="zh-CN"/>
        </w:rPr>
        <w:t>政府性基金情况</w:t>
      </w:r>
    </w:p>
    <w:p w14:paraId="35AD1CA4">
      <w:pPr>
        <w:pStyle w:val="19"/>
        <w:bidi w:val="0"/>
        <w:rPr>
          <w:rFonts w:hint="eastAsia"/>
        </w:rPr>
      </w:pPr>
      <w:r>
        <w:rPr>
          <w:rFonts w:hint="eastAsia"/>
          <w:lang w:eastAsia="zh-CN"/>
        </w:rPr>
        <w:t>本单位</w:t>
      </w:r>
      <w:r>
        <w:rPr>
          <w:rFonts w:hint="eastAsia"/>
          <w:color w:val="000000" w:themeColor="text1"/>
          <w14:textFill>
            <w14:solidFill>
              <w14:schemeClr w14:val="tx1"/>
            </w14:solidFill>
          </w14:textFill>
        </w:rPr>
        <w:t>没有</w:t>
      </w:r>
      <w:r>
        <w:rPr>
          <w:rFonts w:hint="eastAsia"/>
          <w:lang w:eastAsia="zh-CN"/>
        </w:rPr>
        <w:t>使用政府性基金预算拨款安排的支出。</w:t>
      </w:r>
    </w:p>
    <w:p w14:paraId="07C9C8EE">
      <w:pPr>
        <w:pStyle w:val="20"/>
        <w:numPr>
          <w:ilvl w:val="0"/>
          <w:numId w:val="0"/>
        </w:numPr>
        <w:bidi w:val="0"/>
        <w:ind w:firstLine="643" w:firstLineChars="200"/>
        <w:rPr>
          <w:rFonts w:hint="eastAsia"/>
          <w:lang w:val="en-US" w:eastAsia="zh-CN"/>
        </w:rPr>
      </w:pPr>
      <w:r>
        <w:rPr>
          <w:rFonts w:hint="eastAsia"/>
          <w:lang w:val="en-US" w:eastAsia="zh-CN"/>
        </w:rPr>
        <w:t>（五）国有资本经营情况</w:t>
      </w:r>
    </w:p>
    <w:p w14:paraId="6C1179B7">
      <w:pPr>
        <w:pStyle w:val="19"/>
        <w:bidi w:val="0"/>
        <w:rPr>
          <w:rFonts w:hint="eastAsia"/>
          <w:color w:val="000000" w:themeColor="text1"/>
          <w:lang w:eastAsia="zh-CN"/>
          <w14:textFill>
            <w14:solidFill>
              <w14:schemeClr w14:val="tx1"/>
            </w14:solidFill>
          </w14:textFill>
        </w:rPr>
      </w:pPr>
      <w:r>
        <w:rPr>
          <w:rFonts w:hint="eastAsia"/>
          <w:color w:val="000000" w:themeColor="text1"/>
          <w14:textFill>
            <w14:solidFill>
              <w14:schemeClr w14:val="tx1"/>
            </w14:solidFill>
          </w14:textFill>
        </w:rPr>
        <w:t>本</w:t>
      </w:r>
      <w:r>
        <w:rPr>
          <w:rFonts w:hint="eastAsia"/>
          <w:color w:val="000000" w:themeColor="text1"/>
          <w:lang w:val="en-US" w:eastAsia="zh-CN"/>
          <w14:textFill>
            <w14:solidFill>
              <w14:schemeClr w14:val="tx1"/>
            </w14:solidFill>
          </w14:textFill>
        </w:rPr>
        <w:t>单位</w:t>
      </w:r>
      <w:r>
        <w:rPr>
          <w:rFonts w:hint="eastAsia"/>
          <w:color w:val="000000" w:themeColor="text1"/>
          <w14:textFill>
            <w14:solidFill>
              <w14:schemeClr w14:val="tx1"/>
            </w14:solidFill>
          </w14:textFill>
        </w:rPr>
        <w:t>没有使用国有资本经营预算拨款安排的支出</w:t>
      </w:r>
      <w:r>
        <w:rPr>
          <w:rFonts w:hint="eastAsia"/>
          <w:color w:val="000000" w:themeColor="text1"/>
          <w:lang w:eastAsia="zh-CN"/>
          <w14:textFill>
            <w14:solidFill>
              <w14:schemeClr w14:val="tx1"/>
            </w14:solidFill>
          </w14:textFill>
        </w:rPr>
        <w:t>。</w:t>
      </w:r>
    </w:p>
    <w:p w14:paraId="7978BEAC">
      <w:pPr>
        <w:pStyle w:val="20"/>
        <w:numPr>
          <w:ilvl w:val="0"/>
          <w:numId w:val="0"/>
        </w:numPr>
        <w:bidi w:val="0"/>
        <w:ind w:firstLine="643" w:firstLineChars="200"/>
        <w:rPr>
          <w:rFonts w:hint="eastAsia"/>
          <w:lang w:val="en-US" w:eastAsia="zh-CN"/>
        </w:rPr>
      </w:pPr>
      <w:r>
        <w:rPr>
          <w:rFonts w:hint="eastAsia"/>
          <w:lang w:val="en-US" w:eastAsia="zh-CN"/>
        </w:rPr>
        <w:t>（六）机关运行经费等重要事项的说明</w:t>
      </w:r>
    </w:p>
    <w:p w14:paraId="4A845416">
      <w:pPr>
        <w:widowControl/>
        <w:spacing w:line="580" w:lineRule="exact"/>
        <w:ind w:firstLine="636"/>
        <w:jc w:val="left"/>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本单位非行政参公单位，无机关运行经费。</w:t>
      </w:r>
    </w:p>
    <w:p w14:paraId="33752D10">
      <w:pPr>
        <w:pStyle w:val="20"/>
        <w:numPr>
          <w:ilvl w:val="0"/>
          <w:numId w:val="0"/>
        </w:numPr>
        <w:bidi w:val="0"/>
        <w:ind w:firstLine="643" w:firstLineChars="200"/>
        <w:rPr>
          <w:rFonts w:hint="eastAsia"/>
          <w:lang w:val="en-US" w:eastAsia="zh-CN"/>
        </w:rPr>
      </w:pPr>
      <w:r>
        <w:rPr>
          <w:rFonts w:hint="eastAsia"/>
          <w:lang w:val="en-US" w:eastAsia="zh-CN"/>
        </w:rPr>
        <w:t>（七）政府采购情况</w:t>
      </w:r>
    </w:p>
    <w:p w14:paraId="77AE3271">
      <w:pPr>
        <w:pStyle w:val="19"/>
        <w:bidi w:val="0"/>
        <w:rPr>
          <w:rFonts w:hint="eastAsia"/>
          <w:lang w:eastAsia="zh-CN"/>
        </w:rPr>
      </w:pPr>
      <w:r>
        <w:rPr>
          <w:rFonts w:hint="eastAsia"/>
          <w:lang w:eastAsia="zh-CN"/>
        </w:rPr>
        <w:t>2026年政府采购总额27.00万元，其中：政府采购货物预算  22.00万元，政府采购工程预算0.00万元，政府采购服务预算 5.00万元。</w:t>
      </w:r>
    </w:p>
    <w:p w14:paraId="10BEF68C">
      <w:pPr>
        <w:pStyle w:val="20"/>
        <w:numPr>
          <w:ilvl w:val="0"/>
          <w:numId w:val="0"/>
        </w:numPr>
        <w:bidi w:val="0"/>
        <w:ind w:firstLine="643" w:firstLineChars="200"/>
        <w:rPr>
          <w:rFonts w:hint="eastAsia"/>
          <w:lang w:val="en-US" w:eastAsia="zh-CN"/>
        </w:rPr>
      </w:pPr>
      <w:r>
        <w:rPr>
          <w:rFonts w:hint="eastAsia"/>
          <w:lang w:val="en-US" w:eastAsia="zh-CN"/>
        </w:rPr>
        <w:t>（八）国有资产占有使用情况</w:t>
      </w:r>
    </w:p>
    <w:p w14:paraId="1ED109A9">
      <w:pPr>
        <w:pStyle w:val="19"/>
        <w:bidi w:val="0"/>
        <w:rPr>
          <w:rFonts w:hint="eastAsia"/>
          <w:lang w:eastAsia="zh-CN"/>
        </w:rPr>
      </w:pPr>
      <w:r>
        <w:rPr>
          <w:rFonts w:hint="eastAsia"/>
          <w:lang w:eastAsia="zh-CN"/>
        </w:rPr>
        <w:t>截至2025年7月31日，</w:t>
      </w:r>
      <w:r>
        <w:rPr>
          <w:rFonts w:hint="eastAsia"/>
          <w:lang w:val="en-US" w:eastAsia="zh-CN"/>
        </w:rPr>
        <w:t>单位</w:t>
      </w:r>
      <w:r>
        <w:rPr>
          <w:rFonts w:hint="eastAsia"/>
          <w:lang w:eastAsia="zh-CN"/>
        </w:rPr>
        <w:t>共有车辆</w:t>
      </w:r>
      <w:r>
        <w:rPr>
          <w:rFonts w:hint="eastAsia"/>
          <w:lang w:val="en-US" w:eastAsia="zh-CN"/>
        </w:rPr>
        <w:t>0</w:t>
      </w:r>
      <w:r>
        <w:rPr>
          <w:rFonts w:hint="eastAsia"/>
          <w:lang w:eastAsia="zh-CN"/>
        </w:rPr>
        <w:t>辆，其中：一般公务用车实有数</w:t>
      </w:r>
      <w:r>
        <w:rPr>
          <w:rFonts w:hint="eastAsia"/>
          <w:lang w:val="en-US" w:eastAsia="zh-CN"/>
        </w:rPr>
        <w:t>0</w:t>
      </w:r>
      <w:r>
        <w:rPr>
          <w:rFonts w:hint="eastAsia"/>
          <w:lang w:eastAsia="zh-CN"/>
        </w:rPr>
        <w:t>辆。</w:t>
      </w:r>
    </w:p>
    <w:p w14:paraId="16472483">
      <w:pPr>
        <w:pStyle w:val="19"/>
        <w:bidi w:val="0"/>
        <w:rPr>
          <w:rFonts w:hint="eastAsia"/>
          <w:lang w:eastAsia="zh-CN"/>
        </w:rPr>
      </w:pPr>
      <w:r>
        <w:rPr>
          <w:rFonts w:hint="eastAsia"/>
          <w:lang w:eastAsia="zh-CN"/>
        </w:rPr>
        <w:t>2026年</w:t>
      </w:r>
      <w:r>
        <w:rPr>
          <w:rFonts w:hint="eastAsia"/>
          <w:lang w:val="en-US" w:eastAsia="zh-CN"/>
        </w:rPr>
        <w:t>单位</w:t>
      </w:r>
      <w:r>
        <w:rPr>
          <w:rFonts w:hint="eastAsia"/>
          <w:lang w:eastAsia="zh-CN"/>
        </w:rPr>
        <w:t>预算安排购置车辆</w:t>
      </w:r>
      <w:r>
        <w:rPr>
          <w:rFonts w:hint="eastAsia"/>
          <w:lang w:val="en-US" w:eastAsia="zh-CN"/>
        </w:rPr>
        <w:t>0</w:t>
      </w:r>
      <w:r>
        <w:rPr>
          <w:rFonts w:hint="eastAsia"/>
          <w:lang w:eastAsia="zh-CN"/>
        </w:rPr>
        <w:t>辆，安排购置单位价值200万元以上大型设备具体为：</w:t>
      </w:r>
      <w:r>
        <w:rPr>
          <w:rFonts w:hint="eastAsia"/>
          <w:lang w:val="en-US" w:eastAsia="zh-CN"/>
        </w:rPr>
        <w:t>无</w:t>
      </w:r>
      <w:r>
        <w:rPr>
          <w:rFonts w:hint="eastAsia"/>
          <w:lang w:eastAsia="zh-CN"/>
        </w:rPr>
        <w:t>。</w:t>
      </w:r>
    </w:p>
    <w:p w14:paraId="4929E094">
      <w:pPr>
        <w:pStyle w:val="20"/>
        <w:numPr>
          <w:ilvl w:val="0"/>
          <w:numId w:val="0"/>
        </w:numPr>
        <w:bidi w:val="0"/>
        <w:ind w:firstLine="643" w:firstLineChars="200"/>
        <w:rPr>
          <w:rFonts w:hint="eastAsia"/>
          <w:lang w:val="en-US" w:eastAsia="zh-CN"/>
        </w:rPr>
      </w:pPr>
      <w:r>
        <w:rPr>
          <w:rFonts w:hint="eastAsia"/>
          <w:lang w:val="en-US" w:eastAsia="zh-CN"/>
        </w:rPr>
        <w:t>（九）二六年其他资金项目情况说明</w:t>
      </w:r>
    </w:p>
    <w:p w14:paraId="7B67C2D0">
      <w:pPr>
        <w:numPr>
          <w:ilvl w:val="0"/>
          <w:numId w:val="0"/>
        </w:num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1）项目概述：课后延时服务、校外服务等其他资金。</w:t>
      </w:r>
    </w:p>
    <w:p w14:paraId="04DE6EAA">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2）立项依据：（1）《江西省发改委、江西省教育厅关于印发〈江西省中小学服务性收费和代收费管理办法〉的通知》（赣发改价管规﹝2021﹞82号）；（2）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theme="minorBidi"/>
          <w:kern w:val="2"/>
          <w:sz w:val="32"/>
          <w:szCs w:val="32"/>
          <w:lang w:val="en-US" w:eastAsia="zh-CN" w:bidi="ar-SA"/>
        </w:rPr>
        <w:t>关于兴国县中小学课后托管服务收费标准及有关事项的通知》（兴发改字﹝2021﹞20号）。</w:t>
      </w:r>
    </w:p>
    <w:p w14:paraId="3458073E">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3）实施主体：兴国县思源实验小学。</w:t>
      </w:r>
    </w:p>
    <w:p w14:paraId="7B97F769">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4）实施方案：根据上级相关文件精神进行其他资金核算，保障单位2026年其他收入正常收支，确保学校相关工作正常运转。</w:t>
      </w:r>
    </w:p>
    <w:p w14:paraId="3282066B">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5）实施周期：2026年1月1日—2026年12月31日。</w:t>
      </w:r>
    </w:p>
    <w:p w14:paraId="169E6C56">
      <w:pPr>
        <w:spacing w:line="560" w:lineRule="exact"/>
        <w:ind w:firstLine="640" w:firstLineChars="200"/>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6）年度预算安排：项目库申报金额850.00万元；预算批复金额850.00万元。</w:t>
      </w:r>
    </w:p>
    <w:p w14:paraId="2782ABA9">
      <w:pPr>
        <w:pStyle w:val="19"/>
        <w:bidi w:val="0"/>
        <w:rPr>
          <w:rFonts w:hint="eastAsia" w:ascii="仿宋_GB2312" w:hAnsi="仿宋_GB2312" w:eastAsia="仿宋_GB2312" w:cstheme="minorBidi"/>
          <w:kern w:val="2"/>
          <w:sz w:val="32"/>
          <w:szCs w:val="32"/>
          <w:lang w:val="en-US" w:eastAsia="zh-CN" w:bidi="ar-SA"/>
        </w:rPr>
      </w:pPr>
    </w:p>
    <w:p w14:paraId="5AEF0C22">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w:t>
      </w:r>
      <w:r>
        <w:rPr>
          <w:rFonts w:hint="eastAsia" w:ascii="楷体_GB2312" w:eastAsia="楷体_GB2312"/>
          <w:b/>
          <w:sz w:val="32"/>
          <w:szCs w:val="30"/>
          <w:lang w:eastAsia="zh-CN"/>
        </w:rPr>
        <w:t>2026</w:t>
      </w:r>
      <w:r>
        <w:rPr>
          <w:rFonts w:hint="eastAsia" w:ascii="楷体_GB2312" w:eastAsia="楷体_GB2312"/>
          <w:b/>
          <w:sz w:val="32"/>
          <w:szCs w:val="30"/>
        </w:rPr>
        <w:t>年财政拨款“三公”经费预算情况说明</w:t>
      </w:r>
    </w:p>
    <w:p w14:paraId="3D617CC7">
      <w:pPr>
        <w:pStyle w:val="19"/>
        <w:bidi w:val="0"/>
        <w:rPr>
          <w:rFonts w:hint="eastAsia"/>
          <w:lang w:eastAsia="zh-CN"/>
        </w:rPr>
      </w:pPr>
      <w:r>
        <w:rPr>
          <w:rFonts w:hint="eastAsia"/>
          <w:lang w:eastAsia="zh-CN"/>
        </w:rPr>
        <w:t>2026年兴国县思源实验小学财政拨款“三公”经费安排3.00万元，其中：</w:t>
      </w:r>
    </w:p>
    <w:p w14:paraId="0679CA0C">
      <w:pPr>
        <w:pStyle w:val="19"/>
        <w:bidi w:val="0"/>
        <w:rPr>
          <w:rFonts w:hint="eastAsia"/>
          <w:lang w:eastAsia="zh-CN"/>
        </w:rPr>
      </w:pPr>
      <w:r>
        <w:rPr>
          <w:rFonts w:hint="eastAsia"/>
          <w:lang w:eastAsia="zh-CN"/>
        </w:rPr>
        <w:t>因公出国0.00万元，比上年增加</w:t>
      </w:r>
      <w:r>
        <w:rPr>
          <w:rFonts w:hint="eastAsia"/>
          <w:lang w:val="en-US" w:eastAsia="zh-CN"/>
        </w:rPr>
        <w:t>0</w:t>
      </w:r>
      <w:r>
        <w:rPr>
          <w:rFonts w:hint="eastAsia"/>
          <w:lang w:eastAsia="zh-CN"/>
        </w:rPr>
        <w:t>万元，主要原因是：与上年安排保持一致。</w:t>
      </w:r>
    </w:p>
    <w:p w14:paraId="0CACB182">
      <w:pPr>
        <w:pStyle w:val="19"/>
        <w:bidi w:val="0"/>
        <w:rPr>
          <w:rFonts w:hint="eastAsia"/>
          <w:lang w:eastAsia="zh-CN"/>
        </w:rPr>
      </w:pPr>
      <w:r>
        <w:rPr>
          <w:rFonts w:hint="eastAsia"/>
          <w:lang w:eastAsia="zh-CN"/>
        </w:rPr>
        <w:t>公务接待3.00万元，比上年减</w:t>
      </w:r>
      <w:r>
        <w:rPr>
          <w:rFonts w:hint="eastAsia"/>
          <w:lang w:val="en-US" w:eastAsia="zh-CN"/>
        </w:rPr>
        <w:t>0.30</w:t>
      </w:r>
      <w:r>
        <w:rPr>
          <w:rFonts w:hint="eastAsia"/>
          <w:lang w:eastAsia="zh-CN"/>
        </w:rPr>
        <w:t>万元，主要原因是：厉行节约，控制“三公”经费只减不增原则。</w:t>
      </w:r>
    </w:p>
    <w:p w14:paraId="6C602D7D">
      <w:pPr>
        <w:pStyle w:val="19"/>
        <w:bidi w:val="0"/>
        <w:rPr>
          <w:rFonts w:hint="eastAsia"/>
          <w:lang w:eastAsia="zh-CN"/>
        </w:rPr>
      </w:pPr>
      <w:r>
        <w:rPr>
          <w:rFonts w:hint="eastAsia"/>
          <w:lang w:eastAsia="zh-CN"/>
        </w:rPr>
        <w:t>公务用车运行0.00万元，比上年增加</w:t>
      </w:r>
      <w:r>
        <w:rPr>
          <w:rFonts w:hint="eastAsia"/>
          <w:lang w:val="en-US" w:eastAsia="zh-CN"/>
        </w:rPr>
        <w:t>0</w:t>
      </w:r>
      <w:r>
        <w:rPr>
          <w:rFonts w:hint="eastAsia"/>
          <w:lang w:eastAsia="zh-CN"/>
        </w:rPr>
        <w:t>万元，主要原因是：与上年安排保持一致。</w:t>
      </w:r>
    </w:p>
    <w:p w14:paraId="50785DC8">
      <w:pPr>
        <w:pStyle w:val="19"/>
        <w:bidi w:val="0"/>
        <w:rPr>
          <w:rFonts w:hint="eastAsia"/>
          <w:lang w:eastAsia="zh-CN"/>
        </w:rPr>
      </w:pPr>
      <w:r>
        <w:rPr>
          <w:rFonts w:hint="eastAsia"/>
          <w:lang w:eastAsia="zh-CN"/>
        </w:rPr>
        <w:t>公务用车购置0.00万元，比上年增加</w:t>
      </w:r>
      <w:r>
        <w:rPr>
          <w:rFonts w:hint="eastAsia"/>
          <w:lang w:val="en-US" w:eastAsia="zh-CN"/>
        </w:rPr>
        <w:t>0</w:t>
      </w:r>
      <w:r>
        <w:rPr>
          <w:rFonts w:hint="eastAsia"/>
          <w:lang w:eastAsia="zh-CN"/>
        </w:rPr>
        <w:t>万元，主要原因是：与上年安排保持一致。</w:t>
      </w:r>
    </w:p>
    <w:p w14:paraId="5A8B9FD9">
      <w:pPr>
        <w:pStyle w:val="19"/>
        <w:bidi w:val="0"/>
        <w:rPr>
          <w:rFonts w:hint="eastAsia"/>
          <w:lang w:eastAsia="zh-CN"/>
        </w:rPr>
      </w:pPr>
    </w:p>
    <w:p w14:paraId="0F791894">
      <w:pPr>
        <w:pStyle w:val="18"/>
        <w:numPr>
          <w:ilvl w:val="0"/>
          <w:numId w:val="0"/>
        </w:numPr>
        <w:bidi w:val="0"/>
        <w:ind w:left="420" w:leftChars="200"/>
        <w:jc w:val="center"/>
        <w:rPr>
          <w:rFonts w:hint="eastAsia"/>
          <w:lang w:val="en-US" w:eastAsia="zh-CN"/>
        </w:rPr>
      </w:pPr>
      <w:r>
        <w:rPr>
          <w:rFonts w:hint="eastAsia"/>
          <w:lang w:val="en-US" w:eastAsia="zh-CN"/>
        </w:rPr>
        <w:t>第四部分   名词解释</w:t>
      </w:r>
    </w:p>
    <w:p w14:paraId="328172E4">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一、收入科目</w:t>
      </w:r>
    </w:p>
    <w:p w14:paraId="1EA9A701">
      <w:pPr>
        <w:pStyle w:val="19"/>
        <w:bidi w:val="0"/>
        <w:rPr>
          <w:rFonts w:hint="eastAsia"/>
          <w:lang w:eastAsia="zh-CN"/>
        </w:rPr>
      </w:pPr>
      <w:r>
        <w:rPr>
          <w:rFonts w:hint="eastAsia"/>
          <w:lang w:eastAsia="zh-CN"/>
        </w:rPr>
        <w:t>（</w:t>
      </w:r>
      <w:r>
        <w:rPr>
          <w:rFonts w:hint="eastAsia"/>
          <w:lang w:val="en-US" w:eastAsia="zh-CN"/>
        </w:rPr>
        <w:t>一</w:t>
      </w:r>
      <w:r>
        <w:rPr>
          <w:rFonts w:hint="eastAsia"/>
          <w:lang w:eastAsia="zh-CN"/>
        </w:rPr>
        <w:t>）财政拨款：指省级财政当年拨付的资金。</w:t>
      </w:r>
    </w:p>
    <w:p w14:paraId="1424B32A">
      <w:pPr>
        <w:pStyle w:val="19"/>
        <w:bidi w:val="0"/>
        <w:rPr>
          <w:rFonts w:hint="eastAsia"/>
          <w:lang w:eastAsia="zh-CN"/>
        </w:rPr>
      </w:pPr>
      <w:r>
        <w:rPr>
          <w:rFonts w:hint="eastAsia"/>
          <w:lang w:eastAsia="zh-CN"/>
        </w:rPr>
        <w:t>（</w:t>
      </w:r>
      <w:r>
        <w:rPr>
          <w:rFonts w:hint="eastAsia"/>
          <w:lang w:val="en-US" w:eastAsia="zh-CN"/>
        </w:rPr>
        <w:t>二</w:t>
      </w:r>
      <w:r>
        <w:rPr>
          <w:rFonts w:hint="eastAsia"/>
          <w:lang w:eastAsia="zh-CN"/>
        </w:rPr>
        <w:t>）教育收费资金收入：指实行专项管理的高中以上学费、住宿费，高校委托培养费，函大、电大、夜大及短训班培训费等教育收费取得的收入。</w:t>
      </w:r>
    </w:p>
    <w:p w14:paraId="0E48D698">
      <w:pPr>
        <w:pStyle w:val="19"/>
        <w:bidi w:val="0"/>
        <w:rPr>
          <w:rFonts w:hint="eastAsia"/>
          <w:lang w:eastAsia="zh-CN"/>
        </w:rPr>
      </w:pPr>
      <w:r>
        <w:rPr>
          <w:rFonts w:hint="eastAsia"/>
          <w:lang w:eastAsia="zh-CN"/>
        </w:rPr>
        <w:t>（三）事业收入：指事业单位开展专业业务活动及辅助活动取得的收入。</w:t>
      </w:r>
    </w:p>
    <w:p w14:paraId="649B98F9">
      <w:pPr>
        <w:pStyle w:val="19"/>
        <w:bidi w:val="0"/>
        <w:rPr>
          <w:rFonts w:hint="eastAsia"/>
          <w:lang w:eastAsia="zh-CN"/>
        </w:rPr>
      </w:pPr>
      <w:r>
        <w:rPr>
          <w:rFonts w:hint="eastAsia"/>
          <w:lang w:eastAsia="zh-CN"/>
        </w:rPr>
        <w:t>（四）事业单位经营收入：指事业单位在专业业务活动及辅助活动之外开展非独立核算经营活动取得的收入。</w:t>
      </w:r>
    </w:p>
    <w:p w14:paraId="1B9A5546">
      <w:pPr>
        <w:pStyle w:val="19"/>
        <w:bidi w:val="0"/>
        <w:rPr>
          <w:rFonts w:hint="eastAsia"/>
          <w:lang w:eastAsia="zh-CN"/>
        </w:rPr>
      </w:pPr>
      <w:r>
        <w:rPr>
          <w:rFonts w:hint="eastAsia"/>
          <w:lang w:eastAsia="zh-CN"/>
        </w:rPr>
        <w:t>（五）附属单位上缴收入：指事业单位附属的独立核算单位按规定标准或比例缴纳的各项收入。包括附属的事业单位上缴的收入和附属的企业上缴的利润等。</w:t>
      </w:r>
    </w:p>
    <w:p w14:paraId="1AD543E3">
      <w:pPr>
        <w:pStyle w:val="19"/>
        <w:bidi w:val="0"/>
        <w:rPr>
          <w:rFonts w:hint="eastAsia"/>
          <w:lang w:eastAsia="zh-CN"/>
        </w:rPr>
      </w:pPr>
      <w:r>
        <w:rPr>
          <w:rFonts w:hint="eastAsia"/>
          <w:lang w:eastAsia="zh-CN"/>
        </w:rPr>
        <w:t>（六）上级补助收入：指事业单位从主管部门和上级单位取得的非财政补助收入。</w:t>
      </w:r>
    </w:p>
    <w:p w14:paraId="1462728D">
      <w:pPr>
        <w:pStyle w:val="19"/>
        <w:bidi w:val="0"/>
        <w:rPr>
          <w:rFonts w:hint="eastAsia"/>
          <w:lang w:eastAsia="zh-CN"/>
        </w:rPr>
      </w:pPr>
      <w:r>
        <w:rPr>
          <w:rFonts w:hint="eastAsia"/>
          <w:lang w:eastAsia="zh-CN"/>
        </w:rPr>
        <w:t>（七）其他收入：指除财政拨款、事业收入、事业单位经营收入等以外的各项收入。</w:t>
      </w:r>
    </w:p>
    <w:p w14:paraId="17860F0D">
      <w:pPr>
        <w:pStyle w:val="19"/>
        <w:bidi w:val="0"/>
        <w:rPr>
          <w:rFonts w:hint="eastAsia"/>
          <w:lang w:eastAsia="zh-CN"/>
        </w:rPr>
      </w:pPr>
      <w:r>
        <w:rPr>
          <w:rFonts w:hint="eastAsia"/>
          <w:lang w:eastAsia="zh-CN"/>
        </w:rPr>
        <w:t>（八）使用非财政拨款结余：指历年滚存非限定用途的非财政拨款结余弥补本年度收支差额的数额。</w:t>
      </w:r>
    </w:p>
    <w:p w14:paraId="67D1CC3E">
      <w:pPr>
        <w:pStyle w:val="19"/>
        <w:bidi w:val="0"/>
        <w:rPr>
          <w:rFonts w:hint="eastAsia"/>
          <w:lang w:eastAsia="zh-CN"/>
        </w:rPr>
      </w:pPr>
      <w:r>
        <w:rPr>
          <w:rFonts w:hint="eastAsia"/>
          <w:lang w:eastAsia="zh-CN"/>
        </w:rPr>
        <w:t>（九）上年结转和结余：指以前年度全部结转和结余的资金数，包括当年结转结余资金和历年滚存结转结余资金。</w:t>
      </w:r>
    </w:p>
    <w:p w14:paraId="4AF43AD5">
      <w:pPr>
        <w:ind w:firstLine="640" w:firstLineChars="200"/>
        <w:rPr>
          <w:rFonts w:ascii="Adobe 仿宋 Std R" w:hAnsi="Adobe 仿宋 Std R" w:eastAsia="Adobe 仿宋 Std R"/>
          <w:sz w:val="32"/>
          <w:szCs w:val="32"/>
        </w:rPr>
      </w:pPr>
    </w:p>
    <w:p w14:paraId="061F2FAA">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二、支出科目</w:t>
      </w:r>
    </w:p>
    <w:p w14:paraId="37B2FDC1">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（一）行政运行：反映行政单位（事业单位）的基本支出。</w:t>
      </w:r>
    </w:p>
    <w:p w14:paraId="63096A78">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（二）一般行政管理事务：反映行政单位（包括事业单位）未单独设置项级科目的其他项目支出。</w:t>
      </w:r>
    </w:p>
    <w:p w14:paraId="5933AD5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（三）机关事业单位基本养老保险缴费支出：反映机关事业单位实施养老保险制度由单位缴纳的基本养老保险费的支出。</w:t>
      </w:r>
    </w:p>
    <w:p w14:paraId="6E41556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（四）行政单位医疗：反映行政事业单位基本医疗保险缴费经费。</w:t>
      </w:r>
    </w:p>
    <w:p w14:paraId="783543B0">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（五）事业单位医疗：反映财政单位集中安排的事业单位基本医疗保险缴费经费。</w:t>
      </w:r>
    </w:p>
    <w:p w14:paraId="172A2D0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theme="minorBidi"/>
          <w:kern w:val="2"/>
          <w:sz w:val="32"/>
          <w:szCs w:val="32"/>
          <w:lang w:val="en-US" w:eastAsia="zh-CN" w:bidi="ar-SA"/>
        </w:rPr>
      </w:pPr>
      <w:r>
        <w:rPr>
          <w:rFonts w:hint="eastAsia" w:ascii="仿宋_GB2312" w:hAnsi="仿宋_GB2312" w:eastAsia="仿宋_GB2312" w:cstheme="minorBidi"/>
          <w:kern w:val="2"/>
          <w:sz w:val="32"/>
          <w:szCs w:val="32"/>
          <w:lang w:val="en-US" w:eastAsia="zh-CN" w:bidi="ar-SA"/>
        </w:rPr>
        <w:t>（六）死亡抚恤：反映单位遗属人员生活补助。</w:t>
      </w:r>
    </w:p>
    <w:p w14:paraId="1242827F">
      <w:pPr>
        <w:widowControl/>
        <w:spacing w:line="600" w:lineRule="exact"/>
        <w:ind w:firstLine="640" w:firstLineChars="200"/>
        <w:jc w:val="left"/>
        <w:rPr>
          <w:rFonts w:hint="eastAsia" w:ascii="仿宋_GB2312" w:hAnsi="仿宋_GB2312" w:eastAsia="仿宋_GB2312" w:cstheme="minorBidi"/>
          <w:kern w:val="2"/>
          <w:sz w:val="32"/>
          <w:szCs w:val="32"/>
          <w:lang w:val="en-US" w:eastAsia="zh-CN" w:bidi="ar-SA"/>
        </w:rPr>
      </w:pPr>
    </w:p>
    <w:p w14:paraId="38F8DF43">
      <w:pPr>
        <w:pStyle w:val="18"/>
        <w:numPr>
          <w:ilvl w:val="0"/>
          <w:numId w:val="0"/>
        </w:numPr>
        <w:bidi w:val="0"/>
        <w:ind w:left="420" w:leftChars="200" w:firstLine="321" w:firstLineChars="100"/>
        <w:rPr>
          <w:rFonts w:hint="eastAsia" w:ascii="楷体_GB2312" w:eastAsia="楷体_GB2312"/>
          <w:b/>
          <w:sz w:val="32"/>
          <w:szCs w:val="30"/>
        </w:rPr>
      </w:pPr>
      <w:r>
        <w:rPr>
          <w:rFonts w:hint="eastAsia" w:ascii="楷体_GB2312" w:eastAsia="楷体_GB2312"/>
          <w:b/>
          <w:sz w:val="32"/>
          <w:szCs w:val="30"/>
        </w:rPr>
        <w:t>三、相关专业名词</w:t>
      </w:r>
    </w:p>
    <w:p w14:paraId="68BBA309">
      <w:pPr>
        <w:pStyle w:val="19"/>
        <w:bidi w:val="0"/>
        <w:ind w:left="0" w:leftChars="0" w:firstLine="640" w:firstLineChars="200"/>
        <w:rPr>
          <w:rFonts w:hint="eastAsia"/>
          <w:lang w:eastAsia="zh-CN"/>
        </w:rPr>
      </w:pPr>
      <w:r>
        <w:rPr>
          <w:rFonts w:hint="eastAsia"/>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430677A2">
      <w:pPr>
        <w:pStyle w:val="19"/>
        <w:bidi w:val="0"/>
        <w:rPr>
          <w:rFonts w:hint="eastAsia"/>
          <w:lang w:eastAsia="zh-CN"/>
        </w:rPr>
      </w:pPr>
      <w:r>
        <w:rPr>
          <w:rFonts w:hint="eastAsia"/>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 用等支出；公务接待费反映单位按规定开支的各类公务接待（含外宾接待）支出。</w:t>
      </w:r>
    </w:p>
    <w:p w14:paraId="0708D65A">
      <w:pPr>
        <w:pStyle w:val="19"/>
        <w:bidi w:val="0"/>
        <w:rPr>
          <w:rFonts w:hint="eastAsia"/>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dobe 仿宋 Std R">
    <w:altName w:val="仿宋"/>
    <w:panose1 w:val="00000000000000000000"/>
    <w:charset w:val="86"/>
    <w:family w:val="auto"/>
    <w:pitch w:val="default"/>
    <w:sig w:usb0="00000000" w:usb1="00000000" w:usb2="00000016" w:usb3="00000000" w:csb0="00060007"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B45649">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CD8B8F">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77076"/>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E1151B"/>
    <w:rsid w:val="02E63D2B"/>
    <w:rsid w:val="02F05C02"/>
    <w:rsid w:val="0313418A"/>
    <w:rsid w:val="03183089"/>
    <w:rsid w:val="033409AD"/>
    <w:rsid w:val="033803A2"/>
    <w:rsid w:val="036543A8"/>
    <w:rsid w:val="03667C72"/>
    <w:rsid w:val="03713379"/>
    <w:rsid w:val="03A26EFC"/>
    <w:rsid w:val="03C54F15"/>
    <w:rsid w:val="03CA6850"/>
    <w:rsid w:val="04245B63"/>
    <w:rsid w:val="044C3E08"/>
    <w:rsid w:val="048760F2"/>
    <w:rsid w:val="04AB0032"/>
    <w:rsid w:val="04D1736D"/>
    <w:rsid w:val="0548762F"/>
    <w:rsid w:val="056335EC"/>
    <w:rsid w:val="058E403A"/>
    <w:rsid w:val="05A96FBC"/>
    <w:rsid w:val="067A6028"/>
    <w:rsid w:val="069027A8"/>
    <w:rsid w:val="069F7723"/>
    <w:rsid w:val="06BE4E5C"/>
    <w:rsid w:val="06C16A1F"/>
    <w:rsid w:val="06EB090E"/>
    <w:rsid w:val="070F6488"/>
    <w:rsid w:val="072E0AA7"/>
    <w:rsid w:val="074165A7"/>
    <w:rsid w:val="07493DE4"/>
    <w:rsid w:val="076646E5"/>
    <w:rsid w:val="07944DAE"/>
    <w:rsid w:val="07D039F4"/>
    <w:rsid w:val="07DA39BA"/>
    <w:rsid w:val="07FD6DF7"/>
    <w:rsid w:val="082731AE"/>
    <w:rsid w:val="08793FA4"/>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BEF2EFA"/>
    <w:rsid w:val="0C022D96"/>
    <w:rsid w:val="0C0F6191"/>
    <w:rsid w:val="0C210BDA"/>
    <w:rsid w:val="0C22507E"/>
    <w:rsid w:val="0C234952"/>
    <w:rsid w:val="0C3A380A"/>
    <w:rsid w:val="0C97247A"/>
    <w:rsid w:val="0CE40340"/>
    <w:rsid w:val="0D1D3A97"/>
    <w:rsid w:val="0D7F0935"/>
    <w:rsid w:val="0D906017"/>
    <w:rsid w:val="0DB3098E"/>
    <w:rsid w:val="0DC46BAD"/>
    <w:rsid w:val="0DD57ECE"/>
    <w:rsid w:val="0E3966AF"/>
    <w:rsid w:val="0E4868F2"/>
    <w:rsid w:val="0EC56195"/>
    <w:rsid w:val="0ED334BB"/>
    <w:rsid w:val="0EDC703A"/>
    <w:rsid w:val="0EED77D1"/>
    <w:rsid w:val="0EFE5F92"/>
    <w:rsid w:val="0F2509E1"/>
    <w:rsid w:val="0F937B1B"/>
    <w:rsid w:val="0FA364D6"/>
    <w:rsid w:val="0FF30ADF"/>
    <w:rsid w:val="0FFC5BE6"/>
    <w:rsid w:val="10374E70"/>
    <w:rsid w:val="1042584C"/>
    <w:rsid w:val="10C76C75"/>
    <w:rsid w:val="10E741A0"/>
    <w:rsid w:val="10EC7A09"/>
    <w:rsid w:val="114A256C"/>
    <w:rsid w:val="118C7F17"/>
    <w:rsid w:val="11A83289"/>
    <w:rsid w:val="11BA18B5"/>
    <w:rsid w:val="12AB25F0"/>
    <w:rsid w:val="12C66037"/>
    <w:rsid w:val="12D71EE1"/>
    <w:rsid w:val="13024677"/>
    <w:rsid w:val="132316DC"/>
    <w:rsid w:val="13257202"/>
    <w:rsid w:val="142C45C0"/>
    <w:rsid w:val="146A26EA"/>
    <w:rsid w:val="1472702D"/>
    <w:rsid w:val="14972381"/>
    <w:rsid w:val="14D92F39"/>
    <w:rsid w:val="14DB226E"/>
    <w:rsid w:val="156E30E2"/>
    <w:rsid w:val="15E50181"/>
    <w:rsid w:val="15F1786F"/>
    <w:rsid w:val="160B3E1C"/>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334323"/>
    <w:rsid w:val="195E521C"/>
    <w:rsid w:val="198B71A1"/>
    <w:rsid w:val="19B228EF"/>
    <w:rsid w:val="19B72B7E"/>
    <w:rsid w:val="19BE5CBA"/>
    <w:rsid w:val="19DD5162"/>
    <w:rsid w:val="19F65454"/>
    <w:rsid w:val="1A9E7E47"/>
    <w:rsid w:val="1AA43AE0"/>
    <w:rsid w:val="1AAC4E51"/>
    <w:rsid w:val="1AD64605"/>
    <w:rsid w:val="1B106CD9"/>
    <w:rsid w:val="1B1E744F"/>
    <w:rsid w:val="1B477CB6"/>
    <w:rsid w:val="1B513369"/>
    <w:rsid w:val="1B5543FC"/>
    <w:rsid w:val="1B9273FE"/>
    <w:rsid w:val="1D022362"/>
    <w:rsid w:val="1D156539"/>
    <w:rsid w:val="1D2E3157"/>
    <w:rsid w:val="1D683EAA"/>
    <w:rsid w:val="1D743E4F"/>
    <w:rsid w:val="1DC43CB7"/>
    <w:rsid w:val="1DE62972"/>
    <w:rsid w:val="1DED3012"/>
    <w:rsid w:val="1E002D45"/>
    <w:rsid w:val="1E332A67"/>
    <w:rsid w:val="1E58312C"/>
    <w:rsid w:val="1E5B2F38"/>
    <w:rsid w:val="1E74728F"/>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AE43C0"/>
    <w:rsid w:val="21C916A0"/>
    <w:rsid w:val="221F7512"/>
    <w:rsid w:val="22421D13"/>
    <w:rsid w:val="22430342"/>
    <w:rsid w:val="22601146"/>
    <w:rsid w:val="226F2247"/>
    <w:rsid w:val="22861ECD"/>
    <w:rsid w:val="22A5210D"/>
    <w:rsid w:val="22BD518D"/>
    <w:rsid w:val="230518A8"/>
    <w:rsid w:val="23F95523"/>
    <w:rsid w:val="2418246B"/>
    <w:rsid w:val="24407927"/>
    <w:rsid w:val="248511A6"/>
    <w:rsid w:val="248F3BA6"/>
    <w:rsid w:val="252B0DDC"/>
    <w:rsid w:val="25495126"/>
    <w:rsid w:val="2584425C"/>
    <w:rsid w:val="25B931E9"/>
    <w:rsid w:val="25CE54D7"/>
    <w:rsid w:val="25F4209D"/>
    <w:rsid w:val="25F7263A"/>
    <w:rsid w:val="265579A6"/>
    <w:rsid w:val="267A7ED7"/>
    <w:rsid w:val="267B565F"/>
    <w:rsid w:val="26AB5818"/>
    <w:rsid w:val="26BE72FA"/>
    <w:rsid w:val="26CB02AF"/>
    <w:rsid w:val="26FE5E6C"/>
    <w:rsid w:val="27767BD4"/>
    <w:rsid w:val="27A95737"/>
    <w:rsid w:val="27DA63B5"/>
    <w:rsid w:val="27E234BC"/>
    <w:rsid w:val="27EE6A79"/>
    <w:rsid w:val="28020B08"/>
    <w:rsid w:val="2828673B"/>
    <w:rsid w:val="28A511B5"/>
    <w:rsid w:val="28F31C90"/>
    <w:rsid w:val="291678C1"/>
    <w:rsid w:val="29415831"/>
    <w:rsid w:val="295B01BA"/>
    <w:rsid w:val="29804E7F"/>
    <w:rsid w:val="299A22A0"/>
    <w:rsid w:val="299B130F"/>
    <w:rsid w:val="29A22F02"/>
    <w:rsid w:val="29D357B2"/>
    <w:rsid w:val="29F545C8"/>
    <w:rsid w:val="2A503276"/>
    <w:rsid w:val="2A6B66A5"/>
    <w:rsid w:val="2A795C0F"/>
    <w:rsid w:val="2A7F18AC"/>
    <w:rsid w:val="2A8962DA"/>
    <w:rsid w:val="2A9E289C"/>
    <w:rsid w:val="2AD4533E"/>
    <w:rsid w:val="2B5E72FD"/>
    <w:rsid w:val="2B6A1B7F"/>
    <w:rsid w:val="2B7D1E25"/>
    <w:rsid w:val="2B82123D"/>
    <w:rsid w:val="2BE124D6"/>
    <w:rsid w:val="2BF11F1F"/>
    <w:rsid w:val="2C245EB1"/>
    <w:rsid w:val="2C2D2A07"/>
    <w:rsid w:val="2C532DA0"/>
    <w:rsid w:val="2C57797E"/>
    <w:rsid w:val="2C862667"/>
    <w:rsid w:val="2CA86A82"/>
    <w:rsid w:val="2CB371D5"/>
    <w:rsid w:val="2CBC42DB"/>
    <w:rsid w:val="2CE077B3"/>
    <w:rsid w:val="2D0D5D1F"/>
    <w:rsid w:val="2D12214D"/>
    <w:rsid w:val="2D287BC3"/>
    <w:rsid w:val="2D5E2035"/>
    <w:rsid w:val="2D864873"/>
    <w:rsid w:val="2DA96B06"/>
    <w:rsid w:val="2DDB4C35"/>
    <w:rsid w:val="2E051E23"/>
    <w:rsid w:val="2E3507E9"/>
    <w:rsid w:val="2E661E7F"/>
    <w:rsid w:val="2ED008F1"/>
    <w:rsid w:val="2EE1627B"/>
    <w:rsid w:val="2F221578"/>
    <w:rsid w:val="2F291989"/>
    <w:rsid w:val="2F3276C7"/>
    <w:rsid w:val="2F656EAC"/>
    <w:rsid w:val="2F875DDB"/>
    <w:rsid w:val="2FE71A7E"/>
    <w:rsid w:val="30007685"/>
    <w:rsid w:val="300F4902"/>
    <w:rsid w:val="303A64D0"/>
    <w:rsid w:val="30427C69"/>
    <w:rsid w:val="30A0509E"/>
    <w:rsid w:val="30D065A7"/>
    <w:rsid w:val="30FB1970"/>
    <w:rsid w:val="311B06F3"/>
    <w:rsid w:val="31480833"/>
    <w:rsid w:val="317909ED"/>
    <w:rsid w:val="31A14816"/>
    <w:rsid w:val="31D10739"/>
    <w:rsid w:val="31E5110E"/>
    <w:rsid w:val="31FA476A"/>
    <w:rsid w:val="320C7AB3"/>
    <w:rsid w:val="32101599"/>
    <w:rsid w:val="3240775C"/>
    <w:rsid w:val="327259BC"/>
    <w:rsid w:val="32827D75"/>
    <w:rsid w:val="32C510AF"/>
    <w:rsid w:val="32D103B5"/>
    <w:rsid w:val="32D911D9"/>
    <w:rsid w:val="331E0AEF"/>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B5354A"/>
    <w:rsid w:val="35E11256"/>
    <w:rsid w:val="35FF348B"/>
    <w:rsid w:val="36015455"/>
    <w:rsid w:val="363E00C4"/>
    <w:rsid w:val="369B31B3"/>
    <w:rsid w:val="36AA4D7E"/>
    <w:rsid w:val="36C95F72"/>
    <w:rsid w:val="371F5B92"/>
    <w:rsid w:val="375717D0"/>
    <w:rsid w:val="37692CB0"/>
    <w:rsid w:val="377E2B92"/>
    <w:rsid w:val="37F44BF3"/>
    <w:rsid w:val="382B031D"/>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14986"/>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E6565C"/>
    <w:rsid w:val="3E272EE8"/>
    <w:rsid w:val="3E344619"/>
    <w:rsid w:val="3E534E03"/>
    <w:rsid w:val="3E864749"/>
    <w:rsid w:val="3E917C19"/>
    <w:rsid w:val="3EA177D5"/>
    <w:rsid w:val="3EBE2135"/>
    <w:rsid w:val="3ED656D0"/>
    <w:rsid w:val="3F12422F"/>
    <w:rsid w:val="3F1F4BA2"/>
    <w:rsid w:val="3F383632"/>
    <w:rsid w:val="3F44662B"/>
    <w:rsid w:val="3F453306"/>
    <w:rsid w:val="3F740A45"/>
    <w:rsid w:val="3FAF58B0"/>
    <w:rsid w:val="3FC7326B"/>
    <w:rsid w:val="3FC87029"/>
    <w:rsid w:val="3FFF47B3"/>
    <w:rsid w:val="400E7546"/>
    <w:rsid w:val="40183119"/>
    <w:rsid w:val="4052477A"/>
    <w:rsid w:val="4052753A"/>
    <w:rsid w:val="40B30B18"/>
    <w:rsid w:val="40D35977"/>
    <w:rsid w:val="413E130B"/>
    <w:rsid w:val="41601281"/>
    <w:rsid w:val="41B7665D"/>
    <w:rsid w:val="422514B1"/>
    <w:rsid w:val="426E79CE"/>
    <w:rsid w:val="42DE4B54"/>
    <w:rsid w:val="43422F5A"/>
    <w:rsid w:val="439416B6"/>
    <w:rsid w:val="4394233B"/>
    <w:rsid w:val="43B35A16"/>
    <w:rsid w:val="441308E0"/>
    <w:rsid w:val="458C0A17"/>
    <w:rsid w:val="45B7128B"/>
    <w:rsid w:val="45C970A0"/>
    <w:rsid w:val="45EA198E"/>
    <w:rsid w:val="461E51EB"/>
    <w:rsid w:val="467D28D5"/>
    <w:rsid w:val="46902609"/>
    <w:rsid w:val="46B35164"/>
    <w:rsid w:val="46C430DC"/>
    <w:rsid w:val="46D1677D"/>
    <w:rsid w:val="474F6361"/>
    <w:rsid w:val="475F022D"/>
    <w:rsid w:val="47704B50"/>
    <w:rsid w:val="485F6737"/>
    <w:rsid w:val="487B3278"/>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3C6C80"/>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496AF3"/>
    <w:rsid w:val="56C47F55"/>
    <w:rsid w:val="56DD1E56"/>
    <w:rsid w:val="56EF16B7"/>
    <w:rsid w:val="57127095"/>
    <w:rsid w:val="571B5E1C"/>
    <w:rsid w:val="57211FE5"/>
    <w:rsid w:val="572253C2"/>
    <w:rsid w:val="57662666"/>
    <w:rsid w:val="57DB56AE"/>
    <w:rsid w:val="57E75E01"/>
    <w:rsid w:val="582B597E"/>
    <w:rsid w:val="586B76C2"/>
    <w:rsid w:val="587F428B"/>
    <w:rsid w:val="588A18E5"/>
    <w:rsid w:val="589A10C5"/>
    <w:rsid w:val="58A255C2"/>
    <w:rsid w:val="58D05035"/>
    <w:rsid w:val="59154BEF"/>
    <w:rsid w:val="591D1B7F"/>
    <w:rsid w:val="592C090B"/>
    <w:rsid w:val="594B1686"/>
    <w:rsid w:val="59B57AB7"/>
    <w:rsid w:val="59D318A6"/>
    <w:rsid w:val="5A113609"/>
    <w:rsid w:val="5A124512"/>
    <w:rsid w:val="5A3D61AC"/>
    <w:rsid w:val="5A5D684E"/>
    <w:rsid w:val="5A8E6A07"/>
    <w:rsid w:val="5AD61C4C"/>
    <w:rsid w:val="5B063489"/>
    <w:rsid w:val="5B196FF7"/>
    <w:rsid w:val="5B1B393B"/>
    <w:rsid w:val="5B2630E4"/>
    <w:rsid w:val="5B48305A"/>
    <w:rsid w:val="5B7A6F8C"/>
    <w:rsid w:val="5B852845"/>
    <w:rsid w:val="5B8D3163"/>
    <w:rsid w:val="5BCB45A3"/>
    <w:rsid w:val="5BE70AC5"/>
    <w:rsid w:val="5C084598"/>
    <w:rsid w:val="5C2A6C04"/>
    <w:rsid w:val="5C2D0A9F"/>
    <w:rsid w:val="5C78171D"/>
    <w:rsid w:val="5C7E75CC"/>
    <w:rsid w:val="5C986C68"/>
    <w:rsid w:val="5CB14C2F"/>
    <w:rsid w:val="5CCB4C52"/>
    <w:rsid w:val="5CD235A2"/>
    <w:rsid w:val="5D1256CE"/>
    <w:rsid w:val="5D2D075A"/>
    <w:rsid w:val="5D390718"/>
    <w:rsid w:val="5E59732C"/>
    <w:rsid w:val="5EB629D1"/>
    <w:rsid w:val="5ED43404"/>
    <w:rsid w:val="5F04373C"/>
    <w:rsid w:val="5F28567D"/>
    <w:rsid w:val="5F5A15AE"/>
    <w:rsid w:val="5F683CCB"/>
    <w:rsid w:val="5F7563E8"/>
    <w:rsid w:val="5FF11F12"/>
    <w:rsid w:val="6025390F"/>
    <w:rsid w:val="602A730A"/>
    <w:rsid w:val="604A0FC0"/>
    <w:rsid w:val="605F3B00"/>
    <w:rsid w:val="6062071A"/>
    <w:rsid w:val="609E54CA"/>
    <w:rsid w:val="60B60A66"/>
    <w:rsid w:val="60F90189"/>
    <w:rsid w:val="60FF065F"/>
    <w:rsid w:val="614348BF"/>
    <w:rsid w:val="61E909C7"/>
    <w:rsid w:val="62175534"/>
    <w:rsid w:val="628F77C1"/>
    <w:rsid w:val="629372B1"/>
    <w:rsid w:val="62E573E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23094C"/>
    <w:rsid w:val="6645502F"/>
    <w:rsid w:val="66592A75"/>
    <w:rsid w:val="6695111E"/>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16D81"/>
    <w:rsid w:val="696C260A"/>
    <w:rsid w:val="699851AD"/>
    <w:rsid w:val="699B2EEF"/>
    <w:rsid w:val="699D6C67"/>
    <w:rsid w:val="69B84EDC"/>
    <w:rsid w:val="69B953BE"/>
    <w:rsid w:val="6A0339D1"/>
    <w:rsid w:val="6A1177DD"/>
    <w:rsid w:val="6A2151A2"/>
    <w:rsid w:val="6ACC771E"/>
    <w:rsid w:val="6AE727FB"/>
    <w:rsid w:val="6B476A1E"/>
    <w:rsid w:val="6B4C44A1"/>
    <w:rsid w:val="6B54626E"/>
    <w:rsid w:val="6BAA7419"/>
    <w:rsid w:val="6BE248E5"/>
    <w:rsid w:val="6C021003"/>
    <w:rsid w:val="6C1F1BB5"/>
    <w:rsid w:val="6C540873"/>
    <w:rsid w:val="6C5B1DE5"/>
    <w:rsid w:val="6C6F1216"/>
    <w:rsid w:val="6C9A56E0"/>
    <w:rsid w:val="6CA16A6E"/>
    <w:rsid w:val="6CA82785"/>
    <w:rsid w:val="6CB20E55"/>
    <w:rsid w:val="6CE85848"/>
    <w:rsid w:val="6D15191A"/>
    <w:rsid w:val="6D3A6CB4"/>
    <w:rsid w:val="6D6B4986"/>
    <w:rsid w:val="6D9E5C4B"/>
    <w:rsid w:val="6DD8026E"/>
    <w:rsid w:val="6DEA1D4F"/>
    <w:rsid w:val="6DEA61F3"/>
    <w:rsid w:val="6DFC5FDF"/>
    <w:rsid w:val="6E0D2F46"/>
    <w:rsid w:val="6E3D6323"/>
    <w:rsid w:val="6E9E40AE"/>
    <w:rsid w:val="6EA27AB3"/>
    <w:rsid w:val="6EA97E5C"/>
    <w:rsid w:val="6ECC5FE7"/>
    <w:rsid w:val="6EDB6140"/>
    <w:rsid w:val="6F03527C"/>
    <w:rsid w:val="6F7264A0"/>
    <w:rsid w:val="6F824716"/>
    <w:rsid w:val="6F9E1043"/>
    <w:rsid w:val="6FB14B95"/>
    <w:rsid w:val="6FBB39A3"/>
    <w:rsid w:val="6FD42CB7"/>
    <w:rsid w:val="6FEF7AF1"/>
    <w:rsid w:val="70077DE7"/>
    <w:rsid w:val="70206657"/>
    <w:rsid w:val="7029485D"/>
    <w:rsid w:val="706732A6"/>
    <w:rsid w:val="70910BA8"/>
    <w:rsid w:val="70B56644"/>
    <w:rsid w:val="70CC398E"/>
    <w:rsid w:val="710366B1"/>
    <w:rsid w:val="711D41EA"/>
    <w:rsid w:val="713C3C71"/>
    <w:rsid w:val="71CF1988"/>
    <w:rsid w:val="71D13952"/>
    <w:rsid w:val="722021E3"/>
    <w:rsid w:val="723C4321"/>
    <w:rsid w:val="72800ED4"/>
    <w:rsid w:val="72F316A6"/>
    <w:rsid w:val="73117D7E"/>
    <w:rsid w:val="731D16EF"/>
    <w:rsid w:val="73612223"/>
    <w:rsid w:val="736D76AA"/>
    <w:rsid w:val="738467A2"/>
    <w:rsid w:val="73890A15"/>
    <w:rsid w:val="73941822"/>
    <w:rsid w:val="739B7DBF"/>
    <w:rsid w:val="73A85115"/>
    <w:rsid w:val="73BA21C4"/>
    <w:rsid w:val="73C3551C"/>
    <w:rsid w:val="74007D49"/>
    <w:rsid w:val="74303CED"/>
    <w:rsid w:val="745829FA"/>
    <w:rsid w:val="745E6FF3"/>
    <w:rsid w:val="74650381"/>
    <w:rsid w:val="74687C74"/>
    <w:rsid w:val="7478586B"/>
    <w:rsid w:val="74C72F0F"/>
    <w:rsid w:val="74F62301"/>
    <w:rsid w:val="7518696C"/>
    <w:rsid w:val="7524023C"/>
    <w:rsid w:val="75457C9F"/>
    <w:rsid w:val="755747C3"/>
    <w:rsid w:val="758A0127"/>
    <w:rsid w:val="75B275F6"/>
    <w:rsid w:val="7608190C"/>
    <w:rsid w:val="761422CC"/>
    <w:rsid w:val="76147094"/>
    <w:rsid w:val="76224CCF"/>
    <w:rsid w:val="762F6E99"/>
    <w:rsid w:val="76530DD9"/>
    <w:rsid w:val="770B16B4"/>
    <w:rsid w:val="770E4B54"/>
    <w:rsid w:val="772E7150"/>
    <w:rsid w:val="77A15B74"/>
    <w:rsid w:val="77A86F03"/>
    <w:rsid w:val="77F0668A"/>
    <w:rsid w:val="780426B9"/>
    <w:rsid w:val="78224CA5"/>
    <w:rsid w:val="785045C8"/>
    <w:rsid w:val="789456D9"/>
    <w:rsid w:val="79020895"/>
    <w:rsid w:val="790243F1"/>
    <w:rsid w:val="790F4D60"/>
    <w:rsid w:val="79110AD8"/>
    <w:rsid w:val="791A1FD1"/>
    <w:rsid w:val="791A5BDE"/>
    <w:rsid w:val="79294073"/>
    <w:rsid w:val="793062FD"/>
    <w:rsid w:val="79452908"/>
    <w:rsid w:val="79AE6381"/>
    <w:rsid w:val="7A222C5F"/>
    <w:rsid w:val="7A577BDB"/>
    <w:rsid w:val="7AA535EF"/>
    <w:rsid w:val="7B4C4049"/>
    <w:rsid w:val="7B4C6C5F"/>
    <w:rsid w:val="7B590514"/>
    <w:rsid w:val="7B5F2B22"/>
    <w:rsid w:val="7B833D31"/>
    <w:rsid w:val="7BAC2D3A"/>
    <w:rsid w:val="7BC71BE8"/>
    <w:rsid w:val="7BCE7F00"/>
    <w:rsid w:val="7BEE3352"/>
    <w:rsid w:val="7C0E12FE"/>
    <w:rsid w:val="7C213CD7"/>
    <w:rsid w:val="7C2F624D"/>
    <w:rsid w:val="7C3F3BAE"/>
    <w:rsid w:val="7C6A15B3"/>
    <w:rsid w:val="7CA17B83"/>
    <w:rsid w:val="7CAA46EB"/>
    <w:rsid w:val="7CFA01CB"/>
    <w:rsid w:val="7D2E5D91"/>
    <w:rsid w:val="7DA43CC8"/>
    <w:rsid w:val="7DA55C93"/>
    <w:rsid w:val="7DCD5C31"/>
    <w:rsid w:val="7E1F5A45"/>
    <w:rsid w:val="7E4D2CFE"/>
    <w:rsid w:val="7E741677"/>
    <w:rsid w:val="7E8D404B"/>
    <w:rsid w:val="7E9D53AC"/>
    <w:rsid w:val="7F46479C"/>
    <w:rsid w:val="7F597276"/>
    <w:rsid w:val="7F6364A4"/>
    <w:rsid w:val="7FA75CF2"/>
    <w:rsid w:val="7FB7473A"/>
    <w:rsid w:val="7FEF4292"/>
    <w:rsid w:val="7FF54CAF"/>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b8c53fc7-0931-4b08-bb19-f72cea74f404</errorID>
      <errorWord>*</errorWord>
      <group>L1_Punc</group>
      <groupName>标点问题</groupName>
      <ability>L2_Punc</ability>
      <abilityName>标点符号检查</abilityName>
      <candidateList/>
      <explain/>
      <paraID>1A8373C4</paraID>
      <start>0</start>
      <end>1</end>
      <status>unmodified</status>
      <modifiedWord/>
      <trackRevisions>false</trackRevisions>
    </reviewItem>
    <reviewItem>
      <errorID>b8841e63-8352-42f3-8d77-34a7027d68a4</errorID>
      <errorWord>*</errorWord>
      <group>L1_Punc</group>
      <groupName>标点问题</groupName>
      <ability>L2_Punc</ability>
      <abilityName>标点符号检查</abilityName>
      <candidateList/>
      <explain/>
      <paraID>57049B06</paraID>
      <start>0</start>
      <end>1</end>
      <status>unmodified</status>
      <modifiedWord/>
      <trackRevisions>false</trackRevisions>
    </reviewItem>
    <reviewItem>
      <errorID>5383075d-ecb1-4eda-903c-1d54590b60e1</errorID>
      <errorWord>*</errorWord>
      <group>L1_Punc</group>
      <groupName>标点问题</groupName>
      <ability>L2_Punc</ability>
      <abilityName>标点符号检查</abilityName>
      <candidateList/>
      <explain/>
      <paraID>68989DBB</paraID>
      <start>0</start>
      <end>1</end>
      <status>unmodified</status>
      <modifiedWord/>
      <trackRevisions>false</trackRevisions>
    </reviewItem>
    <reviewItem>
      <errorID>95606f6f-c056-4010-8bf4-f469a217bfad</errorID>
      <errorWord>*</errorWord>
      <group>L1_Punc</group>
      <groupName>标点问题</groupName>
      <ability>L2_Punc</ability>
      <abilityName>标点符号检查</abilityName>
      <candidateList/>
      <explain/>
      <paraID>7F81A4D6</paraID>
      <start>0</start>
      <end>1</end>
      <status>unmodified</status>
      <modifiedWord/>
      <trackRevisions>false</trackRevisions>
    </reviewItem>
    <reviewItem>
      <errorID>0b327a71-dc2d-46fe-8205-2d0017db6034</errorID>
      <errorWord>*</errorWord>
      <group>L1_Punc</group>
      <groupName>标点问题</groupName>
      <ability>L2_Punc</ability>
      <abilityName>标点符号检查</abilityName>
      <candidateList/>
      <explain/>
      <paraID>66D4B224</paraID>
      <start>0</start>
      <end>1</end>
      <status>unmodified</status>
      <modifiedWord/>
      <trackRevisions>false</trackRevisions>
    </reviewItem>
    <reviewItem>
      <errorID>229d4c5e-20c4-4fd9-82ff-a12a86f18f0a</errorID>
      <errorWord>*</errorWord>
      <group>L1_Punc</group>
      <groupName>标点问题</groupName>
      <ability>L2_Punc</ability>
      <abilityName>标点符号检查</abilityName>
      <candidateList/>
      <explain/>
      <paraID>7F33223A</paraID>
      <start>0</start>
      <end>1</end>
      <status>unmodified</status>
      <modifiedWord/>
      <trackRevisions>false</trackRevisions>
    </reviewItem>
    <reviewItem>
      <errorID>418fc2f7-6ab9-4db5-985b-2d5a71de105e</errorID>
      <errorWord>*</errorWord>
      <group>L1_Punc</group>
      <groupName>标点问题</groupName>
      <ability>L2_Punc</ability>
      <abilityName>标点符号检查</abilityName>
      <candidateList/>
      <explain/>
      <paraID>4E9EB47B</paraID>
      <start>0</start>
      <end>1</end>
      <status>unmodified</status>
      <modifiedWord/>
      <trackRevisions>false</trackRevisions>
    </reviewItem>
    <reviewItem>
      <errorID>d8df0be2-3b92-402c-a849-19b2aa80106f</errorID>
      <errorWord>*</errorWord>
      <group>L1_Punc</group>
      <groupName>标点问题</groupName>
      <ability>L2_Punc</ability>
      <abilityName>标点符号检查</abilityName>
      <candidateList/>
      <explain/>
      <paraID>712BE0EA</paraID>
      <start>0</start>
      <end>1</end>
      <status>unmodified</status>
      <modifiedWord/>
      <trackRevisions>false</trackRevisions>
    </reviewItem>
    <reviewItem>
      <errorID>c31e3306-02ab-4084-9334-0bfc1e467f8b</errorID>
      <errorWord>*</errorWord>
      <group>L1_Punc</group>
      <groupName>标点问题</groupName>
      <ability>L2_Punc</ability>
      <abilityName>标点符号检查</abilityName>
      <candidateList/>
      <explain/>
      <paraID> C06B5CF</paraID>
      <start>0</start>
      <end>1</end>
      <status>unmodified</status>
      <modifiedWord/>
      <trackRevisions>false</trackRevisions>
    </reviewItem>
    <reviewItem>
      <errorID>2f6ae6f8-6ce1-40ce-9ab8-8d0bcec8021c</errorID>
      <errorWord>*</errorWord>
      <group>L1_Punc</group>
      <groupName>标点问题</groupName>
      <ability>L2_Punc</ability>
      <abilityName>标点符号检查</abilityName>
      <candidateList/>
      <explain/>
      <paraID>24E9E1E0</paraID>
      <start>0</start>
      <end>1</end>
      <status>unmodified</status>
      <modifiedWord/>
      <trackRevisions>false</trackRevisions>
    </reviewItem>
    <reviewItem>
      <errorID>87e506a0-4f0b-44ec-9ae8-fb09a8e98836</errorID>
      <errorWord>*</errorWord>
      <group>L1_Punc</group>
      <groupName>标点问题</groupName>
      <ability>L2_Punc</ability>
      <abilityName>标点符号检查</abilityName>
      <candidateList/>
      <explain/>
      <paraID>6419B527</paraID>
      <start>0</start>
      <end>1</end>
      <status>unmodified</status>
      <modifiedWord/>
      <trackRevisions>false</trackRevisions>
    </reviewItem>
  </reviewItems>
  <config/>
</contractReview>
</file>

<file path=customXml/itemProps1.xml><?xml version="1.0" encoding="utf-8"?>
<ds:datastoreItem xmlns:ds="http://schemas.openxmlformats.org/officeDocument/2006/customXml" ds:itemID="{88ca19aa-92ea-449e-8715-827d33c99843}">
  <ds:schemaRefs/>
</ds:datastoreItem>
</file>

<file path=docProps/app.xml><?xml version="1.0" encoding="utf-8"?>
<Properties xmlns="http://schemas.openxmlformats.org/officeDocument/2006/extended-properties" xmlns:vt="http://schemas.openxmlformats.org/officeDocument/2006/docPropsVTypes">
  <Template>Normal.dotm</Template>
  <Pages>21</Pages>
  <Words>5085</Words>
  <Characters>6546</Characters>
  <Lines>47</Lines>
  <Paragraphs>13</Paragraphs>
  <TotalTime>0</TotalTime>
  <ScaleCrop>false</ScaleCrop>
  <LinksUpToDate>false</LinksUpToDate>
  <CharactersWithSpaces>6637</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2025-12-18T11:22:00Z</dcterms:created>
  <dc:creator>NTKO</dc:creator>
  <cp:lastModifiedBy>心事子</cp:lastModifiedBy>
  <dcterms:modified xsi:type="dcterms:W3CDTF">2026-03-13T09:08:33Z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