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4A6E0D">
      <w:pPr>
        <w:pStyle w:val="16"/>
        <w:bidi w:val="0"/>
        <w:rPr>
          <w:rFonts w:hint="eastAsia"/>
        </w:rPr>
      </w:pPr>
      <w:r>
        <w:rPr>
          <w:rFonts w:hint="eastAsia"/>
          <w:lang w:eastAsia="zh-CN"/>
        </w:rPr>
        <w:t>兴国县埠头乡中心幼儿园2026</w:t>
      </w:r>
      <w:r>
        <w:rPr>
          <w:rFonts w:hint="eastAsia"/>
        </w:rPr>
        <w:t>年</w:t>
      </w:r>
      <w:r>
        <w:rPr>
          <w:rFonts w:hint="eastAsia"/>
          <w:lang w:val="en-US" w:eastAsia="zh-CN"/>
        </w:rPr>
        <w:t>单位</w:t>
      </w:r>
      <w:r>
        <w:rPr>
          <w:rFonts w:hint="eastAsia"/>
        </w:rPr>
        <w:t>预算</w:t>
      </w:r>
    </w:p>
    <w:p w14:paraId="53334889">
      <w:pPr>
        <w:pStyle w:val="13"/>
        <w:spacing w:line="600" w:lineRule="atLeast"/>
        <w:jc w:val="center"/>
        <w:rPr>
          <w:rFonts w:ascii="黑体" w:hAnsi="黑体" w:eastAsia="黑体"/>
          <w:color w:val="000000"/>
          <w:sz w:val="32"/>
          <w:szCs w:val="32"/>
        </w:rPr>
      </w:pPr>
    </w:p>
    <w:p w14:paraId="5469C670">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4175D4DC">
      <w:pPr>
        <w:pStyle w:val="13"/>
        <w:rPr>
          <w:rFonts w:ascii="宋体" w:hAnsi="宋体"/>
          <w:color w:val="000000"/>
        </w:rPr>
      </w:pPr>
    </w:p>
    <w:p w14:paraId="31E0DF8D">
      <w:pPr>
        <w:pStyle w:val="17"/>
        <w:numPr>
          <w:ilvl w:val="0"/>
          <w:numId w:val="0"/>
        </w:numPr>
        <w:bidi w:val="0"/>
        <w:ind w:left="420" w:leftChars="200"/>
        <w:jc w:val="left"/>
        <w:rPr>
          <w:rFonts w:hint="eastAsia"/>
          <w:lang w:eastAsia="zh-CN"/>
        </w:rPr>
      </w:pPr>
      <w:r>
        <w:rPr>
          <w:rFonts w:hint="eastAsia"/>
          <w:lang w:val="en-US" w:eastAsia="zh-CN"/>
        </w:rPr>
        <w:t>第一部分  兴国县埠头乡中心幼儿园概况</w:t>
      </w:r>
    </w:p>
    <w:p w14:paraId="7A590666">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553FF8CA">
      <w:pPr>
        <w:pStyle w:val="18"/>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2F7C4DC8">
      <w:pPr>
        <w:pStyle w:val="18"/>
        <w:bidi w:val="0"/>
        <w:rPr>
          <w:rFonts w:hint="eastAsia" w:ascii="仿宋_GB2312" w:hAnsi="仿宋_GB2312" w:eastAsia="仿宋_GB2312" w:cs="仿宋_GB2312"/>
        </w:rPr>
      </w:pPr>
    </w:p>
    <w:p w14:paraId="29808D04">
      <w:pPr>
        <w:pStyle w:val="17"/>
        <w:numPr>
          <w:ilvl w:val="0"/>
          <w:numId w:val="0"/>
        </w:numPr>
        <w:bidi w:val="0"/>
        <w:ind w:firstLine="320" w:firstLineChars="100"/>
        <w:jc w:val="left"/>
        <w:rPr>
          <w:rFonts w:hint="eastAsia"/>
        </w:rPr>
      </w:pPr>
      <w:r>
        <w:rPr>
          <w:rFonts w:hint="eastAsia"/>
        </w:rPr>
        <w:t xml:space="preserve">第二部分  </w:t>
      </w:r>
      <w:r>
        <w:rPr>
          <w:rFonts w:hint="eastAsia"/>
          <w:lang w:eastAsia="zh-CN"/>
        </w:rPr>
        <w:t>兴国县埠头乡中心幼儿园2026</w:t>
      </w:r>
      <w:r>
        <w:rPr>
          <w:rFonts w:hint="eastAsia"/>
        </w:rPr>
        <w:t>年</w:t>
      </w:r>
      <w:r>
        <w:rPr>
          <w:rFonts w:hint="eastAsia"/>
          <w:lang w:val="en-US" w:eastAsia="zh-CN"/>
        </w:rPr>
        <w:t>单位</w:t>
      </w:r>
      <w:r>
        <w:rPr>
          <w:rFonts w:hint="eastAsia"/>
        </w:rPr>
        <w:t>预算表</w:t>
      </w:r>
    </w:p>
    <w:p w14:paraId="0296E8C7">
      <w:pPr>
        <w:pStyle w:val="18"/>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4B9AA823">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071EAED5">
      <w:pPr>
        <w:pStyle w:val="18"/>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4FCD660F">
      <w:pPr>
        <w:pStyle w:val="18"/>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567FA57B">
      <w:pPr>
        <w:pStyle w:val="18"/>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053B6471">
      <w:pPr>
        <w:pStyle w:val="18"/>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4FD5E8A2">
      <w:pPr>
        <w:pStyle w:val="18"/>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668FEC51">
      <w:pPr>
        <w:pStyle w:val="18"/>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2A6D9E0F">
      <w:pPr>
        <w:pStyle w:val="18"/>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609E937D">
      <w:pPr>
        <w:pStyle w:val="18"/>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38176EB0">
      <w:pPr>
        <w:pStyle w:val="17"/>
        <w:numPr>
          <w:ilvl w:val="0"/>
          <w:numId w:val="0"/>
        </w:numPr>
        <w:bidi w:val="0"/>
        <w:ind w:firstLine="320" w:firstLineChars="100"/>
        <w:jc w:val="left"/>
        <w:rPr>
          <w:rFonts w:hint="eastAsia"/>
          <w:lang w:eastAsia="zh-CN"/>
        </w:rPr>
      </w:pPr>
      <w:r>
        <w:rPr>
          <w:rFonts w:hint="eastAsia"/>
          <w:lang w:eastAsia="zh-CN"/>
        </w:rPr>
        <w:t>第三部分 兴国县埠头乡中心幼儿园 2026年</w:t>
      </w:r>
      <w:r>
        <w:rPr>
          <w:rFonts w:hint="eastAsia"/>
          <w:lang w:val="en-US" w:eastAsia="zh-CN"/>
        </w:rPr>
        <w:t>单位</w:t>
      </w:r>
      <w:r>
        <w:rPr>
          <w:rFonts w:hint="eastAsia"/>
          <w:lang w:eastAsia="zh-CN"/>
        </w:rPr>
        <w:t>预算情况说明</w:t>
      </w:r>
    </w:p>
    <w:p w14:paraId="7579C416">
      <w:pPr>
        <w:pStyle w:val="18"/>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58B93401">
      <w:pPr>
        <w:pStyle w:val="18"/>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4A7E72ED">
      <w:pPr>
        <w:pStyle w:val="13"/>
        <w:tabs>
          <w:tab w:val="left" w:pos="6546"/>
        </w:tabs>
        <w:spacing w:line="600" w:lineRule="atLeast"/>
        <w:ind w:firstLine="1280"/>
        <w:jc w:val="left"/>
        <w:rPr>
          <w:rFonts w:ascii="Adobe 仿宋 Std R" w:hAnsi="Adobe 仿宋 Std R" w:eastAsia="Adobe 仿宋 Std R" w:cstheme="minorBidi"/>
          <w:kern w:val="2"/>
          <w:sz w:val="32"/>
          <w:szCs w:val="30"/>
        </w:rPr>
      </w:pPr>
    </w:p>
    <w:p w14:paraId="1BA32D3D">
      <w:pPr>
        <w:pStyle w:val="17"/>
        <w:numPr>
          <w:ilvl w:val="0"/>
          <w:numId w:val="0"/>
        </w:numPr>
        <w:bidi w:val="0"/>
        <w:ind w:left="420" w:leftChars="200"/>
        <w:jc w:val="left"/>
        <w:rPr>
          <w:rFonts w:hint="eastAsia"/>
          <w:lang w:eastAsia="zh-CN"/>
        </w:rPr>
      </w:pPr>
      <w:r>
        <w:rPr>
          <w:rFonts w:hint="eastAsia"/>
          <w:lang w:eastAsia="zh-CN"/>
        </w:rPr>
        <w:t>第四部分  名词解释</w:t>
      </w:r>
    </w:p>
    <w:p w14:paraId="327D2DCF">
      <w:pPr>
        <w:widowControl/>
        <w:spacing w:line="580" w:lineRule="exact"/>
        <w:jc w:val="center"/>
        <w:rPr>
          <w:rFonts w:ascii="仿宋_GB2312" w:eastAsia="仿宋_GB2312"/>
          <w:b/>
          <w:sz w:val="32"/>
          <w:szCs w:val="30"/>
        </w:rPr>
      </w:pPr>
    </w:p>
    <w:p w14:paraId="4A6E515A">
      <w:pPr>
        <w:widowControl/>
        <w:spacing w:line="580" w:lineRule="exact"/>
        <w:jc w:val="center"/>
        <w:rPr>
          <w:rFonts w:ascii="仿宋_GB2312" w:eastAsia="仿宋_GB2312"/>
          <w:b/>
          <w:sz w:val="32"/>
          <w:szCs w:val="30"/>
        </w:rPr>
      </w:pPr>
    </w:p>
    <w:p w14:paraId="1A5A817D">
      <w:pPr>
        <w:pStyle w:val="17"/>
        <w:numPr>
          <w:ilvl w:val="0"/>
          <w:numId w:val="0"/>
        </w:numPr>
        <w:bidi w:val="0"/>
        <w:ind w:left="420" w:leftChars="200"/>
        <w:jc w:val="center"/>
        <w:rPr>
          <w:rFonts w:hint="eastAsia"/>
          <w:lang w:eastAsia="zh-CN"/>
        </w:rPr>
      </w:pPr>
      <w:r>
        <w:rPr>
          <w:rFonts w:hint="eastAsia"/>
          <w:lang w:eastAsia="zh-CN"/>
        </w:rPr>
        <w:t>第一部分  兴国县埠头乡中心幼儿园概况</w:t>
      </w:r>
    </w:p>
    <w:p w14:paraId="33459CE6">
      <w:pPr>
        <w:widowControl/>
        <w:spacing w:line="580" w:lineRule="exact"/>
        <w:jc w:val="left"/>
        <w:rPr>
          <w:rFonts w:asciiTheme="minorEastAsia" w:hAnsiTheme="minorEastAsia"/>
          <w:b/>
          <w:sz w:val="36"/>
          <w:szCs w:val="36"/>
        </w:rPr>
      </w:pPr>
    </w:p>
    <w:p w14:paraId="7E15B618">
      <w:pPr>
        <w:pStyle w:val="17"/>
        <w:numPr>
          <w:ilvl w:val="0"/>
          <w:numId w:val="3"/>
        </w:numPr>
        <w:bidi w:val="0"/>
        <w:ind w:left="420" w:leftChars="200" w:firstLine="320" w:firstLineChars="100"/>
        <w:rPr>
          <w:rFonts w:hint="eastAsia"/>
        </w:rPr>
      </w:pPr>
      <w:r>
        <w:rPr>
          <w:rFonts w:hint="eastAsia"/>
          <w:lang w:val="en-US" w:eastAsia="zh-CN"/>
        </w:rPr>
        <w:t>单位</w:t>
      </w:r>
      <w:r>
        <w:rPr>
          <w:rFonts w:hint="eastAsia"/>
        </w:rPr>
        <w:t>主要职责</w:t>
      </w:r>
    </w:p>
    <w:p w14:paraId="345EE9C6">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（一）负责全面贯彻党的教育方针，认真执行国家和上级有关部门有关政策文件，正确处理国家、幼儿园和教职工个人三者之间的关系。</w:t>
      </w:r>
    </w:p>
    <w:p w14:paraId="3BA13B77">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（二）根据上级主管部门下达的任务，制定幼儿园的发展规划和学年、学期工作计划及各项工作管理制度和相应的检查评比考核办法，并认真组织实施，实现园长任期工作目标。</w:t>
      </w:r>
    </w:p>
    <w:p w14:paraId="0EC9A26F">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（三）坚持管理育人、教书育人、服务育人的工作方针，提高教职工队伍的综合素质。增强教师事业心和责任感，调动教师工作的积极性，提高一流的教育教学工作质量。培养和选拔使用干部。</w:t>
      </w:r>
    </w:p>
    <w:p w14:paraId="65A896D0">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（四）加强幼儿园人事教育教学、总务等各方面工作的组织管理，推动幼儿园内部综合改革的不断深化，建立科学、高效、有活力的管理运行机制，使幼儿园走向自我完善、自我发展的道路。</w:t>
      </w:r>
    </w:p>
    <w:p w14:paraId="5A94270E">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（五）自觉接受党组织的监督，定期向党组织汇报工作，尊重和支持教职工群众参与幼儿园民主管理的权利。</w:t>
      </w:r>
    </w:p>
    <w:p w14:paraId="0584A3BF">
      <w:pPr>
        <w:numPr>
          <w:ilvl w:val="0"/>
          <w:numId w:val="0"/>
        </w:numPr>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（六）全身心地投入工作，关心群众生活。自觉加强自我制约机制的建设，保证园长负责制机制下的幼儿园健康发展。</w:t>
      </w:r>
    </w:p>
    <w:p w14:paraId="1514EE20">
      <w:pPr>
        <w:pStyle w:val="18"/>
        <w:bidi w:val="0"/>
        <w:rPr>
          <w:rFonts w:hint="eastAsia" w:ascii="仿宋_GB2312" w:hAnsi="仿宋_GB2312" w:eastAsia="仿宋_GB2312" w:cs="仿宋_GB2312"/>
          <w:kern w:val="2"/>
          <w:sz w:val="32"/>
          <w:szCs w:val="32"/>
          <w:lang w:val="en-US" w:eastAsia="zh-CN" w:bidi="ar-SA"/>
        </w:rPr>
      </w:pPr>
    </w:p>
    <w:p w14:paraId="566B2966">
      <w:pPr>
        <w:pStyle w:val="17"/>
        <w:numPr>
          <w:ilvl w:val="0"/>
          <w:numId w:val="0"/>
        </w:numPr>
        <w:bidi w:val="0"/>
        <w:ind w:left="420" w:leftChars="200" w:firstLine="320" w:firstLineChars="100"/>
        <w:rPr>
          <w:rFonts w:hint="eastAsia"/>
        </w:rPr>
      </w:pPr>
      <w:r>
        <w:rPr>
          <w:rFonts w:hint="eastAsia"/>
        </w:rPr>
        <w:t>二、机构设置及人员情况</w:t>
      </w:r>
    </w:p>
    <w:p w14:paraId="5CDDF270">
      <w:pPr>
        <w:pStyle w:val="18"/>
        <w:bidi w:val="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兴国县埠头乡中心幼儿园内设处室2个，包括：保教处、后勤处。</w:t>
      </w:r>
    </w:p>
    <w:p w14:paraId="59D1C679">
      <w:pPr>
        <w:pStyle w:val="18"/>
        <w:bidi w:val="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2026年本单位编制人数小计8人，其中：行政编制人数0人，参照公务员管理的事业编制人数0人，全部补助事业编制人数8人，自收自支编制人数0人。实有人数小计8人，其中：在职人数小计8人（行政在职人数0人，参照公务员管理的事业单位在职人数0人，全部补助事业在职人数8人）；离休人数小计0人；退休人数小计0人。</w:t>
      </w:r>
    </w:p>
    <w:p w14:paraId="20BA7E93">
      <w:pPr>
        <w:pStyle w:val="18"/>
        <w:bidi w:val="0"/>
        <w:ind w:left="0" w:leftChars="0"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2026年本单位在校学生129人，其中：本科生人数0人，专科生人数0人，高中人数0人，初中人数0人，小学人数0人，幼儿园人数129人。</w:t>
      </w:r>
    </w:p>
    <w:p w14:paraId="3ADD7E3B">
      <w:pPr>
        <w:pStyle w:val="18"/>
        <w:bidi w:val="0"/>
        <w:ind w:left="0" w:leftChars="0" w:firstLine="640" w:firstLineChars="200"/>
        <w:rPr>
          <w:rFonts w:hint="eastAsia" w:ascii="仿宋_GB2312" w:hAnsi="仿宋_GB2312" w:eastAsia="仿宋_GB2312" w:cs="仿宋_GB2312"/>
          <w:kern w:val="2"/>
          <w:sz w:val="32"/>
          <w:szCs w:val="32"/>
          <w:lang w:val="en-US" w:eastAsia="zh-CN" w:bidi="ar-SA"/>
        </w:rPr>
      </w:pPr>
    </w:p>
    <w:p w14:paraId="6DEE90B2">
      <w:pPr>
        <w:pStyle w:val="17"/>
        <w:numPr>
          <w:ilvl w:val="0"/>
          <w:numId w:val="0"/>
        </w:numPr>
        <w:bidi w:val="0"/>
        <w:ind w:left="420" w:leftChars="200"/>
        <w:jc w:val="center"/>
        <w:rPr>
          <w:rFonts w:hint="eastAsia"/>
          <w:lang w:eastAsia="zh-CN"/>
        </w:rPr>
      </w:pPr>
      <w:r>
        <w:rPr>
          <w:rFonts w:hint="eastAsia"/>
          <w:lang w:eastAsia="zh-CN"/>
        </w:rPr>
        <w:t>第二部分  兴国县埠头乡中心幼儿园2026年</w:t>
      </w:r>
      <w:r>
        <w:rPr>
          <w:rFonts w:hint="eastAsia"/>
          <w:lang w:val="en-US" w:eastAsia="zh-CN"/>
        </w:rPr>
        <w:t>单位</w:t>
      </w:r>
      <w:r>
        <w:rPr>
          <w:rFonts w:hint="eastAsia"/>
          <w:lang w:eastAsia="zh-CN"/>
        </w:rPr>
        <w:t>预算表</w:t>
      </w:r>
    </w:p>
    <w:p w14:paraId="33A815A4">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3A2A9820">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3C7F5C08">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689B710D">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AB2CBD8">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201091兴国县埠头乡中心幼儿园</w:t>
            </w:r>
          </w:p>
        </w:tc>
        <w:tc>
          <w:tcPr>
            <w:tcW w:w="1655" w:type="pct"/>
            <w:noWrap/>
            <w:vAlign w:val="bottom"/>
          </w:tcPr>
          <w:p w14:paraId="13DD3096">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239E868A">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4ADDE27A">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07201C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562AA3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18A62D90">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45F9A2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515C77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5D3D38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A9B69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077189A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BA30C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5A3010F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198.54</w:t>
            </w:r>
          </w:p>
        </w:tc>
        <w:tc>
          <w:tcPr>
            <w:tcW w:w="1655" w:type="pct"/>
            <w:tcBorders>
              <w:top w:val="nil"/>
              <w:left w:val="nil"/>
              <w:bottom w:val="single" w:color="000000" w:sz="4" w:space="0"/>
              <w:right w:val="single" w:color="000000" w:sz="4" w:space="0"/>
            </w:tcBorders>
            <w:noWrap/>
            <w:vAlign w:val="center"/>
          </w:tcPr>
          <w:p w14:paraId="1A8D78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5BA8D4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218.86</w:t>
            </w:r>
          </w:p>
        </w:tc>
      </w:tr>
      <w:tr w14:paraId="0FB107C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AEF6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24873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198.54</w:t>
            </w:r>
          </w:p>
        </w:tc>
        <w:tc>
          <w:tcPr>
            <w:tcW w:w="1655" w:type="pct"/>
            <w:tcBorders>
              <w:top w:val="nil"/>
              <w:left w:val="nil"/>
              <w:bottom w:val="single" w:color="000000" w:sz="4" w:space="0"/>
              <w:right w:val="single" w:color="000000" w:sz="4" w:space="0"/>
            </w:tcBorders>
            <w:noWrap/>
            <w:vAlign w:val="center"/>
          </w:tcPr>
          <w:p w14:paraId="19B4C1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36A074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12.04</w:t>
            </w:r>
          </w:p>
        </w:tc>
      </w:tr>
      <w:tr w14:paraId="365B2A8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709A67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17C174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B7D49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585491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7.72</w:t>
            </w:r>
          </w:p>
        </w:tc>
      </w:tr>
      <w:tr w14:paraId="5DC5B43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22284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2C0094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12074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2A005D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40.00</w:t>
            </w:r>
          </w:p>
        </w:tc>
      </w:tr>
      <w:tr w14:paraId="4EC29AB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94A75D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0F133B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40.00</w:t>
            </w:r>
          </w:p>
        </w:tc>
        <w:tc>
          <w:tcPr>
            <w:tcW w:w="1655" w:type="pct"/>
            <w:tcBorders>
              <w:top w:val="nil"/>
              <w:left w:val="nil"/>
              <w:bottom w:val="single" w:color="000000" w:sz="4" w:space="0"/>
              <w:right w:val="single" w:color="000000" w:sz="4" w:space="0"/>
            </w:tcBorders>
            <w:noWrap/>
            <w:vAlign w:val="center"/>
          </w:tcPr>
          <w:p w14:paraId="43CDF2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C76D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8CA8B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5A7CC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01E7CB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D31A9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C28AD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2E565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FF4C7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2E6C3F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24F05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B9912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123A4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3E9DC2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2A42C2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D8DAC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23F3F6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1A280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C82C6C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36210E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DE4E9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E1D2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75439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3254B9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03D219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40.00</w:t>
            </w:r>
          </w:p>
        </w:tc>
        <w:tc>
          <w:tcPr>
            <w:tcW w:w="1655" w:type="pct"/>
            <w:tcBorders>
              <w:top w:val="nil"/>
              <w:left w:val="nil"/>
              <w:bottom w:val="single" w:color="000000" w:sz="4" w:space="0"/>
              <w:right w:val="single" w:color="000000" w:sz="4" w:space="0"/>
            </w:tcBorders>
            <w:noWrap/>
            <w:vAlign w:val="center"/>
          </w:tcPr>
          <w:p w14:paraId="553A0C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0D6AE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574AF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EA4C11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13EE8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0E68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88D7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FB00C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F82214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958A7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5DD6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EFCE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5337B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EDBE0F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C2AF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4C628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8BD6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F5CC95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EAE81F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EDCB0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79F23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9D4C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04929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68E5C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53C3D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9F2F1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DEFD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17D82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922CE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68CFE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8B8E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42932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82094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B01045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B6139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FF3E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19DCB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3703B6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EDBD7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A8C04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96406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34CC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703A9B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C0F484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328F1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62815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87F30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B30A8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81C87E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A1357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8CF58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48D5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D89DA8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86606B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80376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7D2C6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3BB16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8A43B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B68495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70803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C1B4B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CA00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BA53B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6DE3DB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C691CC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9412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5097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51910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E1C33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6523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6823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3D3A0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46CD9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8CBDA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57559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55B8A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B4DB8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43AE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D1277E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BBD8F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BED43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0E4B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E3A15A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86255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4CE887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5B8CA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DE782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62BE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266CF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23D52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2EF9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4D3E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EF429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22082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B3F5B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663D9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E0D3E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5870A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58B3542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45BB98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278.54</w:t>
            </w:r>
          </w:p>
        </w:tc>
        <w:tc>
          <w:tcPr>
            <w:tcW w:w="1655" w:type="pct"/>
            <w:tcBorders>
              <w:top w:val="nil"/>
              <w:left w:val="nil"/>
              <w:bottom w:val="single" w:color="auto" w:sz="4" w:space="0"/>
              <w:right w:val="single" w:color="000000" w:sz="4" w:space="0"/>
            </w:tcBorders>
            <w:noWrap/>
            <w:vAlign w:val="center"/>
          </w:tcPr>
          <w:p w14:paraId="729E43E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3688F7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278.62</w:t>
            </w:r>
          </w:p>
        </w:tc>
      </w:tr>
      <w:tr w14:paraId="16ADBE4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D84D31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4B79A0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12A975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3DC1B6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619537A5">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26E1E16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5447F5C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0.08</w:t>
            </w:r>
          </w:p>
        </w:tc>
        <w:tc>
          <w:tcPr>
            <w:tcW w:w="1655" w:type="pct"/>
            <w:tcBorders>
              <w:top w:val="single" w:color="auto" w:sz="4" w:space="0"/>
              <w:left w:val="nil"/>
              <w:bottom w:val="single" w:color="auto" w:sz="4" w:space="0"/>
              <w:right w:val="single" w:color="000000" w:sz="4" w:space="0"/>
            </w:tcBorders>
            <w:noWrap/>
            <w:vAlign w:val="bottom"/>
          </w:tcPr>
          <w:p w14:paraId="701F88B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25DBCF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65F565">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1E92D9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237E78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278.62</w:t>
            </w:r>
          </w:p>
        </w:tc>
        <w:tc>
          <w:tcPr>
            <w:tcW w:w="1655" w:type="pct"/>
            <w:tcBorders>
              <w:top w:val="single" w:color="auto" w:sz="4" w:space="0"/>
              <w:left w:val="single" w:color="auto" w:sz="4" w:space="0"/>
              <w:bottom w:val="single" w:color="auto" w:sz="4" w:space="0"/>
              <w:right w:val="single" w:color="auto" w:sz="4" w:space="0"/>
            </w:tcBorders>
            <w:noWrap/>
            <w:vAlign w:val="center"/>
          </w:tcPr>
          <w:p w14:paraId="6952EF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03531E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278.62</w:t>
            </w:r>
          </w:p>
        </w:tc>
      </w:tr>
    </w:tbl>
    <w:p w14:paraId="7382324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6278558D">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41B5BC82">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06142402">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786ED38C">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填报单位：201091兴国县埠头乡中心幼儿园</w:t>
            </w:r>
          </w:p>
        </w:tc>
        <w:tc>
          <w:tcPr>
            <w:tcW w:w="366" w:type="pct"/>
            <w:tcBorders>
              <w:top w:val="nil"/>
              <w:left w:val="nil"/>
              <w:bottom w:val="single" w:color="auto" w:sz="4" w:space="0"/>
              <w:right w:val="nil"/>
            </w:tcBorders>
            <w:shd w:val="clear" w:color="auto" w:fill="auto"/>
            <w:noWrap/>
            <w:vAlign w:val="bottom"/>
          </w:tcPr>
          <w:p w14:paraId="5B2BE26F">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185DB67F">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788709A2">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77305B59">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35B1775D">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0A1F0FA5">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26D6BEA4">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19384D9D">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EB377BA">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6A876410">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319B9D5F">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20B155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E6102B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F3E4D7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BE1347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E7AC16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3906A6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CD80D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1D3457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3D0956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F8B978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26994071">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4DDF3627">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46E82D13">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6837E815">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0ACA3AB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1197FFA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4B92FD5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60BB3A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14578AE1">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67BE2D5E">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0A035DBF">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75D9E529">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532448B1">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6F60257B">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0BB4F2F7">
            <w:pPr>
              <w:widowControl/>
              <w:jc w:val="left"/>
              <w:rPr>
                <w:rFonts w:ascii="宋体" w:hAnsi="宋体" w:eastAsia="宋体" w:cs="Arial"/>
                <w:color w:val="000000"/>
                <w:kern w:val="0"/>
                <w:sz w:val="13"/>
                <w:szCs w:val="13"/>
              </w:rPr>
            </w:pPr>
          </w:p>
        </w:tc>
      </w:tr>
      <w:tr w14:paraId="7259B1C4">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4EF69C">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964430">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867F3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41C55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9C6AF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87A32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BC780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85187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56868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7B406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43B22C">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CFCE9A">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355F3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97A2D3">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0ABA83C7">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311CD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兴国县埠头乡中心幼儿园</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B0795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278.62</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CF9D2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0.08</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5E1AA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198.54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407D7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198.54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46FDD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F061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DEA9E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45831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AE76D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3D775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FE326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6AC9F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684BA79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A340677">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D347C0F">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200D7047">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192DC2A7">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40E28CFB">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：201091兴国县埠头乡中心幼儿园</w:t>
            </w:r>
          </w:p>
        </w:tc>
        <w:tc>
          <w:tcPr>
            <w:tcW w:w="914" w:type="pct"/>
            <w:tcBorders>
              <w:top w:val="nil"/>
              <w:left w:val="nil"/>
              <w:bottom w:val="nil"/>
              <w:right w:val="nil"/>
            </w:tcBorders>
            <w:shd w:val="clear" w:color="auto" w:fill="auto"/>
            <w:noWrap/>
            <w:vAlign w:val="bottom"/>
          </w:tcPr>
          <w:p w14:paraId="0D0A7AC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37B7933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29D86480">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10FD549">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935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D090B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26EA33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750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A1303A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65B9E7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2A7B23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1D93C9F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192F8AC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6A40C530">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6D2666D8">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66A5CD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276E79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397E55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764BFF8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513B265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F533B9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BF43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9251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FF63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278.62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CF8C9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230.80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1651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47.82</w:t>
            </w:r>
          </w:p>
        </w:tc>
      </w:tr>
      <w:tr w14:paraId="5528327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16A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F16BF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D354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218.86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C9D1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211.04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36F8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7.82</w:t>
            </w:r>
          </w:p>
        </w:tc>
      </w:tr>
      <w:tr w14:paraId="1A388DE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DBC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5E2FE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E5213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218.86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5EC3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211.04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1185D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7.82</w:t>
            </w:r>
          </w:p>
        </w:tc>
      </w:tr>
      <w:tr w14:paraId="4FB1840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C34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0E208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6B753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218.86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DE6B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211.04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153D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7.82</w:t>
            </w:r>
          </w:p>
        </w:tc>
      </w:tr>
      <w:tr w14:paraId="76E1ADD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EAF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607A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79CD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D5A9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56158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1B82F1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B76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16C2F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C82F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8C594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AEC8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120335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02A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CA75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21EE4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F86E6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4935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1029E2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59B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D38E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CB434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3D2C4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E46E5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4C3341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882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265E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B1EEC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BD3E7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C9261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7826BC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160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86393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C86EE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09392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9730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95F0D7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279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D5517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97E9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885FA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D9B0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58F566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CE1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F69F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46CEC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A077D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C738F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3697D6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7A2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FA729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0F34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587E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3BBEA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C43DAF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0E9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7FC5B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ABF9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04321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70716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40.00</w:t>
            </w:r>
          </w:p>
        </w:tc>
      </w:tr>
      <w:tr w14:paraId="3F587E2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3AD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86FA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A3C08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70EB9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06318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40.00</w:t>
            </w:r>
          </w:p>
        </w:tc>
      </w:tr>
      <w:tr w14:paraId="466BAD1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F08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141D5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21A1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ACC3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BF65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40.00</w:t>
            </w:r>
          </w:p>
        </w:tc>
      </w:tr>
    </w:tbl>
    <w:p w14:paraId="62303DA7">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1252B3EF">
        <w:tblPrEx>
          <w:tblCellMar>
            <w:top w:w="0" w:type="dxa"/>
            <w:left w:w="108" w:type="dxa"/>
            <w:bottom w:w="0" w:type="dxa"/>
            <w:right w:w="108" w:type="dxa"/>
          </w:tblCellMar>
        </w:tblPrEx>
        <w:trPr>
          <w:trHeight w:val="585" w:hRule="atLeast"/>
          <w:tblHeader/>
        </w:trPr>
        <w:tc>
          <w:tcPr>
            <w:tcW w:w="5000" w:type="pct"/>
            <w:gridSpan w:val="7"/>
            <w:noWrap/>
            <w:vAlign w:val="center"/>
          </w:tcPr>
          <w:p w14:paraId="3150091B">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3A83BA4">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2DB88FF0">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201091兴国县埠头乡中心幼儿园</w:t>
            </w:r>
          </w:p>
        </w:tc>
        <w:tc>
          <w:tcPr>
            <w:tcW w:w="577" w:type="pct"/>
            <w:noWrap/>
            <w:vAlign w:val="bottom"/>
          </w:tcPr>
          <w:p w14:paraId="6C4B9DA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50C34D3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7D09F0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60FA3DF7">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597815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179D6C1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78C78983">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327A54E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63CEED0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00FE7AD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49C0C5D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3198363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1A7681F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6F9FF1A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49820C5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7BF24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7F34FBD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198.54</w:t>
            </w:r>
          </w:p>
        </w:tc>
        <w:tc>
          <w:tcPr>
            <w:tcW w:w="948" w:type="pct"/>
            <w:tcBorders>
              <w:top w:val="nil"/>
              <w:left w:val="nil"/>
              <w:bottom w:val="single" w:color="000000" w:sz="4" w:space="0"/>
              <w:right w:val="single" w:color="000000" w:sz="4" w:space="0"/>
            </w:tcBorders>
            <w:noWrap/>
            <w:vAlign w:val="center"/>
          </w:tcPr>
          <w:p w14:paraId="5C20A91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3DDC60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178.86</w:t>
            </w:r>
          </w:p>
        </w:tc>
        <w:tc>
          <w:tcPr>
            <w:tcW w:w="612" w:type="pct"/>
            <w:tcBorders>
              <w:top w:val="nil"/>
              <w:left w:val="nil"/>
              <w:bottom w:val="single" w:color="000000" w:sz="4" w:space="0"/>
              <w:right w:val="single" w:color="000000" w:sz="4" w:space="0"/>
            </w:tcBorders>
            <w:noWrap/>
            <w:vAlign w:val="center"/>
          </w:tcPr>
          <w:p w14:paraId="631CB42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178.86</w:t>
            </w:r>
          </w:p>
        </w:tc>
        <w:tc>
          <w:tcPr>
            <w:tcW w:w="602" w:type="pct"/>
            <w:tcBorders>
              <w:top w:val="nil"/>
              <w:left w:val="nil"/>
              <w:bottom w:val="single" w:color="000000" w:sz="4" w:space="0"/>
              <w:right w:val="single" w:color="000000" w:sz="4" w:space="0"/>
            </w:tcBorders>
            <w:noWrap/>
            <w:vAlign w:val="center"/>
          </w:tcPr>
          <w:p w14:paraId="4F361E9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28F27A2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54411E9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7351B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77092F0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198.54</w:t>
            </w:r>
          </w:p>
        </w:tc>
        <w:tc>
          <w:tcPr>
            <w:tcW w:w="948" w:type="pct"/>
            <w:tcBorders>
              <w:top w:val="nil"/>
              <w:left w:val="single" w:color="000000" w:sz="4" w:space="0"/>
              <w:bottom w:val="single" w:color="000000" w:sz="4" w:space="0"/>
              <w:right w:val="single" w:color="000000" w:sz="4" w:space="0"/>
            </w:tcBorders>
            <w:noWrap/>
            <w:vAlign w:val="center"/>
          </w:tcPr>
          <w:p w14:paraId="2B09ACB1">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567EB0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12.04</w:t>
            </w:r>
          </w:p>
        </w:tc>
        <w:tc>
          <w:tcPr>
            <w:tcW w:w="612" w:type="pct"/>
            <w:tcBorders>
              <w:top w:val="nil"/>
              <w:left w:val="nil"/>
              <w:bottom w:val="single" w:color="000000" w:sz="4" w:space="0"/>
              <w:right w:val="single" w:color="000000" w:sz="4" w:space="0"/>
            </w:tcBorders>
            <w:noWrap/>
            <w:vAlign w:val="center"/>
          </w:tcPr>
          <w:p w14:paraId="364331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12.04</w:t>
            </w:r>
          </w:p>
        </w:tc>
        <w:tc>
          <w:tcPr>
            <w:tcW w:w="602" w:type="pct"/>
            <w:tcBorders>
              <w:top w:val="nil"/>
              <w:left w:val="nil"/>
              <w:bottom w:val="single" w:color="000000" w:sz="4" w:space="0"/>
              <w:right w:val="single" w:color="000000" w:sz="4" w:space="0"/>
            </w:tcBorders>
            <w:noWrap/>
            <w:vAlign w:val="center"/>
          </w:tcPr>
          <w:p w14:paraId="491D8D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5406D2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9B5D14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C73253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540169E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03B51986">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28AB86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7.72</w:t>
            </w:r>
          </w:p>
        </w:tc>
        <w:tc>
          <w:tcPr>
            <w:tcW w:w="612" w:type="pct"/>
            <w:tcBorders>
              <w:top w:val="nil"/>
              <w:left w:val="nil"/>
              <w:bottom w:val="single" w:color="000000" w:sz="4" w:space="0"/>
              <w:right w:val="single" w:color="000000" w:sz="4" w:space="0"/>
            </w:tcBorders>
            <w:noWrap/>
            <w:vAlign w:val="center"/>
          </w:tcPr>
          <w:p w14:paraId="3FCB90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7.72</w:t>
            </w:r>
          </w:p>
        </w:tc>
        <w:tc>
          <w:tcPr>
            <w:tcW w:w="602" w:type="pct"/>
            <w:tcBorders>
              <w:top w:val="nil"/>
              <w:left w:val="nil"/>
              <w:bottom w:val="single" w:color="000000" w:sz="4" w:space="0"/>
              <w:right w:val="single" w:color="000000" w:sz="4" w:space="0"/>
            </w:tcBorders>
            <w:noWrap/>
            <w:vAlign w:val="center"/>
          </w:tcPr>
          <w:p w14:paraId="63C155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BB933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57323AC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37AF04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4866912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DBDE8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4040C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35DA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8C18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B991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376AF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46AF0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8A92E2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91A88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24C00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08A03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0CC24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57FFE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B9E63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0F57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CDBE29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F6552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27B21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2DA57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1476F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14AB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7EF5C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E9F9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C5A84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8503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0768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7C517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C56D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15539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233F0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805D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F5AD9D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5BCE9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9CB3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79084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61F99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045C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79DBB2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90B2D3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23F367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FCDD7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16527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7E5E7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9721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91C6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2357A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13D21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3386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829C1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3BF1A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3FD7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7F09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ED74D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D243B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57D76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D681C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DB5E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361C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363DD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198D0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D185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43E9F1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7C9DC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DA489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5B5A6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8A5CC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6E86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4FD6D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EFD0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508B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7C72D1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521FF9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372DF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45CC7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9AE5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773E72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49A65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5DF86D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0987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37A29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CBF2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76ED4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02B17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19CA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0329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396BFF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97EC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26044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39E19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C727B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0E5DA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F33B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85C9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7BA3F8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C48C0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2D22C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D3B7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E1103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0C2B8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AA435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092C6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98ED7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6AB1F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430D4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51F3A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2069C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3623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B77BC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31CA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8CF5AD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EA94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8DA02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331DA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404C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D00B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54ED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32BE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A9AD2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207A1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A30E9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A5D0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29B3C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E2C6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F69D7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A3CE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763ECE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33B5C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9203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48D14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0556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F967B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3CC5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A0A2F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787BC1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77437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AA4AF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C6F8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D0956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E772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35AE2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251E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E6F18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0197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DD83F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6450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CEE4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B3C8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C1FE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DAC9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CAC0C8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6E67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F5C48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C1B95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E739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2E90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EF2D9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4478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DD14B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ECBF7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AF135A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06B95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8FAC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22D5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FC2F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30B7D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B5A900">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731C149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17A3AAF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DF9C6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69DC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3540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9465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661C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9D267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B65B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3F0CF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2483D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B9F4A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D2717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BCE1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90419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C55891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AEE11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506A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5CE78E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0469A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3C5E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B7CCF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4E3D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897BF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07ADE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4A8BDEB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C6BD6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CB1E5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2D05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4AF00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AB02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686E2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A240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BD09C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D48C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5B721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36393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524A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53C9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4F3CCE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F66CE0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271FDB0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0.08　</w:t>
            </w:r>
          </w:p>
        </w:tc>
        <w:tc>
          <w:tcPr>
            <w:tcW w:w="948" w:type="pct"/>
            <w:tcBorders>
              <w:top w:val="nil"/>
              <w:left w:val="nil"/>
              <w:bottom w:val="single" w:color="auto" w:sz="4" w:space="0"/>
              <w:right w:val="single" w:color="000000" w:sz="4" w:space="0"/>
            </w:tcBorders>
            <w:noWrap/>
            <w:vAlign w:val="center"/>
          </w:tcPr>
          <w:p w14:paraId="31B5FD5D">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61DBE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14EE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FE53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3906B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E7AD9E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3948FC11">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03A7D94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0.08　</w:t>
            </w:r>
          </w:p>
        </w:tc>
        <w:tc>
          <w:tcPr>
            <w:tcW w:w="948" w:type="pct"/>
            <w:tcBorders>
              <w:top w:val="single" w:color="auto" w:sz="4" w:space="0"/>
              <w:left w:val="single" w:color="auto" w:sz="4" w:space="0"/>
              <w:bottom w:val="single" w:color="auto" w:sz="4" w:space="0"/>
              <w:right w:val="single" w:color="auto" w:sz="4" w:space="0"/>
            </w:tcBorders>
            <w:noWrap/>
            <w:vAlign w:val="center"/>
          </w:tcPr>
          <w:p w14:paraId="0CCE292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7AD6B4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4EAA33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24645F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548B368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E312C56">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A9B574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1796AD5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00343CB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4160D9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5A7854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F4136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3B8994DF">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33FB04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3EDD99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C71CB1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198.62</w:t>
            </w:r>
          </w:p>
        </w:tc>
        <w:tc>
          <w:tcPr>
            <w:tcW w:w="948" w:type="pct"/>
            <w:tcBorders>
              <w:top w:val="single" w:color="auto" w:sz="4" w:space="0"/>
              <w:left w:val="single" w:color="auto" w:sz="4" w:space="0"/>
              <w:bottom w:val="single" w:color="auto" w:sz="4" w:space="0"/>
              <w:right w:val="single" w:color="auto" w:sz="4" w:space="0"/>
            </w:tcBorders>
            <w:noWrap/>
            <w:vAlign w:val="center"/>
          </w:tcPr>
          <w:p w14:paraId="331CF95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0EBA1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198.62</w:t>
            </w:r>
          </w:p>
        </w:tc>
        <w:tc>
          <w:tcPr>
            <w:tcW w:w="612" w:type="pct"/>
            <w:tcBorders>
              <w:top w:val="single" w:color="auto" w:sz="4" w:space="0"/>
              <w:left w:val="single" w:color="auto" w:sz="4" w:space="0"/>
              <w:bottom w:val="single" w:color="auto" w:sz="4" w:space="0"/>
              <w:right w:val="single" w:color="auto" w:sz="4" w:space="0"/>
            </w:tcBorders>
            <w:noWrap/>
            <w:vAlign w:val="center"/>
          </w:tcPr>
          <w:p w14:paraId="565896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198.62</w:t>
            </w:r>
          </w:p>
        </w:tc>
        <w:tc>
          <w:tcPr>
            <w:tcW w:w="602" w:type="pct"/>
            <w:tcBorders>
              <w:top w:val="single" w:color="auto" w:sz="4" w:space="0"/>
              <w:left w:val="single" w:color="auto" w:sz="4" w:space="0"/>
              <w:bottom w:val="single" w:color="auto" w:sz="4" w:space="0"/>
              <w:right w:val="single" w:color="auto" w:sz="4" w:space="0"/>
            </w:tcBorders>
            <w:noWrap/>
            <w:vAlign w:val="center"/>
          </w:tcPr>
          <w:p w14:paraId="05D32E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BCBF8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2F573AA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1A77B44E">
        <w:tblPrEx>
          <w:tblCellMar>
            <w:top w:w="0" w:type="dxa"/>
            <w:left w:w="108" w:type="dxa"/>
            <w:bottom w:w="0" w:type="dxa"/>
            <w:right w:w="108" w:type="dxa"/>
          </w:tblCellMar>
        </w:tblPrEx>
        <w:trPr>
          <w:trHeight w:val="585" w:hRule="atLeast"/>
          <w:tblHeader/>
        </w:trPr>
        <w:tc>
          <w:tcPr>
            <w:tcW w:w="5000" w:type="pct"/>
            <w:gridSpan w:val="5"/>
            <w:noWrap/>
            <w:vAlign w:val="center"/>
          </w:tcPr>
          <w:p w14:paraId="7928BB5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4723F541">
        <w:tblPrEx>
          <w:tblCellMar>
            <w:top w:w="0" w:type="dxa"/>
            <w:left w:w="108" w:type="dxa"/>
            <w:bottom w:w="0" w:type="dxa"/>
            <w:right w:w="108" w:type="dxa"/>
          </w:tblCellMar>
        </w:tblPrEx>
        <w:trPr>
          <w:trHeight w:val="420" w:hRule="atLeast"/>
          <w:tblHeader/>
        </w:trPr>
        <w:tc>
          <w:tcPr>
            <w:tcW w:w="2433" w:type="pct"/>
            <w:gridSpan w:val="2"/>
            <w:noWrap/>
            <w:vAlign w:val="center"/>
          </w:tcPr>
          <w:p w14:paraId="77B8B1F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201091兴国县埠头乡中心幼儿园</w:t>
            </w:r>
          </w:p>
        </w:tc>
        <w:tc>
          <w:tcPr>
            <w:tcW w:w="1056" w:type="pct"/>
            <w:noWrap/>
            <w:vAlign w:val="bottom"/>
          </w:tcPr>
          <w:p w14:paraId="61A7264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333C1780">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728E2D8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6A9B0FD">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43247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27014D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B0F3FBA">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2C0E7B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972B5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52B5BF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A1697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216C6E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7B247A5">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3B9136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57A350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89B77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4CACE6C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24D94AA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0999817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7BFAC7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12998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7066B1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198.54</w:t>
            </w:r>
          </w:p>
        </w:tc>
        <w:tc>
          <w:tcPr>
            <w:tcW w:w="684" w:type="pct"/>
            <w:tcBorders>
              <w:top w:val="single" w:color="000000" w:sz="4" w:space="0"/>
              <w:left w:val="nil"/>
              <w:bottom w:val="single" w:color="000000" w:sz="4" w:space="0"/>
              <w:right w:val="single" w:color="000000" w:sz="4" w:space="0"/>
            </w:tcBorders>
            <w:noWrap/>
            <w:vAlign w:val="center"/>
          </w:tcPr>
          <w:p w14:paraId="013D65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190.80</w:t>
            </w:r>
          </w:p>
        </w:tc>
        <w:tc>
          <w:tcPr>
            <w:tcW w:w="825" w:type="pct"/>
            <w:tcBorders>
              <w:top w:val="single" w:color="000000" w:sz="4" w:space="0"/>
              <w:left w:val="nil"/>
              <w:bottom w:val="single" w:color="000000" w:sz="4" w:space="0"/>
              <w:right w:val="single" w:color="000000" w:sz="4" w:space="0"/>
            </w:tcBorders>
            <w:noWrap/>
            <w:vAlign w:val="center"/>
          </w:tcPr>
          <w:p w14:paraId="20D6A7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7.74</w:t>
            </w:r>
          </w:p>
        </w:tc>
      </w:tr>
      <w:tr w14:paraId="2336C2B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EE647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000DD5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311D8A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178.78</w:t>
            </w:r>
          </w:p>
        </w:tc>
        <w:tc>
          <w:tcPr>
            <w:tcW w:w="684" w:type="pct"/>
            <w:tcBorders>
              <w:top w:val="single" w:color="000000" w:sz="4" w:space="0"/>
              <w:left w:val="nil"/>
              <w:bottom w:val="single" w:color="000000" w:sz="4" w:space="0"/>
              <w:right w:val="single" w:color="000000" w:sz="4" w:space="0"/>
            </w:tcBorders>
            <w:noWrap/>
            <w:vAlign w:val="center"/>
          </w:tcPr>
          <w:p w14:paraId="124561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171.04</w:t>
            </w:r>
          </w:p>
        </w:tc>
        <w:tc>
          <w:tcPr>
            <w:tcW w:w="825" w:type="pct"/>
            <w:tcBorders>
              <w:top w:val="single" w:color="000000" w:sz="4" w:space="0"/>
              <w:left w:val="nil"/>
              <w:bottom w:val="single" w:color="000000" w:sz="4" w:space="0"/>
              <w:right w:val="single" w:color="000000" w:sz="4" w:space="0"/>
            </w:tcBorders>
            <w:noWrap/>
            <w:vAlign w:val="center"/>
          </w:tcPr>
          <w:p w14:paraId="33CD6E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7.74</w:t>
            </w:r>
          </w:p>
        </w:tc>
      </w:tr>
      <w:tr w14:paraId="2B05BE9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B0CC9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319BAB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2D3DBE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178.78</w:t>
            </w:r>
          </w:p>
        </w:tc>
        <w:tc>
          <w:tcPr>
            <w:tcW w:w="684" w:type="pct"/>
            <w:tcBorders>
              <w:top w:val="single" w:color="000000" w:sz="4" w:space="0"/>
              <w:left w:val="nil"/>
              <w:bottom w:val="single" w:color="000000" w:sz="4" w:space="0"/>
              <w:right w:val="single" w:color="000000" w:sz="4" w:space="0"/>
            </w:tcBorders>
            <w:noWrap/>
            <w:vAlign w:val="center"/>
          </w:tcPr>
          <w:p w14:paraId="52F39A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171.04</w:t>
            </w:r>
          </w:p>
        </w:tc>
        <w:tc>
          <w:tcPr>
            <w:tcW w:w="825" w:type="pct"/>
            <w:tcBorders>
              <w:top w:val="single" w:color="000000" w:sz="4" w:space="0"/>
              <w:left w:val="nil"/>
              <w:bottom w:val="single" w:color="000000" w:sz="4" w:space="0"/>
              <w:right w:val="single" w:color="000000" w:sz="4" w:space="0"/>
            </w:tcBorders>
            <w:noWrap/>
            <w:vAlign w:val="center"/>
          </w:tcPr>
          <w:p w14:paraId="2A9293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7.74</w:t>
            </w:r>
          </w:p>
        </w:tc>
      </w:tr>
      <w:tr w14:paraId="470FDA6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9F04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579" w:type="pct"/>
            <w:tcBorders>
              <w:top w:val="single" w:color="000000" w:sz="4" w:space="0"/>
              <w:left w:val="nil"/>
              <w:bottom w:val="single" w:color="000000" w:sz="4" w:space="0"/>
              <w:right w:val="single" w:color="000000" w:sz="4" w:space="0"/>
            </w:tcBorders>
            <w:noWrap/>
            <w:vAlign w:val="center"/>
          </w:tcPr>
          <w:p w14:paraId="6E99AE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1056" w:type="pct"/>
            <w:tcBorders>
              <w:top w:val="single" w:color="000000" w:sz="4" w:space="0"/>
              <w:left w:val="nil"/>
              <w:bottom w:val="single" w:color="000000" w:sz="4" w:space="0"/>
              <w:right w:val="single" w:color="000000" w:sz="4" w:space="0"/>
            </w:tcBorders>
            <w:noWrap/>
            <w:vAlign w:val="center"/>
          </w:tcPr>
          <w:p w14:paraId="79491B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178.78</w:t>
            </w:r>
          </w:p>
        </w:tc>
        <w:tc>
          <w:tcPr>
            <w:tcW w:w="684" w:type="pct"/>
            <w:tcBorders>
              <w:top w:val="single" w:color="000000" w:sz="4" w:space="0"/>
              <w:left w:val="nil"/>
              <w:bottom w:val="single" w:color="000000" w:sz="4" w:space="0"/>
              <w:right w:val="single" w:color="000000" w:sz="4" w:space="0"/>
            </w:tcBorders>
            <w:noWrap/>
            <w:vAlign w:val="center"/>
          </w:tcPr>
          <w:p w14:paraId="565B97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171.04</w:t>
            </w:r>
          </w:p>
        </w:tc>
        <w:tc>
          <w:tcPr>
            <w:tcW w:w="825" w:type="pct"/>
            <w:tcBorders>
              <w:top w:val="single" w:color="000000" w:sz="4" w:space="0"/>
              <w:left w:val="nil"/>
              <w:bottom w:val="single" w:color="000000" w:sz="4" w:space="0"/>
              <w:right w:val="single" w:color="000000" w:sz="4" w:space="0"/>
            </w:tcBorders>
            <w:noWrap/>
            <w:vAlign w:val="center"/>
          </w:tcPr>
          <w:p w14:paraId="19FF9A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7.74</w:t>
            </w:r>
          </w:p>
        </w:tc>
      </w:tr>
      <w:tr w14:paraId="130DAA7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E0B20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241CCC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7E567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12.04</w:t>
            </w:r>
          </w:p>
        </w:tc>
        <w:tc>
          <w:tcPr>
            <w:tcW w:w="684" w:type="pct"/>
            <w:tcBorders>
              <w:top w:val="single" w:color="000000" w:sz="4" w:space="0"/>
              <w:left w:val="nil"/>
              <w:bottom w:val="single" w:color="000000" w:sz="4" w:space="0"/>
              <w:right w:val="single" w:color="000000" w:sz="4" w:space="0"/>
            </w:tcBorders>
            <w:noWrap/>
            <w:vAlign w:val="center"/>
          </w:tcPr>
          <w:p w14:paraId="67352A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12.04</w:t>
            </w:r>
          </w:p>
        </w:tc>
        <w:tc>
          <w:tcPr>
            <w:tcW w:w="825" w:type="pct"/>
            <w:tcBorders>
              <w:top w:val="single" w:color="000000" w:sz="4" w:space="0"/>
              <w:left w:val="nil"/>
              <w:bottom w:val="single" w:color="000000" w:sz="4" w:space="0"/>
              <w:right w:val="single" w:color="000000" w:sz="4" w:space="0"/>
            </w:tcBorders>
            <w:noWrap/>
            <w:vAlign w:val="center"/>
          </w:tcPr>
          <w:p w14:paraId="3F1FCA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2E6AC1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AF8AD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2351E5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A3978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11.43</w:t>
            </w:r>
          </w:p>
        </w:tc>
        <w:tc>
          <w:tcPr>
            <w:tcW w:w="684" w:type="pct"/>
            <w:tcBorders>
              <w:top w:val="single" w:color="000000" w:sz="4" w:space="0"/>
              <w:left w:val="nil"/>
              <w:bottom w:val="single" w:color="000000" w:sz="4" w:space="0"/>
              <w:right w:val="single" w:color="000000" w:sz="4" w:space="0"/>
            </w:tcBorders>
            <w:noWrap/>
            <w:vAlign w:val="center"/>
          </w:tcPr>
          <w:p w14:paraId="4EA5BF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11.43</w:t>
            </w:r>
          </w:p>
        </w:tc>
        <w:tc>
          <w:tcPr>
            <w:tcW w:w="825" w:type="pct"/>
            <w:tcBorders>
              <w:top w:val="single" w:color="000000" w:sz="4" w:space="0"/>
              <w:left w:val="nil"/>
              <w:bottom w:val="single" w:color="000000" w:sz="4" w:space="0"/>
              <w:right w:val="single" w:color="000000" w:sz="4" w:space="0"/>
            </w:tcBorders>
            <w:noWrap/>
            <w:vAlign w:val="center"/>
          </w:tcPr>
          <w:p w14:paraId="275C54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3386D0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56DD5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88813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615B7F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11.43</w:t>
            </w:r>
          </w:p>
        </w:tc>
        <w:tc>
          <w:tcPr>
            <w:tcW w:w="684" w:type="pct"/>
            <w:tcBorders>
              <w:top w:val="single" w:color="000000" w:sz="4" w:space="0"/>
              <w:left w:val="nil"/>
              <w:bottom w:val="single" w:color="000000" w:sz="4" w:space="0"/>
              <w:right w:val="single" w:color="000000" w:sz="4" w:space="0"/>
            </w:tcBorders>
            <w:noWrap/>
            <w:vAlign w:val="center"/>
          </w:tcPr>
          <w:p w14:paraId="768ED3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11.43</w:t>
            </w:r>
          </w:p>
        </w:tc>
        <w:tc>
          <w:tcPr>
            <w:tcW w:w="825" w:type="pct"/>
            <w:tcBorders>
              <w:top w:val="single" w:color="000000" w:sz="4" w:space="0"/>
              <w:left w:val="nil"/>
              <w:bottom w:val="single" w:color="000000" w:sz="4" w:space="0"/>
              <w:right w:val="single" w:color="000000" w:sz="4" w:space="0"/>
            </w:tcBorders>
            <w:noWrap/>
            <w:vAlign w:val="center"/>
          </w:tcPr>
          <w:p w14:paraId="1E2787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4FEE0F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8CEEB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1F438D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87499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0.61</w:t>
            </w:r>
          </w:p>
        </w:tc>
        <w:tc>
          <w:tcPr>
            <w:tcW w:w="684" w:type="pct"/>
            <w:tcBorders>
              <w:top w:val="single" w:color="000000" w:sz="4" w:space="0"/>
              <w:left w:val="nil"/>
              <w:bottom w:val="single" w:color="000000" w:sz="4" w:space="0"/>
              <w:right w:val="single" w:color="000000" w:sz="4" w:space="0"/>
            </w:tcBorders>
            <w:noWrap/>
            <w:vAlign w:val="center"/>
          </w:tcPr>
          <w:p w14:paraId="7BEED1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0.61</w:t>
            </w:r>
          </w:p>
        </w:tc>
        <w:tc>
          <w:tcPr>
            <w:tcW w:w="825" w:type="pct"/>
            <w:tcBorders>
              <w:top w:val="single" w:color="000000" w:sz="4" w:space="0"/>
              <w:left w:val="nil"/>
              <w:bottom w:val="single" w:color="000000" w:sz="4" w:space="0"/>
              <w:right w:val="single" w:color="000000" w:sz="4" w:space="0"/>
            </w:tcBorders>
            <w:noWrap/>
            <w:vAlign w:val="center"/>
          </w:tcPr>
          <w:p w14:paraId="7DC57F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17F29A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1471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66BAB1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E24CC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c>
          <w:tcPr>
            <w:tcW w:w="684" w:type="pct"/>
            <w:tcBorders>
              <w:top w:val="single" w:color="000000" w:sz="4" w:space="0"/>
              <w:left w:val="nil"/>
              <w:bottom w:val="single" w:color="000000" w:sz="4" w:space="0"/>
              <w:right w:val="single" w:color="000000" w:sz="4" w:space="0"/>
            </w:tcBorders>
            <w:noWrap/>
            <w:vAlign w:val="center"/>
          </w:tcPr>
          <w:p w14:paraId="63A628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0.61</w:t>
            </w:r>
          </w:p>
        </w:tc>
        <w:tc>
          <w:tcPr>
            <w:tcW w:w="825" w:type="pct"/>
            <w:tcBorders>
              <w:top w:val="single" w:color="000000" w:sz="4" w:space="0"/>
              <w:left w:val="nil"/>
              <w:bottom w:val="single" w:color="000000" w:sz="4" w:space="0"/>
              <w:right w:val="single" w:color="000000" w:sz="4" w:space="0"/>
            </w:tcBorders>
            <w:noWrap/>
            <w:vAlign w:val="center"/>
          </w:tcPr>
          <w:p w14:paraId="15AD8C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892405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5124F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8167D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0A73D2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7.72</w:t>
            </w:r>
          </w:p>
        </w:tc>
        <w:tc>
          <w:tcPr>
            <w:tcW w:w="684" w:type="pct"/>
            <w:tcBorders>
              <w:top w:val="single" w:color="000000" w:sz="4" w:space="0"/>
              <w:left w:val="nil"/>
              <w:bottom w:val="single" w:color="000000" w:sz="4" w:space="0"/>
              <w:right w:val="single" w:color="000000" w:sz="4" w:space="0"/>
            </w:tcBorders>
            <w:noWrap/>
            <w:vAlign w:val="center"/>
          </w:tcPr>
          <w:p w14:paraId="061888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7.72</w:t>
            </w:r>
          </w:p>
        </w:tc>
        <w:tc>
          <w:tcPr>
            <w:tcW w:w="825" w:type="pct"/>
            <w:tcBorders>
              <w:top w:val="single" w:color="000000" w:sz="4" w:space="0"/>
              <w:left w:val="nil"/>
              <w:bottom w:val="single" w:color="000000" w:sz="4" w:space="0"/>
              <w:right w:val="single" w:color="000000" w:sz="4" w:space="0"/>
            </w:tcBorders>
            <w:noWrap/>
            <w:vAlign w:val="center"/>
          </w:tcPr>
          <w:p w14:paraId="499472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388C82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46999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55CEDB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08B3DB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7.72</w:t>
            </w:r>
          </w:p>
        </w:tc>
        <w:tc>
          <w:tcPr>
            <w:tcW w:w="684" w:type="pct"/>
            <w:tcBorders>
              <w:top w:val="single" w:color="000000" w:sz="4" w:space="0"/>
              <w:left w:val="nil"/>
              <w:bottom w:val="single" w:color="000000" w:sz="4" w:space="0"/>
              <w:right w:val="single" w:color="000000" w:sz="4" w:space="0"/>
            </w:tcBorders>
            <w:noWrap/>
            <w:vAlign w:val="center"/>
          </w:tcPr>
          <w:p w14:paraId="47C21A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7.72</w:t>
            </w:r>
          </w:p>
        </w:tc>
        <w:tc>
          <w:tcPr>
            <w:tcW w:w="825" w:type="pct"/>
            <w:tcBorders>
              <w:top w:val="single" w:color="000000" w:sz="4" w:space="0"/>
              <w:left w:val="nil"/>
              <w:bottom w:val="single" w:color="000000" w:sz="4" w:space="0"/>
              <w:right w:val="single" w:color="000000" w:sz="4" w:space="0"/>
            </w:tcBorders>
            <w:noWrap/>
            <w:vAlign w:val="center"/>
          </w:tcPr>
          <w:p w14:paraId="73B232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7752BB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9B44D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249C2A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1C417E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4.86</w:t>
            </w:r>
          </w:p>
        </w:tc>
        <w:tc>
          <w:tcPr>
            <w:tcW w:w="684" w:type="pct"/>
            <w:tcBorders>
              <w:top w:val="single" w:color="000000" w:sz="4" w:space="0"/>
              <w:left w:val="nil"/>
              <w:bottom w:val="single" w:color="000000" w:sz="4" w:space="0"/>
              <w:right w:val="single" w:color="000000" w:sz="4" w:space="0"/>
            </w:tcBorders>
            <w:noWrap/>
            <w:vAlign w:val="center"/>
          </w:tcPr>
          <w:p w14:paraId="07D9C0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4.86</w:t>
            </w:r>
          </w:p>
        </w:tc>
        <w:tc>
          <w:tcPr>
            <w:tcW w:w="825" w:type="pct"/>
            <w:tcBorders>
              <w:top w:val="single" w:color="000000" w:sz="4" w:space="0"/>
              <w:left w:val="nil"/>
              <w:bottom w:val="single" w:color="000000" w:sz="4" w:space="0"/>
              <w:right w:val="single" w:color="000000" w:sz="4" w:space="0"/>
            </w:tcBorders>
            <w:noWrap/>
            <w:vAlign w:val="center"/>
          </w:tcPr>
          <w:p w14:paraId="367780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369EED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0D042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0B9FD0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76A0A2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2.86</w:t>
            </w:r>
          </w:p>
        </w:tc>
        <w:tc>
          <w:tcPr>
            <w:tcW w:w="684" w:type="pct"/>
            <w:tcBorders>
              <w:top w:val="single" w:color="000000" w:sz="4" w:space="0"/>
              <w:left w:val="nil"/>
              <w:bottom w:val="single" w:color="000000" w:sz="4" w:space="0"/>
              <w:right w:val="single" w:color="000000" w:sz="4" w:space="0"/>
            </w:tcBorders>
            <w:noWrap/>
            <w:vAlign w:val="center"/>
          </w:tcPr>
          <w:p w14:paraId="12AD18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2.86</w:t>
            </w:r>
          </w:p>
        </w:tc>
        <w:tc>
          <w:tcPr>
            <w:tcW w:w="825" w:type="pct"/>
            <w:tcBorders>
              <w:top w:val="single" w:color="000000" w:sz="4" w:space="0"/>
              <w:left w:val="nil"/>
              <w:bottom w:val="single" w:color="000000" w:sz="4" w:space="0"/>
              <w:right w:val="single" w:color="000000" w:sz="4" w:space="0"/>
            </w:tcBorders>
            <w:noWrap/>
            <w:vAlign w:val="center"/>
          </w:tcPr>
          <w:p w14:paraId="12901A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7AECBB9A">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1C757786">
        <w:tblPrEx>
          <w:tblCellMar>
            <w:top w:w="0" w:type="dxa"/>
            <w:left w:w="108" w:type="dxa"/>
            <w:bottom w:w="0" w:type="dxa"/>
            <w:right w:w="108" w:type="dxa"/>
          </w:tblCellMar>
        </w:tblPrEx>
        <w:trPr>
          <w:trHeight w:val="585" w:hRule="atLeast"/>
        </w:trPr>
        <w:tc>
          <w:tcPr>
            <w:tcW w:w="5000" w:type="pct"/>
            <w:gridSpan w:val="5"/>
            <w:noWrap/>
            <w:vAlign w:val="center"/>
          </w:tcPr>
          <w:p w14:paraId="36A11AB1">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6E4CFAED">
        <w:tblPrEx>
          <w:tblCellMar>
            <w:top w:w="0" w:type="dxa"/>
            <w:left w:w="108" w:type="dxa"/>
            <w:bottom w:w="0" w:type="dxa"/>
            <w:right w:w="108" w:type="dxa"/>
          </w:tblCellMar>
        </w:tblPrEx>
        <w:trPr>
          <w:trHeight w:val="420" w:hRule="atLeast"/>
        </w:trPr>
        <w:tc>
          <w:tcPr>
            <w:tcW w:w="2398" w:type="pct"/>
            <w:gridSpan w:val="2"/>
            <w:noWrap/>
            <w:vAlign w:val="center"/>
          </w:tcPr>
          <w:p w14:paraId="0E6BEA88">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201091兴国县埠头乡中心幼儿园</w:t>
            </w:r>
          </w:p>
        </w:tc>
        <w:tc>
          <w:tcPr>
            <w:tcW w:w="891" w:type="pct"/>
            <w:noWrap/>
            <w:vAlign w:val="bottom"/>
          </w:tcPr>
          <w:p w14:paraId="4F29732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DBBED1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1BC621E2">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514BEC3">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5DEE9D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155EC3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2F79F6F7">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7FC894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74BDC0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7A35A2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7B9B6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7077DF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37B9BAD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05F76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40F6B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CB697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EDA1B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23084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4B6EA5F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3924A3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F9FB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D61B3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190.80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6CBF97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190.80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690CE0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2F1115B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52BDA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C5CD7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2CE2F4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190.13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5140E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190.13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302D8A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1A67AD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22ACC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9DBF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767E18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35.39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EF9A0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35.39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1565D2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420762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C3A8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24DE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D50A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21.65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C2B45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21.65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BA745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2A8474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9F62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B679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442ABB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FEA43B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F28D83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0695B8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1F72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B9F61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481F9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B77BD1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248A5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A64103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67232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3AEF3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E9E4D2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11.43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8E45F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11.43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85AC07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DC890C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644C8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D144C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A2419B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AD470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0E9111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07DE04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78E81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24730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E6DD70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9BCA0A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3C4D1F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1A8805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911F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6248A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D91D70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1BAA7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6FA8B7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5C5FFA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6A9A7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0EF9B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525B7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9.25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C6BB2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9.25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963FB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58DD8C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DACCB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DEE4D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19E698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86.81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C0980B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86.81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CD291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1C3F38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42D3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66895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B7F2C2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0.67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F4434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0.67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B1DE7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1EC963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A846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9CDF1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AA807A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5B6A00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5F40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0B51593F">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E7CA7C7">
        <w:tblPrEx>
          <w:tblCellMar>
            <w:top w:w="0" w:type="dxa"/>
            <w:left w:w="108" w:type="dxa"/>
            <w:bottom w:w="0" w:type="dxa"/>
            <w:right w:w="108" w:type="dxa"/>
          </w:tblCellMar>
        </w:tblPrEx>
        <w:trPr>
          <w:trHeight w:val="450" w:hRule="atLeast"/>
          <w:tblHeader/>
        </w:trPr>
        <w:tc>
          <w:tcPr>
            <w:tcW w:w="636" w:type="pct"/>
            <w:noWrap/>
            <w:vAlign w:val="bottom"/>
          </w:tcPr>
          <w:p w14:paraId="4B064B8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732CFBD">
            <w:pPr>
              <w:widowControl/>
              <w:jc w:val="left"/>
              <w:rPr>
                <w:rFonts w:ascii="Times New Roman" w:hAnsi="Times New Roman" w:eastAsia="宋体"/>
                <w:kern w:val="0"/>
                <w:sz w:val="20"/>
                <w:szCs w:val="20"/>
              </w:rPr>
            </w:pPr>
          </w:p>
        </w:tc>
        <w:tc>
          <w:tcPr>
            <w:tcW w:w="684" w:type="pct"/>
            <w:noWrap/>
            <w:vAlign w:val="bottom"/>
          </w:tcPr>
          <w:p w14:paraId="222B9B20">
            <w:pPr>
              <w:widowControl/>
              <w:jc w:val="left"/>
              <w:rPr>
                <w:rFonts w:ascii="Times New Roman" w:hAnsi="Times New Roman" w:eastAsia="宋体"/>
                <w:kern w:val="0"/>
                <w:sz w:val="20"/>
                <w:szCs w:val="20"/>
              </w:rPr>
            </w:pPr>
          </w:p>
        </w:tc>
        <w:tc>
          <w:tcPr>
            <w:tcW w:w="538" w:type="pct"/>
            <w:noWrap/>
            <w:vAlign w:val="bottom"/>
          </w:tcPr>
          <w:p w14:paraId="7DD75571">
            <w:pPr>
              <w:widowControl/>
              <w:jc w:val="left"/>
              <w:rPr>
                <w:rFonts w:ascii="Times New Roman" w:hAnsi="Times New Roman" w:eastAsia="宋体"/>
                <w:kern w:val="0"/>
                <w:sz w:val="20"/>
                <w:szCs w:val="20"/>
              </w:rPr>
            </w:pPr>
          </w:p>
        </w:tc>
        <w:tc>
          <w:tcPr>
            <w:tcW w:w="2836" w:type="pct"/>
            <w:gridSpan w:val="5"/>
            <w:noWrap/>
            <w:vAlign w:val="center"/>
          </w:tcPr>
          <w:p w14:paraId="49A52917">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0E8FDC3C">
        <w:tblPrEx>
          <w:tblCellMar>
            <w:top w:w="0" w:type="dxa"/>
            <w:left w:w="108" w:type="dxa"/>
            <w:bottom w:w="0" w:type="dxa"/>
            <w:right w:w="108" w:type="dxa"/>
          </w:tblCellMar>
        </w:tblPrEx>
        <w:trPr>
          <w:trHeight w:val="485" w:hRule="atLeast"/>
          <w:tblHeader/>
        </w:trPr>
        <w:tc>
          <w:tcPr>
            <w:tcW w:w="5000" w:type="pct"/>
            <w:gridSpan w:val="9"/>
            <w:noWrap/>
            <w:vAlign w:val="center"/>
          </w:tcPr>
          <w:p w14:paraId="3D9BFD45">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3EC60858">
        <w:tblPrEx>
          <w:tblCellMar>
            <w:top w:w="0" w:type="dxa"/>
            <w:left w:w="108" w:type="dxa"/>
            <w:bottom w:w="0" w:type="dxa"/>
            <w:right w:w="108" w:type="dxa"/>
          </w:tblCellMar>
        </w:tblPrEx>
        <w:trPr>
          <w:trHeight w:val="340" w:hRule="atLeast"/>
          <w:tblHeader/>
        </w:trPr>
        <w:tc>
          <w:tcPr>
            <w:tcW w:w="2163" w:type="pct"/>
            <w:gridSpan w:val="4"/>
            <w:noWrap/>
            <w:vAlign w:val="center"/>
          </w:tcPr>
          <w:p w14:paraId="459213F9">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201091兴国县埠头乡中心幼儿园</w:t>
            </w:r>
          </w:p>
        </w:tc>
        <w:tc>
          <w:tcPr>
            <w:tcW w:w="742" w:type="pct"/>
            <w:noWrap/>
            <w:vAlign w:val="bottom"/>
          </w:tcPr>
          <w:p w14:paraId="1B4053C9">
            <w:pPr>
              <w:widowControl/>
              <w:jc w:val="left"/>
              <w:rPr>
                <w:rFonts w:ascii="Times New Roman" w:hAnsi="Times New Roman" w:eastAsia="宋体"/>
                <w:kern w:val="0"/>
                <w:sz w:val="20"/>
                <w:szCs w:val="20"/>
              </w:rPr>
            </w:pPr>
          </w:p>
        </w:tc>
        <w:tc>
          <w:tcPr>
            <w:tcW w:w="474" w:type="pct"/>
            <w:noWrap/>
            <w:vAlign w:val="bottom"/>
          </w:tcPr>
          <w:p w14:paraId="7A9892DB">
            <w:pPr>
              <w:widowControl/>
              <w:jc w:val="left"/>
              <w:rPr>
                <w:rFonts w:ascii="Times New Roman" w:hAnsi="Times New Roman" w:eastAsia="宋体"/>
                <w:kern w:val="0"/>
                <w:sz w:val="20"/>
                <w:szCs w:val="20"/>
              </w:rPr>
            </w:pPr>
          </w:p>
        </w:tc>
        <w:tc>
          <w:tcPr>
            <w:tcW w:w="596" w:type="pct"/>
            <w:noWrap/>
            <w:vAlign w:val="bottom"/>
          </w:tcPr>
          <w:p w14:paraId="5869C9C4">
            <w:pPr>
              <w:widowControl/>
              <w:jc w:val="left"/>
              <w:rPr>
                <w:rFonts w:ascii="Times New Roman" w:hAnsi="Times New Roman" w:eastAsia="宋体"/>
                <w:kern w:val="0"/>
                <w:sz w:val="20"/>
                <w:szCs w:val="20"/>
              </w:rPr>
            </w:pPr>
          </w:p>
        </w:tc>
        <w:tc>
          <w:tcPr>
            <w:tcW w:w="1023" w:type="pct"/>
            <w:gridSpan w:val="2"/>
            <w:noWrap/>
            <w:vAlign w:val="bottom"/>
          </w:tcPr>
          <w:p w14:paraId="16AE315F">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4BCB3CF0">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19F904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66BF75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77907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A70F3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3F251122">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263F3BA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0F81D3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2A375C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2A2EB8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102F535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4C7790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497EE2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E1E8C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09FC0935">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E15D036">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6F4DA1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4439E4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5C34F6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34568D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71A5E7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DACE0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615A4E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0F653DB5">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172D45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0.58</w:t>
            </w:r>
          </w:p>
        </w:tc>
        <w:tc>
          <w:tcPr>
            <w:tcW w:w="684" w:type="pct"/>
            <w:tcBorders>
              <w:top w:val="single" w:color="000000" w:sz="4" w:space="0"/>
              <w:left w:val="nil"/>
              <w:bottom w:val="single" w:color="000000" w:sz="4" w:space="0"/>
              <w:right w:val="single" w:color="000000" w:sz="4" w:space="0"/>
            </w:tcBorders>
            <w:vAlign w:val="center"/>
          </w:tcPr>
          <w:p w14:paraId="1187DA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26D836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4CE358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41FDC8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0.58</w:t>
            </w:r>
          </w:p>
        </w:tc>
        <w:tc>
          <w:tcPr>
            <w:tcW w:w="596" w:type="pct"/>
            <w:tcBorders>
              <w:top w:val="single" w:color="000000" w:sz="4" w:space="0"/>
              <w:left w:val="single" w:color="000000" w:sz="4" w:space="0"/>
              <w:bottom w:val="single" w:color="000000" w:sz="4" w:space="0"/>
              <w:right w:val="nil"/>
            </w:tcBorders>
            <w:vAlign w:val="center"/>
          </w:tcPr>
          <w:p w14:paraId="2F5E94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5BE631F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454753F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629FEB69">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1748"/>
        <w:gridCol w:w="2188"/>
        <w:gridCol w:w="1967"/>
        <w:gridCol w:w="1371"/>
        <w:gridCol w:w="1677"/>
      </w:tblGrid>
      <w:tr w14:paraId="49242375">
        <w:tblPrEx>
          <w:tblCellMar>
            <w:top w:w="0" w:type="dxa"/>
            <w:left w:w="108" w:type="dxa"/>
            <w:bottom w:w="0" w:type="dxa"/>
            <w:right w:w="108" w:type="dxa"/>
          </w:tblCellMar>
        </w:tblPrEx>
        <w:trPr>
          <w:trHeight w:val="507" w:hRule="atLeast"/>
          <w:tblHeader/>
        </w:trPr>
        <w:tc>
          <w:tcPr>
            <w:tcW w:w="976" w:type="pct"/>
            <w:noWrap/>
            <w:vAlign w:val="bottom"/>
          </w:tcPr>
          <w:p w14:paraId="23EC3193">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3DA59574">
            <w:pPr>
              <w:widowControl/>
              <w:jc w:val="left"/>
              <w:rPr>
                <w:rFonts w:ascii="Times New Roman" w:hAnsi="Times New Roman" w:eastAsia="宋体"/>
                <w:kern w:val="0"/>
                <w:sz w:val="20"/>
                <w:szCs w:val="20"/>
              </w:rPr>
            </w:pPr>
          </w:p>
        </w:tc>
        <w:tc>
          <w:tcPr>
            <w:tcW w:w="2801" w:type="pct"/>
            <w:gridSpan w:val="3"/>
            <w:noWrap/>
            <w:vAlign w:val="center"/>
          </w:tcPr>
          <w:p w14:paraId="5A19F1F5">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6A475DFD">
        <w:tblPrEx>
          <w:tblCellMar>
            <w:top w:w="0" w:type="dxa"/>
            <w:left w:w="108" w:type="dxa"/>
            <w:bottom w:w="0" w:type="dxa"/>
            <w:right w:w="108" w:type="dxa"/>
          </w:tblCellMar>
        </w:tblPrEx>
        <w:trPr>
          <w:trHeight w:val="564" w:hRule="atLeast"/>
          <w:tblHeader/>
        </w:trPr>
        <w:tc>
          <w:tcPr>
            <w:tcW w:w="5000" w:type="pct"/>
            <w:gridSpan w:val="5"/>
            <w:noWrap/>
            <w:vAlign w:val="center"/>
          </w:tcPr>
          <w:p w14:paraId="58FAE6B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3AF0CCBD">
        <w:tblPrEx>
          <w:tblCellMar>
            <w:top w:w="0" w:type="dxa"/>
            <w:left w:w="108" w:type="dxa"/>
            <w:bottom w:w="0" w:type="dxa"/>
            <w:right w:w="108" w:type="dxa"/>
          </w:tblCellMar>
        </w:tblPrEx>
        <w:trPr>
          <w:trHeight w:val="405" w:hRule="atLeast"/>
          <w:tblHeader/>
        </w:trPr>
        <w:tc>
          <w:tcPr>
            <w:tcW w:w="2198" w:type="pct"/>
            <w:gridSpan w:val="2"/>
            <w:noWrap/>
            <w:vAlign w:val="center"/>
          </w:tcPr>
          <w:p w14:paraId="7E6FDECC">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201091兴国县埠头乡中心幼儿园</w:t>
            </w:r>
          </w:p>
        </w:tc>
        <w:tc>
          <w:tcPr>
            <w:tcW w:w="1099" w:type="pct"/>
            <w:noWrap/>
            <w:vAlign w:val="bottom"/>
          </w:tcPr>
          <w:p w14:paraId="1BE50516">
            <w:pPr>
              <w:rPr>
                <w:rFonts w:hint="eastAsia" w:ascii="宋体" w:hAnsi="宋体" w:eastAsia="宋体" w:cs="Arial"/>
                <w:color w:val="000000"/>
                <w:kern w:val="0"/>
                <w:sz w:val="24"/>
                <w:szCs w:val="24"/>
              </w:rPr>
            </w:pPr>
          </w:p>
        </w:tc>
        <w:tc>
          <w:tcPr>
            <w:tcW w:w="766" w:type="pct"/>
            <w:noWrap/>
            <w:vAlign w:val="bottom"/>
          </w:tcPr>
          <w:p w14:paraId="7BBD183C">
            <w:pPr>
              <w:widowControl/>
              <w:jc w:val="left"/>
              <w:rPr>
                <w:rFonts w:ascii="Times New Roman" w:hAnsi="Times New Roman" w:eastAsia="宋体"/>
                <w:kern w:val="0"/>
                <w:sz w:val="20"/>
                <w:szCs w:val="20"/>
              </w:rPr>
            </w:pPr>
          </w:p>
        </w:tc>
        <w:tc>
          <w:tcPr>
            <w:tcW w:w="935" w:type="pct"/>
            <w:noWrap/>
            <w:vAlign w:val="center"/>
          </w:tcPr>
          <w:p w14:paraId="6BB87487">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20B1624">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532D36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757B21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61D5F35C">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DA654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13D80A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494069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608E0C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37D480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B933B4F">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E58AC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FF363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160AEB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5128ED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E9797B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BEE6DCD">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1728"/>
        <w:gridCol w:w="2220"/>
        <w:gridCol w:w="1957"/>
        <w:gridCol w:w="1370"/>
        <w:gridCol w:w="1720"/>
      </w:tblGrid>
      <w:tr w14:paraId="01AF48B6">
        <w:tblPrEx>
          <w:tblCellMar>
            <w:top w:w="0" w:type="dxa"/>
            <w:left w:w="108" w:type="dxa"/>
            <w:bottom w:w="0" w:type="dxa"/>
            <w:right w:w="108" w:type="dxa"/>
          </w:tblCellMar>
        </w:tblPrEx>
        <w:trPr>
          <w:trHeight w:val="619" w:hRule="atLeast"/>
          <w:tblHeader/>
        </w:trPr>
        <w:tc>
          <w:tcPr>
            <w:tcW w:w="960" w:type="pct"/>
            <w:noWrap/>
            <w:vAlign w:val="bottom"/>
          </w:tcPr>
          <w:p w14:paraId="37BB0182">
            <w:pPr>
              <w:rPr>
                <w:rStyle w:val="12"/>
                <w:rFonts w:hint="eastAsia" w:ascii="仿宋" w:hAnsi="仿宋" w:eastAsia="仿宋"/>
                <w:bCs/>
                <w:sz w:val="32"/>
                <w:szCs w:val="32"/>
              </w:rPr>
            </w:pPr>
          </w:p>
        </w:tc>
        <w:tc>
          <w:tcPr>
            <w:tcW w:w="1233" w:type="pct"/>
            <w:noWrap/>
            <w:vAlign w:val="bottom"/>
          </w:tcPr>
          <w:p w14:paraId="280CC3BE">
            <w:pPr>
              <w:widowControl/>
              <w:jc w:val="left"/>
              <w:rPr>
                <w:rFonts w:ascii="Times New Roman" w:hAnsi="Times New Roman" w:eastAsia="宋体"/>
                <w:kern w:val="0"/>
                <w:sz w:val="20"/>
                <w:szCs w:val="20"/>
              </w:rPr>
            </w:pPr>
          </w:p>
        </w:tc>
        <w:tc>
          <w:tcPr>
            <w:tcW w:w="2805" w:type="pct"/>
            <w:gridSpan w:val="3"/>
            <w:noWrap/>
            <w:vAlign w:val="center"/>
          </w:tcPr>
          <w:p w14:paraId="2254180E">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66292C22">
        <w:tblPrEx>
          <w:tblCellMar>
            <w:top w:w="0" w:type="dxa"/>
            <w:left w:w="108" w:type="dxa"/>
            <w:bottom w:w="0" w:type="dxa"/>
            <w:right w:w="108" w:type="dxa"/>
          </w:tblCellMar>
        </w:tblPrEx>
        <w:trPr>
          <w:trHeight w:val="613" w:hRule="atLeast"/>
          <w:tblHeader/>
        </w:trPr>
        <w:tc>
          <w:tcPr>
            <w:tcW w:w="5000" w:type="pct"/>
            <w:gridSpan w:val="5"/>
            <w:noWrap/>
            <w:vAlign w:val="center"/>
          </w:tcPr>
          <w:p w14:paraId="772A9E8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56D03DB7">
        <w:tblPrEx>
          <w:tblCellMar>
            <w:top w:w="0" w:type="dxa"/>
            <w:left w:w="108" w:type="dxa"/>
            <w:bottom w:w="0" w:type="dxa"/>
            <w:right w:w="108" w:type="dxa"/>
          </w:tblCellMar>
        </w:tblPrEx>
        <w:trPr>
          <w:trHeight w:val="413" w:hRule="atLeast"/>
          <w:tblHeader/>
        </w:trPr>
        <w:tc>
          <w:tcPr>
            <w:tcW w:w="3282" w:type="pct"/>
            <w:gridSpan w:val="3"/>
            <w:noWrap/>
            <w:vAlign w:val="center"/>
          </w:tcPr>
          <w:p w14:paraId="1E4A0634">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201091兴国县埠头乡中心幼儿园</w:t>
            </w:r>
          </w:p>
        </w:tc>
        <w:tc>
          <w:tcPr>
            <w:tcW w:w="762" w:type="pct"/>
            <w:noWrap/>
            <w:vAlign w:val="bottom"/>
          </w:tcPr>
          <w:p w14:paraId="42AAD824">
            <w:pPr>
              <w:widowControl/>
              <w:jc w:val="left"/>
              <w:rPr>
                <w:rFonts w:ascii="Times New Roman" w:hAnsi="Times New Roman" w:eastAsia="宋体"/>
                <w:kern w:val="0"/>
                <w:sz w:val="20"/>
                <w:szCs w:val="20"/>
              </w:rPr>
            </w:pPr>
          </w:p>
        </w:tc>
        <w:tc>
          <w:tcPr>
            <w:tcW w:w="954" w:type="pct"/>
            <w:noWrap/>
            <w:vAlign w:val="center"/>
          </w:tcPr>
          <w:p w14:paraId="0667E0CD">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B9B3678">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2ED557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436196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FE9B5BC">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1906CB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4F57A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482878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652836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43CB5C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06C4288">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23A3A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2998AA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5E70F1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0940D81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35592BE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1D05C018">
      <w:pPr>
        <w:jc w:val="left"/>
        <w:rPr>
          <w:rFonts w:hint="eastAsia"/>
          <w:lang w:eastAsia="zh-CN"/>
        </w:rPr>
      </w:pPr>
      <w:r>
        <w:rPr>
          <w:rStyle w:val="12"/>
          <w:rFonts w:hint="eastAsia" w:ascii="仿宋" w:hAnsi="仿宋" w:eastAsia="仿宋"/>
          <w:bCs/>
          <w:sz w:val="32"/>
          <w:szCs w:val="32"/>
        </w:rPr>
        <w:br w:type="page"/>
      </w:r>
    </w:p>
    <w:p w14:paraId="69D4EE0F">
      <w:pPr>
        <w:rPr>
          <w:rFonts w:hint="eastAsia"/>
          <w:lang w:eastAsia="zh-CN"/>
        </w:rPr>
      </w:pPr>
    </w:p>
    <w:p w14:paraId="02CB85A2">
      <w:pPr>
        <w:rPr>
          <w:rFonts w:hint="eastAsia"/>
          <w:lang w:eastAsia="zh-CN"/>
        </w:rPr>
      </w:pPr>
      <w:r>
        <w:rPr>
          <w:rFonts w:hint="eastAsia"/>
          <w:lang w:eastAsia="zh-CN"/>
        </w:rPr>
        <w:drawing>
          <wp:inline distT="0" distB="0" distL="114300" distR="114300">
            <wp:extent cx="5381625" cy="6482715"/>
            <wp:effectExtent l="0" t="0" r="9525" b="13335"/>
            <wp:docPr id="1" name="图片 1" descr="77320ff0bf5b987958866cda90eff1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7320ff0bf5b987958866cda90eff1ff"/>
                    <pic:cNvPicPr>
                      <a:picLocks noChangeAspect="1"/>
                    </pic:cNvPicPr>
                  </pic:nvPicPr>
                  <pic:blipFill>
                    <a:blip r:embed="rId5"/>
                    <a:stretch>
                      <a:fillRect/>
                    </a:stretch>
                  </pic:blipFill>
                  <pic:spPr>
                    <a:xfrm>
                      <a:off x="0" y="0"/>
                      <a:ext cx="5381625" cy="6482715"/>
                    </a:xfrm>
                    <a:prstGeom prst="rect">
                      <a:avLst/>
                    </a:prstGeom>
                  </pic:spPr>
                </pic:pic>
              </a:graphicData>
            </a:graphic>
          </wp:inline>
        </w:drawing>
      </w:r>
    </w:p>
    <w:p w14:paraId="5D6679C8">
      <w:pPr>
        <w:rPr>
          <w:rFonts w:hint="eastAsia"/>
          <w:lang w:eastAsia="zh-CN"/>
        </w:rPr>
      </w:pPr>
    </w:p>
    <w:p w14:paraId="52082151">
      <w:pPr>
        <w:rPr>
          <w:rFonts w:hint="eastAsia"/>
          <w:lang w:eastAsia="zh-CN"/>
        </w:rPr>
      </w:pPr>
    </w:p>
    <w:p w14:paraId="78A81DF7">
      <w:pPr>
        <w:rPr>
          <w:rFonts w:hint="eastAsia"/>
          <w:lang w:eastAsia="zh-CN"/>
        </w:rPr>
      </w:pPr>
    </w:p>
    <w:p w14:paraId="7A965F3F">
      <w:pPr>
        <w:rPr>
          <w:rFonts w:hint="eastAsia"/>
          <w:lang w:eastAsia="zh-CN"/>
        </w:rPr>
      </w:pPr>
    </w:p>
    <w:p w14:paraId="48FF7BDD">
      <w:pPr>
        <w:rPr>
          <w:rFonts w:hint="eastAsia"/>
          <w:lang w:eastAsia="zh-CN"/>
        </w:rPr>
      </w:pPr>
    </w:p>
    <w:p w14:paraId="46508C72">
      <w:pPr>
        <w:rPr>
          <w:rFonts w:hint="eastAsia"/>
          <w:lang w:eastAsia="zh-CN"/>
        </w:rPr>
      </w:pPr>
    </w:p>
    <w:p w14:paraId="2D2E11C9">
      <w:pPr>
        <w:pStyle w:val="17"/>
        <w:numPr>
          <w:ilvl w:val="0"/>
          <w:numId w:val="0"/>
        </w:numPr>
        <w:bidi w:val="0"/>
        <w:jc w:val="center"/>
        <w:rPr>
          <w:rFonts w:hint="eastAsia"/>
          <w:lang w:eastAsia="zh-CN"/>
        </w:rPr>
      </w:pPr>
      <w:r>
        <w:rPr>
          <w:rFonts w:hint="eastAsia"/>
          <w:lang w:val="en-US" w:eastAsia="zh-CN"/>
        </w:rPr>
        <w:t>第三部分  兴国县埠头乡中心幼儿园2026年单位预算情况说明</w:t>
      </w:r>
    </w:p>
    <w:p w14:paraId="146766C7">
      <w:pPr>
        <w:widowControl/>
        <w:spacing w:line="580" w:lineRule="exact"/>
        <w:jc w:val="center"/>
        <w:rPr>
          <w:rFonts w:ascii="仿宋_GB2312" w:eastAsia="仿宋_GB2312"/>
          <w:b/>
          <w:sz w:val="32"/>
          <w:szCs w:val="30"/>
        </w:rPr>
      </w:pPr>
    </w:p>
    <w:p w14:paraId="13ECA09E">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46D79C1B">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3A43453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2026年兴国县埠头乡中心幼儿园收入预算总额为278.62万元，较上年预算安排减少26.95万元，增减变化主要原因是：教育收费资金、其他收入规模调整，上年结转资金大幅减少。</w:t>
      </w:r>
    </w:p>
    <w:p w14:paraId="34D1AA6B">
      <w:pPr>
        <w:pStyle w:val="18"/>
        <w:bidi w:val="0"/>
        <w:rPr>
          <w:rFonts w:hint="default"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本年收入合计278.54万元，较上年预算安排减少27.03万元；包括：财政拨款收入198.54万元，较上年预算安排增加16.97万元；教育收费资金收入40.00万元，较上年预算安排减少20万元；其他收入40.00万元，较上年预算安排减少10.00万元。上年结转0.08万元，较上年预算安排减少13.92万元。</w:t>
      </w:r>
    </w:p>
    <w:p w14:paraId="186AB567">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035E7802">
      <w:pPr>
        <w:pStyle w:val="18"/>
        <w:bidi w:val="0"/>
        <w:rPr>
          <w:rFonts w:hint="eastAsia"/>
          <w:color w:val="auto"/>
        </w:rPr>
      </w:pPr>
      <w:r>
        <w:rPr>
          <w:rFonts w:hint="eastAsia"/>
          <w:lang w:eastAsia="zh-CN"/>
        </w:rPr>
        <w:t>2026</w:t>
      </w:r>
      <w:r>
        <w:rPr>
          <w:rFonts w:hint="eastAsia"/>
        </w:rPr>
        <w:t>年</w:t>
      </w:r>
      <w:r>
        <w:rPr>
          <w:rFonts w:hint="eastAsia"/>
          <w:lang w:eastAsia="zh-CN"/>
        </w:rPr>
        <w:t>兴国县埠头乡中心幼儿园</w:t>
      </w:r>
      <w:r>
        <w:rPr>
          <w:rFonts w:hint="eastAsia"/>
        </w:rPr>
        <w:t>支出预算总额为278.62万元</w:t>
      </w:r>
      <w:r>
        <w:rPr>
          <w:rFonts w:hint="eastAsia"/>
          <w:lang w:eastAsia="zh-CN"/>
        </w:rPr>
        <w:t>，</w:t>
      </w:r>
      <w:r>
        <w:rPr>
          <w:rFonts w:hint="eastAsia"/>
        </w:rPr>
        <w:t>较上年预算安排减少</w:t>
      </w:r>
      <w:r>
        <w:rPr>
          <w:rFonts w:hint="eastAsia"/>
          <w:lang w:val="en-US" w:eastAsia="zh-CN"/>
        </w:rPr>
        <w:t>26.95</w:t>
      </w:r>
      <w:r>
        <w:rPr>
          <w:rFonts w:hint="eastAsia"/>
        </w:rPr>
        <w:t>万元</w:t>
      </w:r>
      <w:r>
        <w:rPr>
          <w:rFonts w:hint="eastAsia"/>
          <w:lang w:eastAsia="zh-CN"/>
        </w:rPr>
        <w:t>，</w:t>
      </w:r>
      <w:r>
        <w:rPr>
          <w:rFonts w:hint="eastAsia"/>
          <w:color w:val="auto"/>
          <w:lang w:eastAsia="zh-CN"/>
        </w:rPr>
        <w:t>增减变化主要原因是：</w:t>
      </w:r>
      <w:r>
        <w:rPr>
          <w:rFonts w:hint="eastAsia"/>
          <w:color w:val="auto"/>
          <w:lang w:val="en-US" w:eastAsia="zh-CN"/>
        </w:rPr>
        <w:t>本年度采购设施设备减少。</w:t>
      </w:r>
      <w:r>
        <w:rPr>
          <w:rFonts w:hint="eastAsia"/>
          <w:color w:val="auto"/>
        </w:rPr>
        <w:t xml:space="preserve"> </w:t>
      </w:r>
    </w:p>
    <w:p w14:paraId="67958443">
      <w:pPr>
        <w:pStyle w:val="18"/>
        <w:bidi w:val="0"/>
        <w:rPr>
          <w:rFonts w:hint="eastAsia"/>
        </w:rPr>
      </w:pPr>
      <w:r>
        <w:rPr>
          <w:rFonts w:hint="eastAsia"/>
        </w:rPr>
        <w:t>按支出项目类别划分：基本支出230.80万元</w:t>
      </w:r>
      <w:r>
        <w:rPr>
          <w:rFonts w:hint="eastAsia"/>
          <w:lang w:eastAsia="zh-CN"/>
        </w:rPr>
        <w:t>，</w:t>
      </w:r>
      <w:r>
        <w:rPr>
          <w:rFonts w:hint="eastAsia"/>
        </w:rPr>
        <w:t>较上年预算安排增加</w:t>
      </w:r>
      <w:r>
        <w:rPr>
          <w:rFonts w:hint="eastAsia"/>
          <w:lang w:val="en-US" w:eastAsia="zh-CN"/>
        </w:rPr>
        <w:t>49.23</w:t>
      </w:r>
      <w:r>
        <w:rPr>
          <w:rFonts w:hint="eastAsia"/>
        </w:rPr>
        <w:t>万元</w:t>
      </w:r>
      <w:r>
        <w:rPr>
          <w:rFonts w:hint="eastAsia"/>
          <w:lang w:eastAsia="zh-CN"/>
        </w:rPr>
        <w:t>，</w:t>
      </w:r>
      <w:r>
        <w:rPr>
          <w:rFonts w:hint="eastAsia"/>
        </w:rPr>
        <w:t>项目支出47.82万元</w:t>
      </w:r>
      <w:r>
        <w:rPr>
          <w:rFonts w:hint="eastAsia"/>
          <w:lang w:eastAsia="zh-CN"/>
        </w:rPr>
        <w:t>，</w:t>
      </w:r>
      <w:r>
        <w:rPr>
          <w:rFonts w:hint="eastAsia"/>
        </w:rPr>
        <w:t>较上年预算安排减少</w:t>
      </w:r>
      <w:r>
        <w:rPr>
          <w:rFonts w:hint="eastAsia"/>
          <w:lang w:val="en-US" w:eastAsia="zh-CN"/>
        </w:rPr>
        <w:t>76.18</w:t>
      </w:r>
      <w:r>
        <w:rPr>
          <w:rFonts w:hint="eastAsia"/>
        </w:rPr>
        <w:t>万元。</w:t>
      </w:r>
    </w:p>
    <w:p w14:paraId="72305E15">
      <w:pPr>
        <w:pStyle w:val="18"/>
        <w:bidi w:val="0"/>
        <w:rPr>
          <w:rFonts w:hint="eastAsia"/>
        </w:rPr>
      </w:pPr>
      <w:r>
        <w:rPr>
          <w:rFonts w:hint="eastAsia"/>
        </w:rPr>
        <w:t>按支出功能科目划分：教育支出218.86万元，较上年预算安排减少</w:t>
      </w:r>
      <w:r>
        <w:rPr>
          <w:rFonts w:hint="eastAsia"/>
          <w:lang w:val="en-US" w:eastAsia="zh-CN"/>
        </w:rPr>
        <w:t>11.60</w:t>
      </w:r>
      <w:r>
        <w:rPr>
          <w:rFonts w:hint="eastAsia"/>
        </w:rPr>
        <w:t>万元</w:t>
      </w:r>
      <w:r>
        <w:rPr>
          <w:rFonts w:hint="eastAsia"/>
          <w:lang w:eastAsia="zh-CN"/>
        </w:rPr>
        <w:t>，</w:t>
      </w:r>
      <w:r>
        <w:rPr>
          <w:rFonts w:hint="eastAsia"/>
        </w:rPr>
        <w:t>社会保障和就业支出12.04万元，较上年预算安排减少</w:t>
      </w:r>
      <w:r>
        <w:rPr>
          <w:rFonts w:hint="eastAsia"/>
          <w:lang w:val="en-US" w:eastAsia="zh-CN"/>
        </w:rPr>
        <w:t>0.13</w:t>
      </w:r>
      <w:r>
        <w:rPr>
          <w:rFonts w:hint="eastAsia"/>
        </w:rPr>
        <w:t>万元</w:t>
      </w:r>
      <w:r>
        <w:rPr>
          <w:rFonts w:hint="eastAsia"/>
          <w:lang w:eastAsia="zh-CN"/>
        </w:rPr>
        <w:t>，</w:t>
      </w:r>
      <w:r>
        <w:rPr>
          <w:rFonts w:hint="eastAsia"/>
        </w:rPr>
        <w:t>卫生健康支出7.72万元，较上年预算安排增加</w:t>
      </w:r>
      <w:r>
        <w:rPr>
          <w:rFonts w:hint="eastAsia"/>
          <w:lang w:val="en-US" w:eastAsia="zh-CN"/>
        </w:rPr>
        <w:t>3.55</w:t>
      </w:r>
      <w:r>
        <w:rPr>
          <w:rFonts w:hint="eastAsia"/>
        </w:rPr>
        <w:t>万元</w:t>
      </w:r>
      <w:r>
        <w:rPr>
          <w:rFonts w:hint="eastAsia"/>
          <w:lang w:eastAsia="zh-CN"/>
        </w:rPr>
        <w:t>，住房保障支出</w:t>
      </w:r>
      <w:r>
        <w:rPr>
          <w:rFonts w:hint="eastAsia"/>
          <w:lang w:val="en-US" w:eastAsia="zh-CN"/>
        </w:rPr>
        <w:t>0.00</w:t>
      </w:r>
      <w:r>
        <w:rPr>
          <w:rFonts w:hint="eastAsia"/>
          <w:lang w:eastAsia="zh-CN"/>
        </w:rPr>
        <w:t>万元，较上年预算安排</w:t>
      </w:r>
      <w:r>
        <w:rPr>
          <w:rFonts w:hint="eastAsia"/>
          <w:lang w:val="en-US" w:eastAsia="zh-CN"/>
        </w:rPr>
        <w:t>减少8.77</w:t>
      </w:r>
      <w:r>
        <w:rPr>
          <w:rFonts w:hint="eastAsia"/>
          <w:lang w:eastAsia="zh-CN"/>
        </w:rPr>
        <w:t>万元，</w:t>
      </w:r>
      <w:r>
        <w:rPr>
          <w:rFonts w:hint="eastAsia"/>
        </w:rPr>
        <w:t>其他支出40.00万元，较上年预算安排减少</w:t>
      </w:r>
      <w:r>
        <w:rPr>
          <w:rFonts w:hint="eastAsia"/>
          <w:lang w:val="en-US" w:eastAsia="zh-CN"/>
        </w:rPr>
        <w:t>10.00</w:t>
      </w:r>
      <w:r>
        <w:rPr>
          <w:rFonts w:hint="eastAsia"/>
        </w:rPr>
        <w:t>万元。</w:t>
      </w:r>
    </w:p>
    <w:p w14:paraId="66A20399">
      <w:pPr>
        <w:pStyle w:val="18"/>
        <w:bidi w:val="0"/>
        <w:rPr>
          <w:rFonts w:hint="eastAsia"/>
        </w:rPr>
      </w:pPr>
      <w:r>
        <w:rPr>
          <w:rFonts w:hint="eastAsia"/>
        </w:rPr>
        <w:t>按支出经济分类划分：工资福利支出190.13万元，较上年预算安排减少</w:t>
      </w:r>
      <w:r>
        <w:rPr>
          <w:rFonts w:hint="eastAsia"/>
          <w:lang w:val="en-US" w:eastAsia="zh-CN"/>
        </w:rPr>
        <w:t>13.42</w:t>
      </w:r>
      <w:r>
        <w:rPr>
          <w:rFonts w:hint="eastAsia"/>
        </w:rPr>
        <w:t>万元</w:t>
      </w:r>
      <w:r>
        <w:rPr>
          <w:rFonts w:hint="eastAsia"/>
          <w:lang w:eastAsia="zh-CN"/>
        </w:rPr>
        <w:t>，</w:t>
      </w:r>
      <w:r>
        <w:rPr>
          <w:rFonts w:hint="eastAsia"/>
        </w:rPr>
        <w:t>商品和服务支出84.54万元，较上年预算安排增加</w:t>
      </w:r>
      <w:r>
        <w:rPr>
          <w:rFonts w:hint="eastAsia"/>
          <w:lang w:val="en-US" w:eastAsia="zh-CN"/>
        </w:rPr>
        <w:t>48.52</w:t>
      </w:r>
      <w:r>
        <w:rPr>
          <w:rFonts w:hint="eastAsia"/>
        </w:rPr>
        <w:t>万元</w:t>
      </w:r>
      <w:r>
        <w:rPr>
          <w:rFonts w:hint="eastAsia"/>
          <w:lang w:eastAsia="zh-CN"/>
        </w:rPr>
        <w:t>，</w:t>
      </w:r>
      <w:r>
        <w:rPr>
          <w:rFonts w:hint="eastAsia"/>
        </w:rPr>
        <w:t>对个人和家庭的补助</w:t>
      </w:r>
      <w:r>
        <w:rPr>
          <w:rFonts w:hint="eastAsia"/>
          <w:lang w:val="en-US" w:eastAsia="zh-CN"/>
        </w:rPr>
        <w:t>0</w:t>
      </w:r>
      <w:r>
        <w:rPr>
          <w:rFonts w:hint="eastAsia"/>
        </w:rPr>
        <w:t>.67万元，较上年预算安排增加</w:t>
      </w:r>
      <w:r>
        <w:rPr>
          <w:rFonts w:hint="eastAsia"/>
          <w:lang w:val="en-US" w:eastAsia="zh-CN"/>
        </w:rPr>
        <w:t>0.67</w:t>
      </w:r>
      <w:r>
        <w:rPr>
          <w:rFonts w:hint="eastAsia"/>
        </w:rPr>
        <w:t>万元</w:t>
      </w:r>
      <w:r>
        <w:rPr>
          <w:rFonts w:hint="eastAsia"/>
          <w:lang w:eastAsia="zh-CN"/>
        </w:rPr>
        <w:t>，</w:t>
      </w:r>
      <w:r>
        <w:rPr>
          <w:rFonts w:hint="eastAsia"/>
        </w:rPr>
        <w:t>资本性支出（基本建设）3.20万元，较上年预算安排</w:t>
      </w:r>
      <w:r>
        <w:rPr>
          <w:rFonts w:hint="eastAsia"/>
          <w:lang w:val="en-US" w:eastAsia="zh-CN"/>
        </w:rPr>
        <w:t>减少1.20</w:t>
      </w:r>
      <w:r>
        <w:rPr>
          <w:rFonts w:hint="eastAsia"/>
        </w:rPr>
        <w:t>万元</w:t>
      </w:r>
      <w:r>
        <w:rPr>
          <w:rFonts w:hint="eastAsia"/>
          <w:lang w:eastAsia="zh-CN"/>
        </w:rPr>
        <w:t>，</w:t>
      </w:r>
      <w:r>
        <w:rPr>
          <w:rFonts w:hint="eastAsia"/>
        </w:rPr>
        <w:t>其他支出</w:t>
      </w:r>
      <w:r>
        <w:rPr>
          <w:rFonts w:hint="eastAsia"/>
          <w:lang w:val="en-US" w:eastAsia="zh-CN"/>
        </w:rPr>
        <w:t>0</w:t>
      </w:r>
      <w:r>
        <w:rPr>
          <w:rFonts w:hint="eastAsia"/>
        </w:rPr>
        <w:t>.08万元，较上年预算安排减少</w:t>
      </w:r>
      <w:r>
        <w:rPr>
          <w:rFonts w:hint="eastAsia"/>
          <w:lang w:val="en-US" w:eastAsia="zh-CN"/>
        </w:rPr>
        <w:t>63.92</w:t>
      </w:r>
      <w:r>
        <w:rPr>
          <w:rFonts w:hint="eastAsia"/>
        </w:rPr>
        <w:t>万元。</w:t>
      </w:r>
    </w:p>
    <w:p w14:paraId="269F6BA8">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0A9C5853">
      <w:pPr>
        <w:pStyle w:val="18"/>
        <w:bidi w:val="0"/>
        <w:rPr>
          <w:rFonts w:hint="default"/>
          <w:color w:val="auto"/>
          <w:lang w:val="en-US"/>
        </w:rPr>
      </w:pPr>
      <w:r>
        <w:rPr>
          <w:rFonts w:hint="eastAsia"/>
          <w:lang w:eastAsia="zh-CN"/>
        </w:rPr>
        <w:t>2026</w:t>
      </w:r>
      <w:r>
        <w:rPr>
          <w:rFonts w:hint="eastAsia"/>
        </w:rPr>
        <w:t>年</w:t>
      </w:r>
      <w:r>
        <w:rPr>
          <w:rFonts w:hint="eastAsia"/>
          <w:lang w:eastAsia="zh-CN"/>
        </w:rPr>
        <w:t>兴国县埠头乡中心幼儿园</w:t>
      </w:r>
      <w:r>
        <w:rPr>
          <w:rFonts w:hint="eastAsia"/>
        </w:rPr>
        <w:t>财政拨款支出预算总额198.62万元</w:t>
      </w:r>
      <w:r>
        <w:rPr>
          <w:rFonts w:hint="eastAsia"/>
          <w:lang w:eastAsia="zh-CN"/>
        </w:rPr>
        <w:t>，</w:t>
      </w:r>
      <w:r>
        <w:rPr>
          <w:rFonts w:hint="eastAsia"/>
        </w:rPr>
        <w:t>较上年预算安排增加</w:t>
      </w:r>
      <w:r>
        <w:rPr>
          <w:rFonts w:hint="eastAsia"/>
          <w:lang w:val="en-US" w:eastAsia="zh-CN"/>
        </w:rPr>
        <w:t>17.05</w:t>
      </w:r>
      <w:r>
        <w:rPr>
          <w:rFonts w:hint="eastAsia"/>
        </w:rPr>
        <w:t>万元</w:t>
      </w:r>
      <w:r>
        <w:rPr>
          <w:rFonts w:hint="eastAsia"/>
          <w:lang w:eastAsia="zh-CN"/>
        </w:rPr>
        <w:t>，</w:t>
      </w:r>
      <w:r>
        <w:rPr>
          <w:rFonts w:hint="eastAsia"/>
          <w:color w:val="auto"/>
          <w:lang w:eastAsia="zh-CN"/>
        </w:rPr>
        <w:t>增减变化主要原因是：</w:t>
      </w:r>
      <w:r>
        <w:rPr>
          <w:rFonts w:hint="eastAsia"/>
          <w:color w:val="auto"/>
          <w:lang w:val="en-US" w:eastAsia="zh-CN"/>
        </w:rPr>
        <w:t>人员经费标准提高，工资福利明显增加。</w:t>
      </w:r>
    </w:p>
    <w:p w14:paraId="5AFEE9A5">
      <w:pPr>
        <w:pStyle w:val="18"/>
        <w:bidi w:val="0"/>
        <w:rPr>
          <w:rFonts w:hint="eastAsia"/>
        </w:rPr>
      </w:pPr>
      <w:r>
        <w:rPr>
          <w:rFonts w:hint="eastAsia"/>
        </w:rPr>
        <w:t>按支出功能科目划分：教育支出178.86万元，社会保障和就业支出12.04万元，</w:t>
      </w:r>
      <w:r>
        <w:rPr>
          <w:rFonts w:hint="eastAsia"/>
          <w:color w:val="auto"/>
        </w:rPr>
        <w:t>住房保障支出</w:t>
      </w:r>
      <w:r>
        <w:rPr>
          <w:rFonts w:hint="eastAsia"/>
          <w:color w:val="auto"/>
          <w:lang w:val="en-US" w:eastAsia="zh-CN"/>
        </w:rPr>
        <w:t>9.25</w:t>
      </w:r>
      <w:r>
        <w:rPr>
          <w:rFonts w:hint="eastAsia"/>
          <w:color w:val="auto"/>
        </w:rPr>
        <w:t>万元，较上年预算安排</w:t>
      </w:r>
      <w:r>
        <w:rPr>
          <w:rFonts w:hint="eastAsia"/>
          <w:color w:val="auto"/>
          <w:lang w:val="en-US" w:eastAsia="zh-CN"/>
        </w:rPr>
        <w:t>增加0.48</w:t>
      </w:r>
      <w:r>
        <w:rPr>
          <w:rFonts w:hint="eastAsia"/>
          <w:color w:val="auto"/>
        </w:rPr>
        <w:t>万元</w:t>
      </w:r>
      <w:r>
        <w:rPr>
          <w:rFonts w:hint="eastAsia"/>
          <w:color w:val="auto"/>
          <w:lang w:eastAsia="zh-CN"/>
        </w:rPr>
        <w:t>，</w:t>
      </w:r>
      <w:r>
        <w:rPr>
          <w:rFonts w:hint="eastAsia"/>
        </w:rPr>
        <w:t>卫生健康支出7.72万元。</w:t>
      </w:r>
    </w:p>
    <w:p w14:paraId="423808D9">
      <w:pPr>
        <w:pStyle w:val="18"/>
        <w:bidi w:val="0"/>
        <w:rPr>
          <w:rFonts w:hint="eastAsia"/>
        </w:rPr>
      </w:pPr>
      <w:r>
        <w:rPr>
          <w:rFonts w:hint="eastAsia"/>
        </w:rPr>
        <w:t>按支出项目类别划分：基本支出190.80万元</w:t>
      </w:r>
      <w:r>
        <w:rPr>
          <w:rFonts w:hint="eastAsia"/>
          <w:lang w:eastAsia="zh-CN"/>
        </w:rPr>
        <w:t>，</w:t>
      </w:r>
      <w:r>
        <w:rPr>
          <w:rFonts w:hint="eastAsia"/>
        </w:rPr>
        <w:t>项目支出7.82万元。</w:t>
      </w:r>
    </w:p>
    <w:p w14:paraId="52AF6869">
      <w:pPr>
        <w:pStyle w:val="18"/>
        <w:bidi w:val="0"/>
        <w:rPr>
          <w:rFonts w:hint="eastAsia"/>
        </w:rPr>
      </w:pPr>
      <w:r>
        <w:rPr>
          <w:rFonts w:hint="eastAsia"/>
        </w:rPr>
        <w:t>按支</w:t>
      </w:r>
      <w:r>
        <w:rPr>
          <w:rFonts w:hint="eastAsia"/>
          <w:lang w:val="en-US" w:eastAsia="zh-CN"/>
        </w:rPr>
        <w:t>出经济分类</w:t>
      </w:r>
      <w:r>
        <w:rPr>
          <w:rFonts w:hint="eastAsia"/>
        </w:rPr>
        <w:t>划分：工资福利支出190.13万元，商品和服务支出4.54万元，对个人和家庭的补助0.67万元，资本性支出（基本建设）3.20万元，其他支出0.08万元。</w:t>
      </w:r>
    </w:p>
    <w:p w14:paraId="5234A249">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3E7CF93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本单位没有使用政府性基金预算拨款安排的支出。</w:t>
      </w:r>
    </w:p>
    <w:p w14:paraId="5F7C156D">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03F017E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本单位没有使用国有资本经营预算拨款安排的支出。</w:t>
      </w:r>
    </w:p>
    <w:p w14:paraId="51D822FE">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939FB13">
      <w:pPr>
        <w:pStyle w:val="19"/>
        <w:numPr>
          <w:ilvl w:val="0"/>
          <w:numId w:val="0"/>
        </w:numPr>
        <w:bidi w:val="0"/>
        <w:ind w:firstLine="640" w:firstLineChars="200"/>
        <w:rPr>
          <w:rFonts w:hint="eastAsia" w:ascii="仿宋" w:hAnsi="仿宋" w:eastAsia="仿宋" w:cs="仿宋"/>
          <w:b w:val="0"/>
          <w:bCs/>
          <w:color w:val="auto"/>
          <w:lang w:val="en-US" w:eastAsia="zh-CN"/>
        </w:rPr>
      </w:pPr>
      <w:r>
        <w:rPr>
          <w:rFonts w:hint="eastAsia" w:ascii="仿宋_GB2312" w:hAnsi="仿宋_GB2312" w:eastAsia="仿宋_GB2312" w:cstheme="minorBidi"/>
          <w:b w:val="0"/>
          <w:kern w:val="2"/>
          <w:sz w:val="32"/>
          <w:szCs w:val="32"/>
          <w:lang w:val="en-US" w:eastAsia="zh-CN" w:bidi="ar-SA"/>
        </w:rPr>
        <w:t>本单位非行政参公单位，无机关运行经费。</w:t>
      </w:r>
    </w:p>
    <w:p w14:paraId="45E5592C">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34F0B4E7">
      <w:pPr>
        <w:pStyle w:val="18"/>
        <w:bidi w:val="0"/>
        <w:rPr>
          <w:rFonts w:hint="eastAsia"/>
          <w:lang w:eastAsia="zh-CN"/>
        </w:rPr>
      </w:pPr>
      <w:r>
        <w:rPr>
          <w:rFonts w:hint="eastAsia"/>
          <w:lang w:eastAsia="zh-CN"/>
        </w:rPr>
        <w:t>2026年政府采购总额4.10万元，其中：政府采购货物预算  3.80万元， 政府采购工程预算0.00万元，政府采购服务预算 0.30万元。</w:t>
      </w:r>
    </w:p>
    <w:p w14:paraId="49D5B572">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155894FE">
      <w:pPr>
        <w:pStyle w:val="18"/>
        <w:bidi w:val="0"/>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3E00A79B">
      <w:pPr>
        <w:pStyle w:val="18"/>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743DCAD7">
      <w:pPr>
        <w:pStyle w:val="19"/>
        <w:numPr>
          <w:ilvl w:val="0"/>
          <w:numId w:val="0"/>
        </w:numPr>
        <w:bidi w:val="0"/>
        <w:ind w:firstLine="643" w:firstLineChars="200"/>
        <w:rPr>
          <w:rFonts w:hint="eastAsia" w:ascii="楷体" w:hAnsi="楷体" w:eastAsia="楷体" w:cs="楷体"/>
          <w:b/>
          <w:bCs/>
          <w:color w:val="auto"/>
          <w:kern w:val="2"/>
          <w:sz w:val="28"/>
          <w:szCs w:val="28"/>
          <w:lang w:val="zh-CN" w:eastAsia="zh-CN" w:bidi="zh-CN"/>
        </w:rPr>
      </w:pPr>
      <w:r>
        <w:rPr>
          <w:rFonts w:hint="eastAsia"/>
          <w:lang w:val="en-US" w:eastAsia="zh-CN"/>
        </w:rPr>
        <w:t>（九）二六年其他收入资金</w:t>
      </w:r>
      <w:r>
        <w:rPr>
          <w:rFonts w:hint="eastAsia"/>
          <w:color w:val="auto"/>
          <w:lang w:val="en-US" w:eastAsia="zh-CN"/>
        </w:rPr>
        <w:t>项目情况说明</w:t>
      </w:r>
    </w:p>
    <w:p w14:paraId="6DE8B187">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1）项目概述：幼儿园伙食费等其他资金。</w:t>
      </w:r>
    </w:p>
    <w:p w14:paraId="02993B6F">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2）立项依据：《江西省发改委、江西省教育厅关于印发〈江西省中小学服务性收费和代收费管理办法〉的通知》（赣发改价管规〔2021〕82号）。</w:t>
      </w:r>
    </w:p>
    <w:p w14:paraId="6CC13E19">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3）实施主体：兴国县埠头乡中心幼儿园。</w:t>
      </w:r>
    </w:p>
    <w:p w14:paraId="22BF1AD3">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4）实施方案：保障单位2026年其他资金正常收支，确保学校教育教学工作正常运转。</w:t>
      </w:r>
    </w:p>
    <w:p w14:paraId="2C90AB45">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5）实施周期：2026年1月1日—2026年12月31日。</w:t>
      </w:r>
    </w:p>
    <w:p w14:paraId="5135C9E6">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6）年度预算安排： 项目库申报金额40.00万元；预算批复金额40.00万元。</w:t>
      </w:r>
    </w:p>
    <w:p w14:paraId="54A2E6B4">
      <w:pPr>
        <w:spacing w:line="560" w:lineRule="exact"/>
        <w:ind w:firstLine="640" w:firstLineChars="200"/>
        <w:rPr>
          <w:rFonts w:hint="eastAsia" w:ascii="仿宋_GB2312" w:hAnsi="仿宋_GB2312" w:eastAsia="仿宋_GB2312" w:cstheme="minorBidi"/>
          <w:kern w:val="2"/>
          <w:sz w:val="32"/>
          <w:szCs w:val="32"/>
          <w:lang w:val="en-US" w:eastAsia="zh-CN" w:bidi="ar-SA"/>
        </w:rPr>
      </w:pPr>
    </w:p>
    <w:p w14:paraId="45FF82A6">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7F3EA666">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2026年兴国县埠头乡中心幼儿园财政拨款</w:t>
      </w:r>
      <w:r>
        <w:rPr>
          <w:rFonts w:hint="eastAsia" w:cstheme="minorBidi"/>
          <w:kern w:val="2"/>
          <w:sz w:val="32"/>
          <w:szCs w:val="32"/>
          <w:lang w:val="en-US" w:eastAsia="zh-CN" w:bidi="ar-SA"/>
        </w:rPr>
        <w:t>“三公”经费</w:t>
      </w:r>
      <w:r>
        <w:rPr>
          <w:rFonts w:hint="eastAsia" w:ascii="仿宋_GB2312" w:hAnsi="仿宋_GB2312" w:eastAsia="仿宋_GB2312" w:cstheme="minorBidi"/>
          <w:kern w:val="2"/>
          <w:sz w:val="32"/>
          <w:szCs w:val="32"/>
          <w:lang w:val="en-US" w:eastAsia="zh-CN" w:bidi="ar-SA"/>
        </w:rPr>
        <w:t>安排0.58万元，其中：</w:t>
      </w:r>
    </w:p>
    <w:p w14:paraId="634CD9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因公出国0.00万元，比上年增加0万元，主要原因是：无相关业务，不安排相关资金。</w:t>
      </w:r>
    </w:p>
    <w:p w14:paraId="2CA51B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公务接待0.58万元，比上年减少0.01万元，主要原因是：严格执行上级厉行节约、缩减公务接待开支相关规定。</w:t>
      </w:r>
    </w:p>
    <w:p w14:paraId="4B5264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公务用车运行0.00万元，比上年增加0万元，主要原因是：无相关业务，不安排相关资金。</w:t>
      </w:r>
    </w:p>
    <w:p w14:paraId="70FC1BA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公务用车购置0.00万元，比上年增加0万元，主要原因是：无相关业务，不安排相关资金。</w:t>
      </w:r>
    </w:p>
    <w:p w14:paraId="70999D88">
      <w:pPr>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br w:type="page"/>
      </w:r>
    </w:p>
    <w:p w14:paraId="5C66C999">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3E1F4BEB">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4B73D9A1">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（一）财政拨款：指省级财政当年拨付的资金。</w:t>
      </w:r>
    </w:p>
    <w:p w14:paraId="1FD6AAEB">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（二）教育收费资金收入：指实行专项管理的高中以上学费、住宿费，高校委托培养费，函大、电大、夜大及短训班培训费等教育收费取得的收入。</w:t>
      </w:r>
    </w:p>
    <w:p w14:paraId="3F637D9E">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（三）事业收入：指事业单位开展专业业务活动及辅助活动取得的收入。</w:t>
      </w:r>
    </w:p>
    <w:p w14:paraId="2FDEAA47">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（四）事业单位经营收入：指事业单位在专业业务活动及辅助活动之外开展非独立核算经营活动取得的收入。</w:t>
      </w:r>
    </w:p>
    <w:p w14:paraId="487C5E3B">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（五）附属单位上缴收入：指事业单位附属的独立核算单位按规定标准或比例缴纳的各项收入。包括附属的事业单位上缴的收入和附属的企业上缴的利润等。</w:t>
      </w:r>
    </w:p>
    <w:p w14:paraId="645B9F19">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（六）上级补助收入：指事业单位从主管部门和上级单位取得的非财政补助收入。</w:t>
      </w:r>
    </w:p>
    <w:p w14:paraId="66BDDFFF">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（七）其他收入：指除财政拨款、事业收入、事业单位经营收入等以外的各项收入。</w:t>
      </w:r>
    </w:p>
    <w:p w14:paraId="767C5566">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（八）使用非财政拨款结余：指历年滚存非限定用途的非财政拨款结余弥补本年度收支差额的数额。</w:t>
      </w:r>
    </w:p>
    <w:p w14:paraId="750CEDE1">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（九）上年结转和结余：指以前年度全部结转和结余的资金数，包括当年结转结余资金和历年滚存结转结余资金。</w:t>
      </w:r>
    </w:p>
    <w:p w14:paraId="1456ACC4">
      <w:pPr>
        <w:ind w:firstLine="640" w:firstLineChars="200"/>
        <w:rPr>
          <w:rFonts w:hint="eastAsia" w:ascii="仿宋_GB2312" w:hAnsi="仿宋_GB2312" w:eastAsia="仿宋_GB2312" w:cstheme="minorBidi"/>
          <w:kern w:val="2"/>
          <w:sz w:val="32"/>
          <w:szCs w:val="32"/>
          <w:lang w:val="en-US" w:eastAsia="zh-CN" w:bidi="ar-SA"/>
        </w:rPr>
      </w:pPr>
    </w:p>
    <w:p w14:paraId="4EB6E1FC">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1E5F566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7D0B6ED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261C081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0B3270F9">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25F825F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6314FA6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74155E11">
      <w:pPr>
        <w:widowControl/>
        <w:spacing w:line="600" w:lineRule="exact"/>
        <w:ind w:firstLine="640" w:firstLineChars="200"/>
        <w:jc w:val="left"/>
        <w:rPr>
          <w:rFonts w:hint="eastAsia" w:ascii="仿宋_GB2312" w:hAnsi="仿宋_GB2312" w:eastAsia="仿宋_GB2312" w:cstheme="minorBidi"/>
          <w:kern w:val="2"/>
          <w:sz w:val="32"/>
          <w:szCs w:val="32"/>
          <w:lang w:val="en-US" w:eastAsia="zh-CN" w:bidi="ar-SA"/>
        </w:rPr>
      </w:pPr>
    </w:p>
    <w:p w14:paraId="65C6A2BC">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159ECD75">
      <w:pPr>
        <w:pStyle w:val="18"/>
        <w:bidi w:val="0"/>
        <w:ind w:left="0" w:leftChars="0"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6528313B">
      <w:pPr>
        <w:pStyle w:val="18"/>
        <w:bidi w:val="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487429A2">
      <w:pPr>
        <w:pStyle w:val="18"/>
        <w:bidi w:val="0"/>
        <w:rPr>
          <w:rFonts w:hint="eastAsia" w:ascii="仿宋_GB2312" w:hAnsi="仿宋_GB2312" w:eastAsia="仿宋_GB2312" w:cstheme="minorBidi"/>
          <w:kern w:val="2"/>
          <w:sz w:val="32"/>
          <w:szCs w:val="32"/>
          <w:lang w:val="en-US" w:eastAsia="zh-CN" w:bidi="ar-SA"/>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AED0E69-0708-4BBF-A5BF-307B5C32486D}"/>
  </w:font>
  <w:font w:name="黑体">
    <w:panose1 w:val="02010609060101010101"/>
    <w:charset w:val="86"/>
    <w:family w:val="auto"/>
    <w:pitch w:val="default"/>
    <w:sig w:usb0="800002BF" w:usb1="38CF7CFA" w:usb2="00000016" w:usb3="00000000" w:csb0="00040001" w:csb1="00000000"/>
    <w:embedRegular r:id="rId2" w:fontKey="{7F693E45-0DB9-4C8C-B946-28A8A753D48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10738ABB-AE72-4235-A344-6F98BEE813E6}"/>
  </w:font>
  <w:font w:name="楷体_GB2312">
    <w:panose1 w:val="02010609030101010101"/>
    <w:charset w:val="86"/>
    <w:family w:val="modern"/>
    <w:pitch w:val="default"/>
    <w:sig w:usb0="00000001" w:usb1="080E0000" w:usb2="00000000" w:usb3="00000000" w:csb0="00040000" w:csb1="00000000"/>
    <w:embedRegular r:id="rId4" w:fontKey="{2762CC60-64E9-48D7-9BF7-3C35F2EAFA7E}"/>
  </w:font>
  <w:font w:name="Adobe 仿宋 Std R">
    <w:altName w:val="仿宋"/>
    <w:panose1 w:val="00000000000000000000"/>
    <w:charset w:val="86"/>
    <w:family w:val="auto"/>
    <w:pitch w:val="default"/>
    <w:sig w:usb0="00000000" w:usb1="00000000" w:usb2="00000016" w:usb3="00000000" w:csb0="00060007" w:csb1="00000000"/>
    <w:embedRegular r:id="rId5" w:fontKey="{F309D02C-92DF-49BE-9E29-226A073F23A7}"/>
  </w:font>
  <w:font w:name="仿宋">
    <w:panose1 w:val="02010609060101010101"/>
    <w:charset w:val="86"/>
    <w:family w:val="modern"/>
    <w:pitch w:val="default"/>
    <w:sig w:usb0="800002BF" w:usb1="38CF7CFA" w:usb2="00000016" w:usb3="00000000" w:csb0="00040001" w:csb1="00000000"/>
    <w:embedRegular r:id="rId6" w:fontKey="{D0B61256-4A01-48D2-B7E1-D4CE9E59F823}"/>
  </w:font>
  <w:font w:name="楷体">
    <w:panose1 w:val="02010609060101010101"/>
    <w:charset w:val="86"/>
    <w:family w:val="auto"/>
    <w:pitch w:val="default"/>
    <w:sig w:usb0="800002BF" w:usb1="38CF7CFA" w:usb2="00000016" w:usb3="00000000" w:csb0="00040001" w:csb1="00000000"/>
    <w:embedRegular r:id="rId7" w:fontKey="{0BC1D8BA-50C3-4566-B842-49F9163EFFEB}"/>
  </w:font>
  <w:font w:name="WPSEMBED1">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WPSEMBED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04074">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C473B4"/>
    <w:multiLevelType w:val="singleLevel"/>
    <w:tmpl w:val="DFC473B4"/>
    <w:lvl w:ilvl="0" w:tentative="0">
      <w:start w:val="1"/>
      <w:numFmt w:val="chineseCounting"/>
      <w:suff w:val="nothing"/>
      <w:lvlText w:val="%1、"/>
      <w:lvlJc w:val="left"/>
      <w:rPr>
        <w:rFonts w:hint="eastAsia"/>
      </w:rPr>
    </w:lvl>
  </w:abstractNum>
  <w:abstractNum w:abstractNumId="1">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2">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6E2623"/>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5E6A32"/>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09105D"/>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8EA0DAC"/>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ED5E31"/>
    <w:rsid w:val="26FE5E6C"/>
    <w:rsid w:val="27DA63B5"/>
    <w:rsid w:val="27E234BC"/>
    <w:rsid w:val="27EE6A79"/>
    <w:rsid w:val="28020B08"/>
    <w:rsid w:val="2828673B"/>
    <w:rsid w:val="289E5E70"/>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62163D"/>
    <w:rsid w:val="30A0509E"/>
    <w:rsid w:val="30D065A7"/>
    <w:rsid w:val="311B06F3"/>
    <w:rsid w:val="31480833"/>
    <w:rsid w:val="317909ED"/>
    <w:rsid w:val="317E00FE"/>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B72B72"/>
    <w:rsid w:val="37F44BF3"/>
    <w:rsid w:val="38AA5BC8"/>
    <w:rsid w:val="38FD49CD"/>
    <w:rsid w:val="39363AEB"/>
    <w:rsid w:val="393E1A85"/>
    <w:rsid w:val="397330FD"/>
    <w:rsid w:val="397A77A4"/>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08156F"/>
    <w:rsid w:val="422514B1"/>
    <w:rsid w:val="426E79CE"/>
    <w:rsid w:val="42DE4B54"/>
    <w:rsid w:val="43422F5A"/>
    <w:rsid w:val="439416B6"/>
    <w:rsid w:val="4394233B"/>
    <w:rsid w:val="43B35A16"/>
    <w:rsid w:val="441308E0"/>
    <w:rsid w:val="44EC1D46"/>
    <w:rsid w:val="45B7128B"/>
    <w:rsid w:val="45C970A0"/>
    <w:rsid w:val="45EA198E"/>
    <w:rsid w:val="461E51EB"/>
    <w:rsid w:val="461E795D"/>
    <w:rsid w:val="467D28D5"/>
    <w:rsid w:val="46902609"/>
    <w:rsid w:val="46B35164"/>
    <w:rsid w:val="46C430DC"/>
    <w:rsid w:val="46D1677D"/>
    <w:rsid w:val="472C26B4"/>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002BBA"/>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900DA"/>
    <w:rsid w:val="592C090B"/>
    <w:rsid w:val="594B1686"/>
    <w:rsid w:val="59B57AB7"/>
    <w:rsid w:val="59D318A6"/>
    <w:rsid w:val="5A113609"/>
    <w:rsid w:val="5A124512"/>
    <w:rsid w:val="5A3D61AC"/>
    <w:rsid w:val="5AD61C4C"/>
    <w:rsid w:val="5AFC1DDA"/>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646919"/>
    <w:rsid w:val="61E909C7"/>
    <w:rsid w:val="628F77C1"/>
    <w:rsid w:val="629372B1"/>
    <w:rsid w:val="630D3102"/>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612725"/>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4F2137"/>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E42AA2"/>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48a21e32-7400-4128-819e-f4e22864d077</errorID>
      <errorWord>重</errorWord>
      <group>L1_Word</group>
      <groupName>字词问题</groupName>
      <ability>L2_Typo</ability>
      <abilityName>字词错误</abilityName>
      <candidateList>
        <item>重和</item>
      </candidateList>
      <explain/>
      <paraID>5A94270E</paraID>
      <start>26</start>
      <end>28</end>
      <status>modified</status>
      <modifiedWord>重和</modifiedWord>
      <trackRevisions>false</trackRevisions>
    </reviewItem>
    <reviewItem>
      <errorID>8f6112a9-d14c-46d3-8cb3-53caf7176a0a</errorID>
      <errorWord>:</errorWord>
      <group>L1_Format</group>
      <groupName>格式问题</groupName>
      <ability>L2_HalfPunc</ability>
      <abilityName>全半角检查</abilityName>
      <candidateList>
        <item>：</item>
      </candidateList>
      <explain>文本全半角错误。</explain>
      <paraID>5AB2CBD8</paraID>
      <start>4</start>
      <end>5</end>
      <status>modified</status>
      <modifiedWord>：</modifiedWord>
      <trackRevisions>false</trackRevisions>
    </reviewItem>
    <reviewItem>
      <errorID>971844e0-f5e5-48bc-8cd9-e2b3a9d7f99b</errorID>
      <errorWord>(</errorWord>
      <group>L1_Format</group>
      <groupName>格式问题</groupName>
      <ability>L2_HalfPunc</ability>
      <abilityName>全半角检查</abilityName>
      <candidateList>
        <item>（</item>
      </candidateList>
      <explain>文本全半角错误。</explain>
      <paraID>5D3D38E6</paraID>
      <start>2</start>
      <end>3</end>
      <status>modified</status>
      <modifiedWord>（</modifiedWord>
      <trackRevisions>false</trackRevisions>
    </reviewItem>
    <reviewItem>
      <errorID>551ee43c-7e56-463c-95b5-62a5c929ecbf</errorID>
      <errorWord>)</errorWord>
      <group>L1_Format</group>
      <groupName>格式问题</groupName>
      <ability>L2_HalfPunc</ability>
      <abilityName>全半角检查</abilityName>
      <candidateList>
        <item>）</item>
      </candidateList>
      <explain>文本全半角错误。</explain>
      <paraID>5D3D38E6</paraID>
      <start>8</start>
      <end>9</end>
      <status>modified</status>
      <modifiedWord>）</modifiedWord>
      <trackRevisions>false</trackRevisions>
    </reviewItem>
    <reviewItem>
      <errorID>036c7137-74c8-4317-be77-52cd1e9f558c</errorID>
      <errorWord>:</errorWord>
      <group>L1_Format</group>
      <groupName>格式问题</groupName>
      <ability>L2_HalfPunc</ability>
      <abilityName>全半角检查</abilityName>
      <candidateList>
        <item>：</item>
      </candidateList>
      <explain>文本全半角错误。</explain>
      <paraID>786ED38C</paraID>
      <start>4</start>
      <end>5</end>
      <status>modified</status>
      <modifiedWord>：</modifiedWord>
      <trackRevisions>false</trackRevisions>
    </reviewItem>
    <reviewItem>
      <errorID>c4181720-8b37-4286-a48b-938a754ebf5a</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1197FFAC</paraID>
      <start>0</start>
      <end>10</end>
      <status>modified</status>
      <modifiedWord>一般公共预算财政拨款</modifiedWord>
      <trackRevisions>false</trackRevisions>
    </reviewItem>
    <reviewItem>
      <errorID>88fc341f-ae26-40d7-aa96-783e836be450</errorID>
      <errorWord>*</errorWord>
      <group>L1_Punc</group>
      <groupName>标点问题</groupName>
      <ability>L2_Punc</ability>
      <abilityName>标点符号检查</abilityName>
      <candidateList/>
      <explain/>
      <paraID>554EF69C</paraID>
      <start>0</start>
      <end>1</end>
      <status>unmodified</status>
      <modifiedWord/>
      <trackRevisions>false</trackRevisions>
    </reviewItem>
    <reviewItem>
      <errorID>4346736c-34d5-47bc-8d33-54b7df767868</errorID>
      <errorWord>:</errorWord>
      <group>L1_Format</group>
      <groupName>格式问题</groupName>
      <ability>L2_HalfPunc</ability>
      <abilityName>全半角检查</abilityName>
      <candidateList>
        <item>：</item>
      </candidateList>
      <explain>文本全半角错误。</explain>
      <paraID>40E28CFB</paraID>
      <start>4</start>
      <end>5</end>
      <status>modified</status>
      <modifiedWord>：</modifiedWord>
      <trackRevisions>false</trackRevisions>
    </reviewItem>
    <reviewItem>
      <errorID>73343f5e-d37d-4128-9c8c-e80d63c1d70d</errorID>
      <errorWord>*</errorWord>
      <group>L1_Punc</group>
      <groupName>标点问题</groupName>
      <ability>L2_Punc</ability>
      <abilityName>标点符号检查</abilityName>
      <candidateList/>
      <explain/>
      <paraID>66A5CDA7</paraID>
      <start>0</start>
      <end>1</end>
      <status>unmodified</status>
      <modifiedWord/>
      <trackRevisions>false</trackRevisions>
    </reviewItem>
    <reviewItem>
      <errorID>cd646781-e994-4854-bb05-2efb990fb468</errorID>
      <errorWord>*</errorWord>
      <group>L1_Punc</group>
      <groupName>标点问题</groupName>
      <ability>L2_Punc</ability>
      <abilityName>标点符号检查</abilityName>
      <candidateList/>
      <explain/>
      <paraID>276E79A3</paraID>
      <start>0</start>
      <end>1</end>
      <status>unmodified</status>
      <modifiedWord/>
      <trackRevisions>false</trackRevisions>
    </reviewItem>
    <reviewItem>
      <errorID>d5cbb336-09df-44f1-adc3-658a8a9963ce</errorID>
      <errorWord>:</errorWord>
      <group>L1_Format</group>
      <groupName>格式问题</groupName>
      <ability>L2_HalfPunc</ability>
      <abilityName>全半角检查</abilityName>
      <candidateList>
        <item>：</item>
      </candidateList>
      <explain>文本全半角错误。</explain>
      <paraID>2DB88FF0</paraID>
      <start>4</start>
      <end>5</end>
      <status>modified</status>
      <modifiedWord>：</modifiedWord>
      <trackRevisions>false</trackRevisions>
    </reviewItem>
    <reviewItem>
      <errorID>b6e71ed3-f8a8-4cfd-8fd5-5a23f35d44ff</errorID>
      <errorWord>(</errorWord>
      <group>L1_Format</group>
      <groupName>格式问题</groupName>
      <ability>L2_HalfPunc</ability>
      <abilityName>全半角检查</abilityName>
      <candidateList>
        <item>（</item>
      </candidateList>
      <explain>文本全半角错误。</explain>
      <paraID>  FE7ADD</paraID>
      <start>2</start>
      <end>3</end>
      <status>modified</status>
      <modifiedWord>（</modifiedWord>
      <trackRevisions>false</trackRevisions>
    </reviewItem>
    <reviewItem>
      <errorID>55fe2752-505a-41f6-aaa7-b9d1d3742f57</errorID>
      <errorWord>)</errorWord>
      <group>L1_Format</group>
      <groupName>格式问题</groupName>
      <ability>L2_HalfPunc</ability>
      <abilityName>全半角检查</abilityName>
      <candidateList>
        <item>）</item>
      </candidateList>
      <explain>文本全半角错误。</explain>
      <paraID>  FE7ADD</paraID>
      <start>8</start>
      <end>9</end>
      <status>modified</status>
      <modifiedWord>）</modifiedWord>
      <trackRevisions>false</trackRevisions>
    </reviewItem>
    <reviewItem>
      <errorID>8ae7fcb9-a57b-4a75-8f7a-70c252effba9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647351B3</paraID>
      <start>2</start>
      <end>12</end>
      <status>modified</status>
      <modifiedWord>一般公共预算财政拨款</modifiedWord>
      <trackRevisions>false</trackRevisions>
    </reviewItem>
    <reviewItem>
      <errorID>62247ca2-9bc8-424f-9c76-8ee5f284ef0c</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3948FC11</paraID>
      <start>0</start>
      <end>10</end>
      <status>modified</status>
      <modifiedWord>一般公共预算财政拨款</modifiedWord>
      <trackRevisions>false</trackRevisions>
    </reviewItem>
    <reviewItem>
      <errorID>f8e9875e-e6bc-40d5-9709-bf142134c70d</errorID>
      <errorWord>:</errorWord>
      <group>L1_Format</group>
      <groupName>格式问题</groupName>
      <ability>L2_HalfPunc</ability>
      <abilityName>全半角检查</abilityName>
      <candidateList>
        <item>：</item>
      </candidateList>
      <explain>文本全半角错误。</explain>
      <paraID>77B8B1F5</paraID>
      <start>4</start>
      <end>5</end>
      <status>modified</status>
      <modifiedWord>：</modifiedWord>
      <trackRevisions>false</trackRevisions>
    </reviewItem>
    <reviewItem>
      <errorID>054e3f98-c065-4107-829f-638abc4d9214</errorID>
      <errorWord>*</errorWord>
      <group>L1_Punc</group>
      <groupName>标点问题</groupName>
      <ability>L2_Punc</ability>
      <abilityName>标点符号检查</abilityName>
      <candidateList/>
      <explain/>
      <paraID>3B913687</paraID>
      <start>0</start>
      <end>1</end>
      <status>unmodified</status>
      <modifiedWord/>
      <trackRevisions>false</trackRevisions>
    </reviewItem>
    <reviewItem>
      <errorID>1d55bb1f-294f-479d-bf11-5c96319fef52</errorID>
      <errorWord>*</errorWord>
      <group>L1_Punc</group>
      <groupName>标点问题</groupName>
      <ability>L2_Punc</ability>
      <abilityName>标点符号检查</abilityName>
      <candidateList/>
      <explain/>
      <paraID>57A35094</paraID>
      <start>0</start>
      <end>1</end>
      <status>unmodified</status>
      <modifiedWord/>
      <trackRevisions>false</trackRevisions>
    </reviewItem>
    <reviewItem>
      <errorID>aff8c9ec-5187-41bd-b358-2e0e098fb5fb</errorID>
      <errorWord>:</errorWord>
      <group>L1_Format</group>
      <groupName>格式问题</groupName>
      <ability>L2_HalfPunc</ability>
      <abilityName>全半角检查</abilityName>
      <candidateList>
        <item>：</item>
      </candidateList>
      <explain>文本全半角错误。</explain>
      <paraID> E6BEA88</paraID>
      <start>4</start>
      <end>5</end>
      <status>modified</status>
      <modifiedWord>：</modifiedWord>
      <trackRevisions>false</trackRevisions>
    </reviewItem>
    <reviewItem>
      <errorID>2ea24dca-59ff-4d7d-920d-207a5af627fc</errorID>
      <errorWord>*</errorWord>
      <group>L1_Punc</group>
      <groupName>标点问题</groupName>
      <ability>L2_Punc</ability>
      <abilityName>标点符号检查</abilityName>
      <candidateList/>
      <explain/>
      <paraID>605F765D</paraID>
      <start>0</start>
      <end>1</end>
      <status>unmodified</status>
      <modifiedWord/>
      <trackRevisions>false</trackRevisions>
    </reviewItem>
    <reviewItem>
      <errorID>233b1fb9-4fff-4c9c-96ae-cd93d79f62fe</errorID>
      <errorWord>*</errorWord>
      <group>L1_Punc</group>
      <groupName>标点问题</groupName>
      <ability>L2_Punc</ability>
      <abilityName>标点符号检查</abilityName>
      <candidateList/>
      <explain/>
      <paraID>640F6B0A</paraID>
      <start>0</start>
      <end>1</end>
      <status>unmodified</status>
      <modifiedWord/>
      <trackRevisions>false</trackRevisions>
    </reviewItem>
    <reviewItem>
      <errorID>45760a14-cee0-4600-a77a-21dc305bbb23</errorID>
      <errorWord>:</errorWord>
      <group>L1_Format</group>
      <groupName>格式问题</groupName>
      <ability>L2_HalfPunc</ability>
      <abilityName>全半角检查</abilityName>
      <candidateList>
        <item>：</item>
      </candidateList>
      <explain>文本全半角错误。</explain>
      <paraID>459213F9</paraID>
      <start>4</start>
      <end>5</end>
      <status>modified</status>
      <modifiedWord>：</modifiedWord>
      <trackRevisions>false</trackRevisions>
    </reviewItem>
    <reviewItem>
      <errorID>667278c4-cf43-4374-95c6-f2559cb34206</errorID>
      <errorWord>(</errorWord>
      <group>L1_Format</group>
      <groupName>格式问题</groupName>
      <ability>L2_HalfPunc</ability>
      <abilityName>全半角检查</abilityName>
      <candidateList>
        <item>（</item>
      </candidateList>
      <explain>文本全半角错误。</explain>
      <paraID>66BF75CF</paraID>
      <start>4</start>
      <end>5</end>
      <status>modified</status>
      <modifiedWord>（</modifiedWord>
      <trackRevisions>false</trackRevisions>
    </reviewItem>
    <reviewItem>
      <errorID>8f230a55-1b84-4b7a-b3ed-aee57989b79e</errorID>
      <errorWord>)</errorWord>
      <group>L1_Format</group>
      <groupName>格式问题</groupName>
      <ability>L2_HalfPunc</ability>
      <abilityName>全半角检查</abilityName>
      <candidateList>
        <item>）</item>
      </candidateList>
      <explain>文本全半角错误。</explain>
      <paraID>66BF75CF</paraID>
      <start>6</start>
      <end>7</end>
      <status>modified</status>
      <modifiedWord>）</modifiedWord>
      <trackRevisions>false</trackRevisions>
    </reviewItem>
    <reviewItem>
      <errorID>e68219a0-f582-4ea8-beaa-0f6469871ac3</errorID>
      <errorWord>:</errorWord>
      <group>L1_Format</group>
      <groupName>格式问题</groupName>
      <ability>L2_HalfPunc</ability>
      <abilityName>全半角检查</abilityName>
      <candidateList>
        <item>：</item>
      </candidateList>
      <explain>文本全半角错误。</explain>
      <paraID>7E6FDECC</paraID>
      <start>4</start>
      <end>5</end>
      <status>modified</status>
      <modifiedWord>：</modifiedWord>
      <trackRevisions>false</trackRevisions>
    </reviewItem>
    <reviewItem>
      <errorID>b80c33a6-16ba-43cb-bb42-a3c77f8e0bd7</errorID>
      <errorWord>*</errorWord>
      <group>L1_Punc</group>
      <groupName>标点问题</groupName>
      <ability>L2_Punc</ability>
      <abilityName>标点符号检查</abilityName>
      <candidateList/>
      <explain/>
      <paraID>1E58ACC9</paraID>
      <start>0</start>
      <end>1</end>
      <status>unmodified</status>
      <modifiedWord/>
      <trackRevisions>false</trackRevisions>
    </reviewItem>
    <reviewItem>
      <errorID>0b53f4ff-9cc2-416c-8d77-7065f0b4154f</errorID>
      <errorWord>*</errorWord>
      <group>L1_Punc</group>
      <groupName>标点问题</groupName>
      <ability>L2_Punc</ability>
      <abilityName>标点符号检查</abilityName>
      <candidateList/>
      <explain/>
      <paraID>4FF363A0</paraID>
      <start>0</start>
      <end>1</end>
      <status>unmodified</status>
      <modifiedWord/>
      <trackRevisions>false</trackRevisions>
    </reviewItem>
    <reviewItem>
      <errorID>2946ba4f-3277-45e3-84a5-abc691db97f9</errorID>
      <errorWord>:</errorWord>
      <group>L1_Format</group>
      <groupName>格式问题</groupName>
      <ability>L2_HalfPunc</ability>
      <abilityName>全半角检查</abilityName>
      <candidateList>
        <item>：</item>
      </candidateList>
      <explain>文本全半角错误。</explain>
      <paraID>1E4A0634</paraID>
      <start>4</start>
      <end>5</end>
      <status>modified</status>
      <modifiedWord>：</modifiedWord>
      <trackRevisions>false</trackRevisions>
    </reviewItem>
    <reviewItem>
      <errorID>3c6e453e-83cc-4fe4-9b33-f8880f53919e</errorID>
      <errorWord>*</errorWord>
      <group>L1_Punc</group>
      <groupName>标点问题</groupName>
      <ability>L2_Punc</ability>
      <abilityName>标点符号检查</abilityName>
      <candidateList/>
      <explain/>
      <paraID> 23A3ADB</paraID>
      <start>0</start>
      <end>1</end>
      <status>unmodified</status>
      <modifiedWord/>
      <trackRevisions>false</trackRevisions>
    </reviewItem>
    <reviewItem>
      <errorID>0ffd2b80-d95d-4b93-979f-c16081292aac</errorID>
      <errorWord>*</errorWord>
      <group>L1_Punc</group>
      <groupName>标点问题</groupName>
      <ability>L2_Punc</ability>
      <abilityName>标点符号检查</abilityName>
      <candidateList/>
      <explain/>
      <paraID>2998AA8F</paraID>
      <start>0</start>
      <end>1</end>
      <status>unmodified</status>
      <modifiedWord/>
      <trackRevisions>false</trackRevisions>
    </reviewItem>
    <reviewItem>
      <errorID>0449e30b-8631-4860-af9c-45e4b0a2d79e</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46D79C1B</paraID>
      <start>1</start>
      <end>4</end>
      <status>modified</status>
      <modifiedWord>（一）</modifiedWord>
      <trackRevisions>false</trackRevisions>
    </reviewItem>
    <reviewItem>
      <errorID>0e0c2d85-7032-4d76-ba98-d100d8003961</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186AB567</paraID>
      <start>1</start>
      <end>4</end>
      <status>modified</status>
      <modifiedWord>（二）</modifiedWord>
      <trackRevisions>false</trackRevisions>
    </reviewItem>
    <reviewItem>
      <errorID>079fe622-bfdd-4078-9986-3c824c24bf65</errorID>
      <errorWord>,</errorWord>
      <group>L1_Format</group>
      <groupName>格式问题</groupName>
      <ability>L2_HalfPunc</ability>
      <abilityName>全半角检查</abilityName>
      <candidateList>
        <item>，</item>
      </candidateList>
      <explain>文本全半角错误。</explain>
      <paraID>72305E15</paraID>
      <start>114</start>
      <end>115</end>
      <status>modified</status>
      <modifiedWord>，</modifiedWord>
      <trackRevisions>false</trackRevisions>
    </reviewItem>
    <reviewItem>
      <errorID>50bc76c9-e491-420f-b2f7-f850767fef97</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269F6BA8</paraID>
      <start>1</start>
      <end>4</end>
      <status>modified</status>
      <modifiedWord>（三）</modifiedWord>
      <trackRevisions>false</trackRevisions>
    </reviewItem>
    <reviewItem>
      <errorID>22698729-d9d5-4557-b966-1561ede5d51c</errorID>
      <errorWord>,</errorWord>
      <group>L1_Format</group>
      <groupName>格式问题</groupName>
      <ability>L2_HalfPunc</ability>
      <abilityName>全半角检查</abilityName>
      <candidateList>
        <item>，</item>
      </candidateList>
      <explain>文本全半角错误。</explain>
      <paraID> A9C5853</paraID>
      <start>34</start>
      <end>35</end>
      <status>modified</status>
      <modifiedWord>，</modifiedWord>
      <trackRevisions>false</trackRevisions>
    </reviewItem>
    <reviewItem>
      <errorID>95ee75c2-a31d-4e01-afc8-9cb2ac21bb11</errorID>
      <errorWord>,</errorWord>
      <group>L1_Format</group>
      <groupName>格式问题</groupName>
      <ability>L2_HalfPunc</ability>
      <abilityName>全半角检查</abilityName>
      <candidateList>
        <item>，</item>
      </candidateList>
      <explain>文本全半角错误。</explain>
      <paraID> A9C5853</paraID>
      <start>51</start>
      <end>52</end>
      <status>modified</status>
      <modifiedWord>，</modifiedWord>
      <trackRevisions>false</trackRevisions>
    </reviewItem>
    <reviewItem>
      <errorID>a1c65f02-c156-44e4-a373-3ee16e2a1201</errorID>
      <errorWord>,</errorWord>
      <group>L1_Format</group>
      <groupName>格式问题</groupName>
      <ability>L2_HalfPunc</ability>
      <abilityName>全半角检查</abilityName>
      <candidateList>
        <item>，</item>
      </candidateList>
      <explain>文本全半角错误。</explain>
      <paraID>423808D9</paraID>
      <start>22</start>
      <end>23</end>
      <status>modified</status>
      <modifiedWord>，</modifiedWord>
      <trackRevisions>false</trackRevisions>
    </reviewItem>
    <reviewItem>
      <errorID>3a34608b-d4fc-4dfe-8f96-5a1c247be9c6</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5234A249</paraID>
      <start>0</start>
      <end>3</end>
      <status>modified</status>
      <modifiedWord>（四）</modifiedWord>
      <trackRevisions>false</trackRevisions>
    </reviewItem>
    <reviewItem>
      <errorID>2ff1655d-07fb-4f2e-b8f5-fa4f37671c4d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5F7C156D</paraID>
      <start>0</start>
      <end>3</end>
      <status>modified</status>
      <modifiedWord>（五）</modifiedWord>
      <trackRevisions>false</trackRevisions>
    </reviewItem>
    <reviewItem>
      <errorID>175a7c18-b04f-4332-834f-629a1b6baa2c</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51D822FE</paraID>
      <start>0</start>
      <end>3</end>
      <status>modified</status>
      <modifiedWord>（六）</modifiedWord>
      <trackRevisions>false</trackRevisions>
    </reviewItem>
    <reviewItem>
      <errorID>3d7161c6-c9c7-4b4a-8570-b92ce62c23e0</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45E5592C</paraID>
      <start>0</start>
      <end>3</end>
      <status>modified</status>
      <modifiedWord>（七）</modifiedWord>
      <trackRevisions>false</trackRevisions>
    </reviewItem>
    <reviewItem>
      <errorID>1f537558-ad1f-4cee-9bb0-939e194968a9</errorID>
      <errorWord>,</errorWord>
      <group>L1_Format</group>
      <groupName>格式问题</groupName>
      <ability>L2_HalfPunc</ability>
      <abilityName>全半角检查</abilityName>
      <candidateList>
        <item>，</item>
      </candidateList>
      <explain>文本全半角错误。</explain>
      <paraID>34F0B4E7</paraID>
      <start>17</start>
      <end>18</end>
      <status>modified</status>
      <modifiedWord>，</modifiedWord>
      <trackRevisions>false</trackRevisions>
    </reviewItem>
    <reviewItem>
      <errorID>4056325a-0c6a-42f4-8918-4a42b86c9c5d</errorID>
      <errorWord>:</errorWord>
      <group>L1_Format</group>
      <groupName>格式问题</groupName>
      <ability>L2_HalfPunc</ability>
      <abilityName>全半角检查</abilityName>
      <candidateList>
        <item>：</item>
      </candidateList>
      <explain>文本全半角错误。</explain>
      <paraID>34F0B4E7</paraID>
      <start>20</start>
      <end>21</end>
      <status>modified</status>
      <modifiedWord>：</modifiedWord>
      <trackRevisions>false</trackRevisions>
    </reviewItem>
    <reviewItem>
      <errorID>52783656-7ff5-42e0-9e3a-ec9895e0c048</errorID>
      <errorWord>,</errorWord>
      <group>L1_Format</group>
      <groupName>格式问题</groupName>
      <ability>L2_HalfPunc</ability>
      <abilityName>全半角检查</abilityName>
      <candidateList>
        <item>，</item>
      </candidateList>
      <explain>文本全半角错误。</explain>
      <paraID>34F0B4E7</paraID>
      <start>37</start>
      <end>38</end>
      <status>modified</status>
      <modifiedWord>，</modifiedWord>
      <trackRevisions>false</trackRevisions>
    </reviewItem>
    <reviewItem>
      <errorID>7b8e6226-88dc-472d-af62-80664b41b3de</errorID>
      <errorWord>,</errorWord>
      <group>L1_Format</group>
      <groupName>格式问题</groupName>
      <ability>L2_HalfPunc</ability>
      <abilityName>全半角检查</abilityName>
      <candidateList>
        <item>，</item>
      </candidateList>
      <explain>文本全半角错误。</explain>
      <paraID>34F0B4E7</paraID>
      <start>53</start>
      <end>54</end>
      <status>modified</status>
      <modifiedWord>，</modifiedWord>
      <trackRevisions>false</trackRevisions>
    </reviewItem>
    <reviewItem>
      <errorID>1cb54387-7f87-4855-8003-5f7a053a31ae</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49D5B572</paraID>
      <start>0</start>
      <end>3</end>
      <status>modified</status>
      <modifiedWord>（八）</modifiedWord>
      <trackRevisions>false</trackRevisions>
    </reviewItem>
    <reviewItem>
      <errorID>3b35c00b-20e1-44a6-9542-2826fe4f4cb0</errorID>
      <errorWord>,</errorWord>
      <group>L1_Format</group>
      <groupName>格式问题</groupName>
      <ability>L2_HalfPunc</ability>
      <abilityName>全半角检查</abilityName>
      <candidateList>
        <item>，</item>
      </candidateList>
      <explain>文本全半角错误。</explain>
      <paraID>155894FE</paraID>
      <start>12</start>
      <end>13</end>
      <status>modified</status>
      <modifiedWord>，</modifiedWord>
      <trackRevisions>false</trackRevisions>
    </reviewItem>
    <reviewItem>
      <errorID>44eaddae-7e27-41c9-a076-3b77e4421dfc</errorID>
      <errorWord>,</errorWord>
      <group>L1_Format</group>
      <groupName>格式问题</groupName>
      <ability>L2_HalfPunc</ability>
      <abilityName>全半角检查</abilityName>
      <candidateList>
        <item>，</item>
      </candidateList>
      <explain>文本全半角错误。</explain>
      <paraID>155894FE</paraID>
      <start>22</start>
      <end>23</end>
      <status>modified</status>
      <modifiedWord>，</modifiedWord>
      <trackRevisions>false</trackRevisions>
    </reviewItem>
    <reviewItem>
      <errorID>17eb47df-4c37-4627-b8ad-caadc0233231</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743DCAD7</paraID>
      <start>0</start>
      <end>3</end>
      <status>modified</status>
      <modifiedWord>（九）</modifiedWord>
      <trackRevisions>false</trackRevisions>
    </reviewItem>
    <reviewItem>
      <errorID>5ed3c051-1bf7-4be1-a6e0-b6ab19da07b7</errorID>
      <errorWord>&lt;</errorWord>
      <group>L1_Format</group>
      <groupName>格式问题</groupName>
      <ability>L2_HalfPunc</ability>
      <abilityName>全半角检查</abilityName>
      <candidateList>
        <item>〈</item>
      </candidateList>
      <explain>文本全半角错误。</explain>
      <paraID> 2993B6F</paraID>
      <start>25</start>
      <end>26</end>
      <status>modified</status>
      <modifiedWord>〈</modifiedWord>
      <trackRevisions>false</trackRevisions>
    </reviewItem>
    <reviewItem>
      <errorID>91e85bb1-d31e-4e94-b667-6fa5ce6df88e</errorID>
      <errorWord>&gt;的通知》</errorWord>
      <group>L1_Punc</group>
      <groupName>标点问题</groupName>
      <ability>L2_Punc</ability>
      <abilityName>标点符号检查</abilityName>
      <candidateList>
        <item>〉的通知》</item>
      </candidateList>
      <explain/>
      <paraID> 2993B6F</paraID>
      <start>45</start>
      <end>50</end>
      <status>modified</status>
      <modifiedWord>〉的通知》</modifiedWord>
      <trackRevisions>false</trackRevisions>
    </reviewItem>
    <reviewItem>
      <errorID>bf994c65-d00b-4923-a531-414c5ae9a12a</errorID>
      <errorWord>[2021]82号</errorWord>
      <group>L1_Knowledge</group>
      <groupName>知识性问题</groupName>
      <ability>L2_Knowledge</ability>
      <abilityName>其他知识</abilityName>
      <candidateList>
        <item>〔2021〕82号</item>
      </candidateList>
      <explain>发文字号格式错误。</explain>
      <paraID> 2993B6F</paraID>
      <start>57</start>
      <end>66</end>
      <status>modified</status>
      <modifiedWord>〔2021〕82号</modifiedWord>
      <trackRevisions>false</trackRevisions>
    </reviewItem>
    <reviewItem>
      <errorID>3ea9a69d-fd3f-4c96-9f58-2b159d59dd89</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7F3EA666</paraID>
      <start>20</start>
      <end>26</end>
      <status>modified</status>
      <modifiedWord>“三公”经费</modifiedWord>
      <trackRevisions>false</trackRevisions>
    </reviewItem>
    <reviewItem>
      <errorID>f70f6f79-6e33-45db-920a-849eb9b83b1d</errorID>
      <errorWord>,</errorWord>
      <group>L1_Format</group>
      <groupName>格式问题</groupName>
      <ability>L2_HalfPunc</ability>
      <abilityName>全半角检查</abilityName>
      <candidateList>
        <item>，</item>
      </candidateList>
      <explain>文本全半角错误。</explain>
      <paraID>634CD953</paraID>
      <start>10</start>
      <end>11</end>
      <status>modified</status>
      <modifiedWord>，</modifiedWord>
      <trackRevisions>false</trackRevisions>
    </reviewItem>
    <reviewItem>
      <errorID>4d9b9cf5-5612-4ddd-82b1-2d1232a1e58e</errorID>
      <errorWord>增</errorWord>
      <group>L1_Word</group>
      <groupName>字词问题</groupName>
      <ability>L2_Typo</ability>
      <abilityName>字词错误</abilityName>
      <candidateList>
        <item>增加</item>
      </candidateList>
      <explain>〈动〉在原有的基础上加多：～品种｜～抵抗力｜在校学生已由八百～到一千。</explain>
      <paraID>634CD953</paraID>
      <start>14</start>
      <end>16</end>
      <status>modified</status>
      <modifiedWord>增加</modifiedWord>
      <trackRevisions>false</trackRevisions>
    </reviewItem>
    <reviewItem>
      <errorID>2b3cbbc8-6010-4639-bf86-45be34f1e54e</errorID>
      <errorWord>,</errorWord>
      <group>L1_Format</group>
      <groupName>格式问题</groupName>
      <ability>L2_HalfPunc</ability>
      <abilityName>全半角检查</abilityName>
      <candidateList>
        <item>，</item>
      </candidateList>
      <explain>文本全半角错误。</explain>
      <paraID>2CA51BB9</paraID>
      <start>10</start>
      <end>11</end>
      <status>modified</status>
      <modifiedWord>，</modifiedWord>
      <trackRevisions>false</trackRevisions>
    </reviewItem>
    <reviewItem>
      <errorID>d18914ff-c5b2-4981-b795-975489e1d17c</errorID>
      <errorWord>,</errorWord>
      <group>L1_Format</group>
      <groupName>格式问题</groupName>
      <ability>L2_HalfPunc</ability>
      <abilityName>全半角检查</abilityName>
      <candidateList>
        <item>，</item>
      </candidateList>
      <explain>文本全半角错误。</explain>
      <paraID>4B5264BA</paraID>
      <start>12</start>
      <end>13</end>
      <status>modified</status>
      <modifiedWord>，</modifiedWord>
      <trackRevisions>false</trackRevisions>
    </reviewItem>
    <reviewItem>
      <errorID>909a0de9-1e04-4413-8c0c-e9cc43e1e9cb</errorID>
      <errorWord>增</errorWord>
      <group>L1_Word</group>
      <groupName>字词问题</groupName>
      <ability>L2_Typo</ability>
      <abilityName>字词错误</abilityName>
      <candidateList>
        <item>增加</item>
      </candidateList>
      <explain>〈动〉在原有的基础上加多：～品种｜～抵抗力｜在校学生已由八百～到一千。</explain>
      <paraID>4B5264BA</paraID>
      <start>16</start>
      <end>18</end>
      <status>modified</status>
      <modifiedWord>增加</modifiedWord>
      <trackRevisions>false</trackRevisions>
    </reviewItem>
    <reviewItem>
      <errorID>2fca6198-778c-4ebe-bb9c-3ecdc6edf4d6</errorID>
      <errorWord>,</errorWord>
      <group>L1_Format</group>
      <groupName>格式问题</groupName>
      <ability>L2_HalfPunc</ability>
      <abilityName>全半角检查</abilityName>
      <candidateList>
        <item>，</item>
      </candidateList>
      <explain>文本全半角错误。</explain>
      <paraID>70FC1BAD</paraID>
      <start>12</start>
      <end>13</end>
      <status>modified</status>
      <modifiedWord>，</modifiedWord>
      <trackRevisions>false</trackRevisions>
    </reviewItem>
    <reviewItem>
      <errorID>b0f048dc-ac22-4b93-9300-35f85a3be9c8</errorID>
      <errorWord>增</errorWord>
      <group>L1_Word</group>
      <groupName>字词问题</groupName>
      <ability>L2_Typo</ability>
      <abilityName>字词错误</abilityName>
      <candidateList>
        <item>增加</item>
      </candidateList>
      <explain>〈动〉在原有的基础上加多：～品种｜～抵抗力｜在校学生已由八百～到一千。</explain>
      <paraID>70FC1BAD</paraID>
      <start>16</start>
      <end>18</end>
      <status>modified</status>
      <modifiedWord>增加</modifiedWord>
      <trackRevisions>false</trackRevisions>
    </reviewItem>
  </reviewItems>
  <config/>
</contractReview>
</file>

<file path=customXml/itemProps1.xml><?xml version="1.0" encoding="utf-8"?>
<ds:datastoreItem xmlns:ds="http://schemas.openxmlformats.org/officeDocument/2006/customXml" ds:itemID="{0a4ad9e8-6746-427b-a55e-c692a9310456}">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5067</Words>
  <Characters>6310</Characters>
  <Lines>47</Lines>
  <Paragraphs>13</Paragraphs>
  <TotalTime>1</TotalTime>
  <ScaleCrop>false</ScaleCrop>
  <LinksUpToDate>false</LinksUpToDate>
  <CharactersWithSpaces>6398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2026-03-13T09:05:17Z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