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bidi w:val="0"/>
        <w:rPr>
          <w:rFonts w:hint="eastAsia"/>
        </w:rPr>
      </w:pPr>
      <w:r>
        <w:rPr>
          <w:rFonts w:hint="eastAsia"/>
          <w:lang w:eastAsia="zh-CN"/>
        </w:rPr>
        <w:t>兴国县科技创新中心2026</w:t>
      </w:r>
      <w:r>
        <w:rPr>
          <w:rFonts w:hint="eastAsia"/>
        </w:rPr>
        <w:t>年部门预算</w:t>
      </w:r>
    </w:p>
    <w:p>
      <w:pPr>
        <w:pStyle w:val="13"/>
        <w:spacing w:line="600" w:lineRule="atLeast"/>
        <w:jc w:val="center"/>
        <w:rPr>
          <w:rFonts w:ascii="黑体" w:hAnsi="黑体" w:eastAsia="黑体"/>
          <w:color w:val="000000"/>
          <w:sz w:val="32"/>
          <w:szCs w:val="32"/>
        </w:rPr>
      </w:pPr>
    </w:p>
    <w:p>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pPr>
        <w:pStyle w:val="13"/>
        <w:rPr>
          <w:rFonts w:ascii="宋体" w:hAnsi="宋体"/>
          <w:color w:val="000000"/>
        </w:rPr>
      </w:pPr>
    </w:p>
    <w:p>
      <w:pPr>
        <w:pStyle w:val="17"/>
        <w:numPr>
          <w:ilvl w:val="0"/>
          <w:numId w:val="0"/>
        </w:numPr>
        <w:bidi w:val="0"/>
        <w:ind w:left="420" w:leftChars="200"/>
        <w:jc w:val="left"/>
        <w:rPr>
          <w:rFonts w:hint="eastAsia"/>
          <w:lang w:eastAsia="zh-CN"/>
        </w:rPr>
      </w:pPr>
      <w:r>
        <w:rPr>
          <w:rFonts w:hint="eastAsia"/>
          <w:lang w:val="en-US" w:eastAsia="zh-CN"/>
        </w:rPr>
        <w:t>第一部分  兴国县科技创新中心概况</w:t>
      </w:r>
    </w:p>
    <w:p>
      <w:pPr>
        <w:pStyle w:val="18"/>
        <w:bidi w:val="0"/>
        <w:rPr>
          <w:rFonts w:hint="eastAsia" w:ascii="仿宋_GB2312" w:hAnsi="仿宋_GB2312" w:eastAsia="仿宋_GB2312" w:cs="仿宋_GB2312"/>
        </w:rPr>
      </w:pPr>
      <w:r>
        <w:rPr>
          <w:rFonts w:hint="eastAsia" w:ascii="仿宋_GB2312" w:hAnsi="仿宋_GB2312" w:eastAsia="仿宋_GB2312" w:cs="仿宋_GB2312"/>
        </w:rPr>
        <w:t>一、部门主要职责</w:t>
      </w:r>
    </w:p>
    <w:p>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兴国县科技创新中心2026</w:t>
      </w:r>
      <w:r>
        <w:rPr>
          <w:rFonts w:hint="eastAsia"/>
        </w:rPr>
        <w:t>年部门预算表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二、《部门收入总表》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三、《部门支出总表》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pPr>
        <w:pStyle w:val="18"/>
        <w:bidi w:val="0"/>
        <w:rPr>
          <w:rFonts w:hint="eastAsia" w:ascii="仿宋_GB2312" w:hAnsi="仿宋_GB2312" w:eastAsia="仿宋_GB2312" w:cs="仿宋_GB2312"/>
        </w:rPr>
      </w:pPr>
      <w:r>
        <w:rPr>
          <w:rFonts w:hint="eastAsia" w:ascii="仿宋_GB2312" w:hAnsi="仿宋_GB2312" w:eastAsia="仿宋_GB2312" w:cs="仿宋_GB2312"/>
        </w:rPr>
        <w:t>十、《部门整体绩效目标》</w:t>
      </w:r>
    </w:p>
    <w:p>
      <w:pPr>
        <w:pStyle w:val="18"/>
        <w:bidi w:val="0"/>
        <w:rPr>
          <w:rFonts w:hint="eastAsia" w:ascii="仿宋_GB2312" w:hAnsi="仿宋_GB2312" w:eastAsia="仿宋_GB2312" w:cs="仿宋_GB2312"/>
        </w:rPr>
      </w:pPr>
      <w:r>
        <w:rPr>
          <w:rFonts w:hint="eastAsia" w:ascii="仿宋_GB2312" w:hAnsi="仿宋_GB2312" w:eastAsia="仿宋_GB2312" w:cs="仿宋_GB2312"/>
        </w:rPr>
        <w:t>十一、《项目绩效目标</w:t>
      </w:r>
      <w:r>
        <w:rPr>
          <w:rFonts w:hint="eastAsia" w:cs="仿宋_GB2312"/>
          <w:lang w:val="en-US" w:eastAsia="zh-CN"/>
        </w:rPr>
        <w:t>表</w:t>
      </w:r>
      <w:r>
        <w:rPr>
          <w:rFonts w:hint="eastAsia" w:ascii="仿宋_GB2312" w:hAnsi="仿宋_GB2312" w:eastAsia="仿宋_GB2312" w:cs="仿宋_GB2312"/>
        </w:rPr>
        <w:t>》</w:t>
      </w:r>
    </w:p>
    <w:p>
      <w:pPr>
        <w:pStyle w:val="17"/>
        <w:numPr>
          <w:ilvl w:val="0"/>
          <w:numId w:val="0"/>
        </w:numPr>
        <w:bidi w:val="0"/>
        <w:ind w:left="420" w:leftChars="200"/>
        <w:jc w:val="left"/>
        <w:rPr>
          <w:rFonts w:hint="eastAsia"/>
          <w:lang w:eastAsia="zh-CN"/>
        </w:rPr>
      </w:pPr>
      <w:r>
        <w:rPr>
          <w:rFonts w:hint="eastAsia"/>
          <w:lang w:eastAsia="zh-CN"/>
        </w:rPr>
        <w:t>第三部分 兴国县科技创新中心 2026年部门预算情况说明</w:t>
      </w:r>
    </w:p>
    <w:p>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年部门预算收支情况说明</w:t>
      </w:r>
    </w:p>
    <w:p>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pPr>
        <w:pStyle w:val="17"/>
        <w:numPr>
          <w:ilvl w:val="0"/>
          <w:numId w:val="0"/>
        </w:numPr>
        <w:bidi w:val="0"/>
        <w:ind w:left="420" w:leftChars="200"/>
        <w:jc w:val="left"/>
        <w:rPr>
          <w:rFonts w:hint="eastAsia"/>
          <w:lang w:eastAsia="zh-CN"/>
        </w:rPr>
      </w:pPr>
      <w:r>
        <w:rPr>
          <w:rFonts w:hint="eastAsia"/>
          <w:lang w:eastAsia="zh-CN"/>
        </w:rPr>
        <w:t>第四部分  名词解释</w:t>
      </w:r>
    </w:p>
    <w:p>
      <w:pPr>
        <w:widowControl/>
        <w:spacing w:line="580" w:lineRule="exact"/>
        <w:jc w:val="center"/>
        <w:rPr>
          <w:rFonts w:ascii="仿宋_GB2312" w:eastAsia="仿宋_GB2312"/>
          <w:b/>
          <w:sz w:val="32"/>
          <w:szCs w:val="30"/>
        </w:rPr>
      </w:pPr>
    </w:p>
    <w:p>
      <w:pPr>
        <w:widowControl/>
        <w:spacing w:line="580" w:lineRule="exact"/>
        <w:jc w:val="center"/>
        <w:rPr>
          <w:rFonts w:ascii="仿宋_GB2312" w:eastAsia="仿宋_GB2312"/>
          <w:b/>
          <w:sz w:val="32"/>
          <w:szCs w:val="30"/>
        </w:rPr>
      </w:pPr>
    </w:p>
    <w:p>
      <w:pPr>
        <w:pStyle w:val="17"/>
        <w:numPr>
          <w:ilvl w:val="0"/>
          <w:numId w:val="0"/>
        </w:numPr>
        <w:bidi w:val="0"/>
        <w:ind w:left="420" w:leftChars="200"/>
        <w:jc w:val="center"/>
        <w:rPr>
          <w:rFonts w:hint="eastAsia"/>
          <w:lang w:eastAsia="zh-CN"/>
        </w:rPr>
      </w:pPr>
      <w:r>
        <w:rPr>
          <w:rFonts w:hint="eastAsia"/>
          <w:lang w:eastAsia="zh-CN"/>
        </w:rPr>
        <w:t>第一部分  兴国县科技创新中心概况</w:t>
      </w:r>
    </w:p>
    <w:p>
      <w:pPr>
        <w:widowControl/>
        <w:spacing w:line="580" w:lineRule="exact"/>
        <w:jc w:val="left"/>
        <w:rPr>
          <w:rFonts w:asciiTheme="minorEastAsia" w:hAnsiTheme="minorEastAsia"/>
          <w:b/>
          <w:sz w:val="36"/>
          <w:szCs w:val="36"/>
        </w:rPr>
      </w:pPr>
    </w:p>
    <w:p>
      <w:pPr>
        <w:pStyle w:val="17"/>
        <w:numPr>
          <w:ilvl w:val="0"/>
          <w:numId w:val="0"/>
        </w:numPr>
        <w:bidi w:val="0"/>
        <w:ind w:left="420" w:leftChars="200" w:firstLine="320" w:firstLineChars="100"/>
        <w:rPr>
          <w:rFonts w:hint="eastAsia"/>
        </w:rPr>
      </w:pPr>
      <w:r>
        <w:rPr>
          <w:rFonts w:hint="eastAsia"/>
        </w:rPr>
        <w:t>一、部门主要职责</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rPr>
      </w:pPr>
      <w:r>
        <w:rPr>
          <w:rFonts w:hint="eastAsia" w:ascii="仿宋_GB2312" w:hAnsi="仿宋_GB2312" w:eastAsia="仿宋_GB2312" w:cs="仿宋_GB2312"/>
          <w:color w:val="auto"/>
          <w:sz w:val="32"/>
          <w:szCs w:val="32"/>
        </w:rPr>
        <w:t>负责全县科学技术进步的宏观管理和统筹协调</w:t>
      </w:r>
      <w:r>
        <w:rPr>
          <w:rFonts w:hint="eastAsia" w:ascii="仿宋_GB2312" w:hAnsi="仿宋_GB2312" w:eastAsia="仿宋_GB2312" w:cs="仿宋_GB2312"/>
          <w:color w:val="auto"/>
          <w:sz w:val="32"/>
          <w:szCs w:val="32"/>
          <w:lang w:eastAsia="zh-CN"/>
        </w:rPr>
        <w:t>；负责发展高新技术产业，创建科技创新基地平台载体并进行规范化管理，培育科技型企业和新型研发机构；负责编制科技发展规划和</w:t>
      </w:r>
      <w:r>
        <w:rPr>
          <w:rFonts w:hint="eastAsia" w:ascii="仿宋_GB2312" w:hAnsi="仿宋_GB2312" w:eastAsia="仿宋_GB2312" w:cs="仿宋_GB2312"/>
          <w:color w:val="auto"/>
          <w:sz w:val="32"/>
          <w:szCs w:val="32"/>
        </w:rPr>
        <w:t>县</w:t>
      </w:r>
      <w:r>
        <w:rPr>
          <w:rFonts w:hint="eastAsia" w:ascii="仿宋_GB2312" w:hAnsi="仿宋_GB2312" w:eastAsia="仿宋_GB2312" w:cs="仿宋_GB2312"/>
          <w:color w:val="auto"/>
          <w:sz w:val="32"/>
          <w:szCs w:val="32"/>
          <w:lang w:eastAsia="zh-CN"/>
        </w:rPr>
        <w:t>本级</w:t>
      </w:r>
      <w:r>
        <w:rPr>
          <w:rFonts w:hint="eastAsia" w:ascii="仿宋_GB2312" w:hAnsi="仿宋_GB2312" w:eastAsia="仿宋_GB2312" w:cs="仿宋_GB2312"/>
          <w:color w:val="auto"/>
          <w:sz w:val="32"/>
          <w:szCs w:val="32"/>
        </w:rPr>
        <w:t>科技计划项目；</w:t>
      </w:r>
      <w:r>
        <w:rPr>
          <w:rFonts w:hint="eastAsia" w:ascii="仿宋_GB2312" w:hAnsi="仿宋_GB2312" w:eastAsia="仿宋_GB2312" w:cs="仿宋_GB2312"/>
          <w:color w:val="auto"/>
          <w:sz w:val="32"/>
          <w:szCs w:val="32"/>
          <w:lang w:eastAsia="zh-CN"/>
        </w:rPr>
        <w:t>完善相关科技政策，组织科技培训、科技普及、科技评估、科技金融等工作；负责</w:t>
      </w:r>
      <w:r>
        <w:rPr>
          <w:rFonts w:hint="eastAsia" w:ascii="仿宋_GB2312" w:hAnsi="仿宋_GB2312" w:eastAsia="仿宋_GB2312" w:cs="仿宋_GB2312"/>
          <w:color w:val="auto"/>
          <w:sz w:val="32"/>
          <w:szCs w:val="32"/>
        </w:rPr>
        <w:t>全县</w:t>
      </w:r>
      <w:r>
        <w:rPr>
          <w:rFonts w:hint="eastAsia" w:ascii="仿宋_GB2312" w:hAnsi="仿宋_GB2312" w:eastAsia="仿宋_GB2312" w:cs="仿宋_GB2312"/>
          <w:color w:val="auto"/>
          <w:sz w:val="32"/>
          <w:szCs w:val="32"/>
          <w:lang w:eastAsia="zh-CN"/>
        </w:rPr>
        <w:t>科技人才管理、引进国外智力、科技合作与交流工作；负责</w:t>
      </w:r>
      <w:r>
        <w:rPr>
          <w:rFonts w:hint="eastAsia" w:ascii="仿宋_GB2312" w:hAnsi="仿宋_GB2312" w:eastAsia="仿宋_GB2312" w:cs="仿宋_GB2312"/>
          <w:color w:val="auto"/>
          <w:sz w:val="32"/>
          <w:szCs w:val="32"/>
        </w:rPr>
        <w:t>科技成果转化</w:t>
      </w:r>
      <w:r>
        <w:rPr>
          <w:rFonts w:hint="eastAsia" w:ascii="仿宋_GB2312" w:hAnsi="仿宋_GB2312" w:eastAsia="仿宋_GB2312" w:cs="仿宋_GB2312"/>
          <w:color w:val="auto"/>
          <w:sz w:val="32"/>
          <w:szCs w:val="32"/>
          <w:lang w:eastAsia="zh-CN"/>
        </w:rPr>
        <w:t>和技术市场管理，技术合同登记，科技重大专项工作；负责农业科技园区、科技下乡、科技扶贫、绿色技术创新、科技安全生产等方面的工作。</w:t>
      </w:r>
    </w:p>
    <w:p>
      <w:pPr>
        <w:pStyle w:val="17"/>
        <w:numPr>
          <w:ilvl w:val="0"/>
          <w:numId w:val="0"/>
        </w:numPr>
        <w:bidi w:val="0"/>
        <w:ind w:left="420" w:leftChars="200" w:firstLine="320" w:firstLineChars="100"/>
        <w:rPr>
          <w:rFonts w:hint="eastAsia"/>
        </w:rPr>
      </w:pPr>
      <w:r>
        <w:rPr>
          <w:rFonts w:hint="eastAsia"/>
        </w:rPr>
        <w:t>二、机构设置及人员情况</w:t>
      </w:r>
    </w:p>
    <w:p>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兴国县科技创新中心共有预算单位1个，包括兴国县科技创新中心</w:t>
      </w:r>
      <w:r>
        <w:rPr>
          <w:rFonts w:hint="eastAsia" w:ascii="仿宋_GB2312" w:hAnsi="仿宋_GB2312" w:eastAsia="仿宋_GB2312" w:cs="仿宋_GB2312"/>
        </w:rPr>
        <w:t>。</w:t>
      </w:r>
      <w:r>
        <w:rPr>
          <w:rFonts w:hint="eastAsia" w:cs="仿宋_GB2312"/>
          <w:lang w:val="en-US" w:eastAsia="zh-CN"/>
        </w:rPr>
        <w:t>2026年</w:t>
      </w:r>
      <w:r>
        <w:rPr>
          <w:rFonts w:hint="eastAsia" w:ascii="仿宋_GB2312" w:hAnsi="仿宋_GB2312" w:eastAsia="仿宋_GB2312" w:cs="仿宋_GB2312"/>
          <w:lang w:eastAsia="zh-CN"/>
        </w:rPr>
        <w:t>内设处室</w:t>
      </w:r>
      <w:r>
        <w:rPr>
          <w:rFonts w:hint="eastAsia" w:cs="仿宋_GB2312"/>
          <w:lang w:val="en-US" w:eastAsia="zh-CN"/>
        </w:rPr>
        <w:t>5</w:t>
      </w:r>
      <w:r>
        <w:rPr>
          <w:rFonts w:hint="eastAsia" w:ascii="仿宋_GB2312" w:hAnsi="仿宋_GB2312" w:eastAsia="仿宋_GB2312" w:cs="仿宋_GB2312"/>
          <w:lang w:eastAsia="zh-CN"/>
        </w:rPr>
        <w:t>个，</w:t>
      </w:r>
      <w:r>
        <w:rPr>
          <w:rFonts w:hint="eastAsia" w:cs="仿宋_GB2312"/>
          <w:lang w:eastAsia="zh-CN"/>
        </w:rPr>
        <w:t>分别为</w:t>
      </w:r>
      <w:r>
        <w:rPr>
          <w:rFonts w:hint="eastAsia" w:ascii="仿宋_GB2312" w:hAnsi="仿宋_GB2312" w:eastAsia="仿宋_GB2312" w:cs="仿宋_GB2312"/>
          <w:lang w:eastAsia="zh-CN"/>
        </w:rPr>
        <w:t>：</w:t>
      </w:r>
      <w:r>
        <w:rPr>
          <w:rFonts w:hint="eastAsia" w:cs="仿宋_GB2312"/>
          <w:lang w:eastAsia="zh-CN"/>
        </w:rPr>
        <w:t>办公室、创新发展服务股、科技计划股、科技人才服务股、科技信息股</w:t>
      </w:r>
      <w:r>
        <w:rPr>
          <w:rFonts w:hint="eastAsia" w:ascii="仿宋_GB2312" w:hAnsi="仿宋_GB2312" w:eastAsia="仿宋_GB2312" w:cs="仿宋_GB231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编制人数小计16人，其中：行政编制人数0人，参照公务员管理的事业编制人数0人，全部补助事业编制人数16人，自收自支编制人数0人。实有人数小计23人，其中：在职人数小计16人（行政在职人数0人，参照公务员管理的事业单位在职人数0人，全部补助事业在职人数16人）；离休人数小计0人；退休人数小计7人。</w:t>
      </w:r>
    </w:p>
    <w:p>
      <w:pPr>
        <w:pStyle w:val="18"/>
        <w:bidi w:val="0"/>
        <w:rPr>
          <w:rFonts w:hint="eastAsia" w:ascii="仿宋_GB2312" w:hAnsi="仿宋_GB2312" w:eastAsia="仿宋_GB2312" w:cs="仿宋_GB2312"/>
        </w:rPr>
      </w:pPr>
    </w:p>
    <w:p>
      <w:pPr>
        <w:rPr>
          <w:rFonts w:hint="eastAsia" w:ascii="仿宋_GB2312" w:hAnsi="仿宋_GB2312" w:eastAsia="仿宋_GB2312" w:cs="仿宋_GB2312"/>
        </w:rPr>
      </w:pPr>
      <w:r>
        <w:rPr>
          <w:rFonts w:hint="eastAsia" w:ascii="仿宋_GB2312" w:hAnsi="仿宋_GB2312" w:eastAsia="仿宋_GB2312" w:cs="仿宋_GB2312"/>
        </w:rPr>
        <w:br w:type="page"/>
      </w:r>
    </w:p>
    <w:p>
      <w:pPr>
        <w:pStyle w:val="18"/>
        <w:bidi w:val="0"/>
        <w:rPr>
          <w:rFonts w:hint="eastAsia" w:ascii="仿宋_GB2312" w:hAnsi="仿宋_GB2312" w:eastAsia="仿宋_GB2312" w:cs="仿宋_GB2312"/>
        </w:rPr>
      </w:pPr>
    </w:p>
    <w:p>
      <w:pPr>
        <w:pStyle w:val="17"/>
        <w:numPr>
          <w:ilvl w:val="0"/>
          <w:numId w:val="0"/>
        </w:numPr>
        <w:bidi w:val="0"/>
        <w:ind w:left="420" w:leftChars="200"/>
        <w:jc w:val="center"/>
        <w:rPr>
          <w:rFonts w:hint="eastAsia"/>
          <w:lang w:eastAsia="zh-CN"/>
        </w:rPr>
      </w:pPr>
      <w:r>
        <w:rPr>
          <w:rFonts w:hint="eastAsia"/>
          <w:lang w:eastAsia="zh-CN"/>
        </w:rPr>
        <w:t>第二部分  兴国县科技创新中心2026年部门预算表</w:t>
      </w: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tblPrEx>
          <w:tblCellMar>
            <w:top w:w="0" w:type="dxa"/>
            <w:left w:w="108" w:type="dxa"/>
            <w:bottom w:w="0" w:type="dxa"/>
            <w:right w:w="108" w:type="dxa"/>
          </w:tblCellMar>
        </w:tblPrEx>
        <w:trPr>
          <w:trHeight w:val="585" w:hRule="atLeast"/>
          <w:tblHeader/>
          <w:jc w:val="center"/>
        </w:trPr>
        <w:tc>
          <w:tcPr>
            <w:tcW w:w="5000" w:type="pct"/>
            <w:gridSpan w:val="4"/>
            <w:noWrap/>
            <w:vAlign w:val="center"/>
          </w:tcPr>
          <w:p>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tblPrEx>
          <w:tblCellMar>
            <w:top w:w="0" w:type="dxa"/>
            <w:left w:w="108" w:type="dxa"/>
            <w:bottom w:w="0" w:type="dxa"/>
            <w:right w:w="108" w:type="dxa"/>
          </w:tblCellMar>
        </w:tblPrEx>
        <w:trPr>
          <w:trHeight w:val="345" w:hRule="atLeast"/>
          <w:tblHeader/>
          <w:jc w:val="center"/>
        </w:trPr>
        <w:tc>
          <w:tcPr>
            <w:tcW w:w="2514" w:type="pct"/>
            <w:gridSpan w:val="2"/>
            <w:noWrap/>
            <w:vAlign w:val="center"/>
          </w:tcPr>
          <w:p>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eastAsiaTheme="minorEastAsia" w:cstheme="minorEastAsia"/>
                <w:color w:val="000000"/>
                <w:kern w:val="0"/>
                <w:sz w:val="21"/>
                <w:szCs w:val="21"/>
                <w:lang w:eastAsia="zh-CN" w:bidi="ar"/>
              </w:rPr>
              <w:t>205兴国县科技创新中心</w:t>
            </w:r>
          </w:p>
        </w:tc>
        <w:tc>
          <w:tcPr>
            <w:tcW w:w="1655" w:type="pct"/>
            <w:noWrap/>
            <w:vAlign w:val="bottom"/>
          </w:tcPr>
          <w:p>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项目(按功能科目)</w:t>
            </w: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475.89</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科学技术支出</w:t>
            </w: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424.19</w:t>
            </w: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475.89</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30.17</w:t>
            </w: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18.48</w:t>
            </w: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21.05</w:t>
            </w: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5.00</w:t>
            </w: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480.89</w:t>
            </w:r>
          </w:p>
        </w:tc>
        <w:tc>
          <w:tcPr>
            <w:tcW w:w="1655" w:type="pct"/>
            <w:tcBorders>
              <w:top w:val="nil"/>
              <w:left w:val="nil"/>
              <w:bottom w:val="single" w:color="auto"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498.89</w:t>
            </w:r>
          </w:p>
        </w:tc>
      </w:tr>
      <w:tr>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18.00</w:t>
            </w:r>
          </w:p>
        </w:tc>
        <w:tc>
          <w:tcPr>
            <w:tcW w:w="1655" w:type="pct"/>
            <w:tcBorders>
              <w:top w:val="single" w:color="auto" w:sz="4" w:space="0"/>
              <w:left w:val="nil"/>
              <w:bottom w:val="single" w:color="auto"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498.89</w:t>
            </w:r>
          </w:p>
        </w:tc>
        <w:tc>
          <w:tcPr>
            <w:tcW w:w="1655" w:type="pct"/>
            <w:tcBorders>
              <w:top w:val="single" w:color="auto" w:sz="4" w:space="0"/>
              <w:left w:val="single" w:color="auto" w:sz="4" w:space="0"/>
              <w:bottom w:val="single" w:color="auto" w:sz="4" w:space="0"/>
              <w:right w:val="single" w:color="auto"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498.89</w:t>
            </w:r>
          </w:p>
        </w:tc>
      </w:tr>
    </w:tbl>
    <w:p>
      <w:pPr>
        <w:widowControl/>
        <w:jc w:val="left"/>
        <w:rPr>
          <w:rStyle w:val="12"/>
          <w:rFonts w:ascii="仿宋" w:hAnsi="仿宋" w:eastAsia="仿宋"/>
          <w:bCs/>
          <w:sz w:val="32"/>
          <w:szCs w:val="32"/>
        </w:rPr>
        <w:sectPr>
          <w:headerReference r:id="rId3" w:type="default"/>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985"/>
        <w:gridCol w:w="898"/>
        <w:gridCol w:w="787"/>
        <w:gridCol w:w="865"/>
        <w:gridCol w:w="963"/>
        <w:gridCol w:w="625"/>
        <w:gridCol w:w="586"/>
        <w:gridCol w:w="661"/>
        <w:gridCol w:w="837"/>
        <w:gridCol w:w="761"/>
        <w:gridCol w:w="549"/>
        <w:gridCol w:w="499"/>
        <w:gridCol w:w="761"/>
        <w:gridCol w:w="623"/>
      </w:tblGrid>
      <w:tr>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pPr>
              <w:widowControl/>
              <w:jc w:val="center"/>
              <w:rPr>
                <w:rFonts w:ascii="宋体" w:hAnsi="宋体" w:eastAsia="宋体" w:cs="Arial"/>
                <w:b/>
                <w:bCs/>
                <w:color w:val="000000"/>
                <w:kern w:val="0"/>
                <w:sz w:val="32"/>
                <w:szCs w:val="32"/>
              </w:rPr>
            </w:pPr>
            <w:r>
              <w:rPr>
                <w:rFonts w:hint="eastAsia" w:asciiTheme="minorEastAsia" w:hAnsiTheme="minorEastAsia" w:eastAsiaTheme="minorEastAsia" w:cstheme="minorEastAsia"/>
                <w:color w:val="000000"/>
                <w:sz w:val="18"/>
                <w:szCs w:val="18"/>
              </w:rPr>
              <w:t>部门收入总表</w:t>
            </w:r>
          </w:p>
        </w:tc>
      </w:tr>
      <w:tr>
        <w:tblPrEx>
          <w:tblCellMar>
            <w:top w:w="0" w:type="dxa"/>
            <w:left w:w="108" w:type="dxa"/>
            <w:bottom w:w="0" w:type="dxa"/>
            <w:right w:w="108" w:type="dxa"/>
          </w:tblCellMar>
        </w:tblPrEx>
        <w:trPr>
          <w:trHeight w:val="327" w:hRule="atLeast"/>
        </w:trPr>
        <w:tc>
          <w:tcPr>
            <w:tcW w:w="1989" w:type="pct"/>
            <w:gridSpan w:val="4"/>
            <w:tcBorders>
              <w:top w:val="nil"/>
              <w:left w:val="nil"/>
              <w:bottom w:val="single" w:color="auto" w:sz="4" w:space="0"/>
              <w:right w:val="nil"/>
            </w:tcBorders>
            <w:shd w:val="clear" w:color="auto" w:fill="auto"/>
            <w:noWrap/>
            <w:vAlign w:val="center"/>
          </w:tcPr>
          <w:p>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填报单位:205兴国县科技创新中心</w:t>
            </w:r>
          </w:p>
        </w:tc>
        <w:tc>
          <w:tcPr>
            <w:tcW w:w="422"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274"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257"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367"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334"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241"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tblPrEx>
          <w:tblCellMar>
            <w:top w:w="0" w:type="dxa"/>
            <w:left w:w="108" w:type="dxa"/>
            <w:bottom w:w="0" w:type="dxa"/>
            <w:right w:w="108" w:type="dxa"/>
          </w:tblCellMar>
        </w:tblPrEx>
        <w:trPr>
          <w:cantSplit/>
          <w:trHeight w:val="283" w:hRule="atLeast"/>
        </w:trPr>
        <w:tc>
          <w:tcPr>
            <w:tcW w:w="871" w:type="pct"/>
            <w:vMerge w:val="restart"/>
            <w:tcBorders>
              <w:top w:val="single" w:color="auto" w:sz="4" w:space="0"/>
              <w:left w:val="single" w:color="auto" w:sz="4" w:space="0"/>
              <w:right w:val="single" w:color="auto" w:sz="4" w:space="0"/>
            </w:tcBorders>
            <w:shd w:val="clear" w:color="auto" w:fill="auto"/>
            <w:noWrap/>
            <w:vAlign w:val="center"/>
          </w:tcPr>
          <w:p>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39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4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332"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6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tblPrEx>
          <w:tblCellMar>
            <w:top w:w="0" w:type="dxa"/>
            <w:left w:w="108" w:type="dxa"/>
            <w:bottom w:w="0" w:type="dxa"/>
            <w:right w:w="108" w:type="dxa"/>
          </w:tblCellMar>
        </w:tblPrEx>
        <w:trPr>
          <w:cantSplit/>
          <w:trHeight w:val="554" w:hRule="atLeast"/>
        </w:trPr>
        <w:tc>
          <w:tcPr>
            <w:tcW w:w="871"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39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345"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37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42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一般公共预算拨款收入</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25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367"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241"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268"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r>
      <w:tr>
        <w:tblPrEx>
          <w:tblCellMar>
            <w:top w:w="0" w:type="dxa"/>
            <w:left w:w="108" w:type="dxa"/>
            <w:bottom w:w="0" w:type="dxa"/>
            <w:right w:w="108" w:type="dxa"/>
          </w:tblCellMar>
        </w:tblPrEx>
        <w:trPr>
          <w:cantSplit/>
          <w:trHeight w:val="283"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6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合计</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498.89</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475.89</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475.89</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兴国县科技创新中心</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498.89</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475.89</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475.89</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widowControl/>
              <w:jc w:val="center"/>
              <w:rPr>
                <w:rFonts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部门支出总表</w:t>
            </w:r>
          </w:p>
        </w:tc>
      </w:tr>
      <w:tr>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205兴国县科技创新中心</w:t>
            </w:r>
          </w:p>
        </w:tc>
        <w:tc>
          <w:tcPr>
            <w:tcW w:w="914" w:type="pct"/>
            <w:tcBorders>
              <w:top w:val="nil"/>
              <w:left w:val="nil"/>
              <w:bottom w:val="nil"/>
              <w:right w:val="nil"/>
            </w:tcBorders>
            <w:shd w:val="clear" w:color="auto" w:fill="auto"/>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r>
      <w:tr>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498.89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250.73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248.16</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科学技术支出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424.19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181.03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243.16</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科学技术管理事务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271.03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181.03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181.03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181.03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2060199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其他科学技术管理事务支出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技术研究与开发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75.16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75.16</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2060499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其他技术研究与开发支出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75.16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75.16</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20609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科技重大项目</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2060902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重点研发计划</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其他科学技术支出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其他科学技术支出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28.87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25.27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25.27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7.74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r>
    </w:tbl>
    <w:p>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tblPrEx>
          <w:tblCellMar>
            <w:top w:w="0" w:type="dxa"/>
            <w:left w:w="108" w:type="dxa"/>
            <w:bottom w:w="0" w:type="dxa"/>
            <w:right w:w="108" w:type="dxa"/>
          </w:tblCellMar>
        </w:tblPrEx>
        <w:trPr>
          <w:trHeight w:val="585" w:hRule="atLeast"/>
          <w:tblHeader/>
        </w:trPr>
        <w:tc>
          <w:tcPr>
            <w:tcW w:w="5000" w:type="pct"/>
            <w:gridSpan w:val="7"/>
            <w:noWrap/>
            <w:vAlign w:val="center"/>
          </w:tcPr>
          <w:p>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tblPrEx>
          <w:tblCellMar>
            <w:top w:w="0" w:type="dxa"/>
            <w:left w:w="108" w:type="dxa"/>
            <w:bottom w:w="0" w:type="dxa"/>
            <w:right w:w="108" w:type="dxa"/>
          </w:tblCellMar>
        </w:tblPrEx>
        <w:trPr>
          <w:cantSplit/>
          <w:trHeight w:val="346" w:hRule="atLeast"/>
          <w:tblHeader/>
        </w:trPr>
        <w:tc>
          <w:tcPr>
            <w:tcW w:w="2574" w:type="pct"/>
            <w:gridSpan w:val="3"/>
            <w:noWrap/>
            <w:vAlign w:val="center"/>
          </w:tcPr>
          <w:p>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填报单位:205兴国县科技创新中心</w:t>
            </w:r>
          </w:p>
        </w:tc>
        <w:tc>
          <w:tcPr>
            <w:tcW w:w="577" w:type="pct"/>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项目(按功能科目)</w:t>
            </w: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475.89</w:t>
            </w: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科学技术支出</w:t>
            </w: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424.19</w:t>
            </w: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424.19</w:t>
            </w: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一般公共预算拨款收入</w:t>
            </w:r>
          </w:p>
        </w:tc>
        <w:tc>
          <w:tcPr>
            <w:tcW w:w="657" w:type="pct"/>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475.89</w:t>
            </w:r>
          </w:p>
        </w:tc>
        <w:tc>
          <w:tcPr>
            <w:tcW w:w="94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30.17</w:t>
            </w: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30.17</w:t>
            </w: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18.48</w:t>
            </w: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18.48</w:t>
            </w: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21.05</w:t>
            </w: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21.05</w:t>
            </w: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18.00　</w:t>
            </w:r>
          </w:p>
        </w:tc>
        <w:tc>
          <w:tcPr>
            <w:tcW w:w="948" w:type="pct"/>
            <w:tcBorders>
              <w:top w:val="nil"/>
              <w:left w:val="nil"/>
              <w:bottom w:val="single" w:color="auto"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一般公共预算拨款结转</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18.00　</w:t>
            </w:r>
          </w:p>
        </w:tc>
        <w:tc>
          <w:tcPr>
            <w:tcW w:w="948"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493.89</w:t>
            </w:r>
          </w:p>
        </w:tc>
        <w:tc>
          <w:tcPr>
            <w:tcW w:w="948"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493.89</w:t>
            </w:r>
          </w:p>
        </w:tc>
        <w:tc>
          <w:tcPr>
            <w:tcW w:w="612"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493.89</w:t>
            </w:r>
          </w:p>
        </w:tc>
        <w:tc>
          <w:tcPr>
            <w:tcW w:w="602"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tblPrEx>
          <w:tblCellMar>
            <w:top w:w="0" w:type="dxa"/>
            <w:left w:w="108" w:type="dxa"/>
            <w:bottom w:w="0" w:type="dxa"/>
            <w:right w:w="108" w:type="dxa"/>
          </w:tblCellMar>
        </w:tblPrEx>
        <w:trPr>
          <w:trHeight w:val="585" w:hRule="atLeast"/>
          <w:tblHeader/>
        </w:trPr>
        <w:tc>
          <w:tcPr>
            <w:tcW w:w="5000" w:type="pct"/>
            <w:gridSpan w:val="5"/>
            <w:noWrap/>
            <w:vAlign w:val="center"/>
          </w:tcPr>
          <w:p>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tblPrEx>
          <w:tblCellMar>
            <w:top w:w="0" w:type="dxa"/>
            <w:left w:w="108" w:type="dxa"/>
            <w:bottom w:w="0" w:type="dxa"/>
            <w:right w:w="108" w:type="dxa"/>
          </w:tblCellMar>
        </w:tblPrEx>
        <w:trPr>
          <w:trHeight w:val="420" w:hRule="atLeast"/>
          <w:tblHeader/>
        </w:trPr>
        <w:tc>
          <w:tcPr>
            <w:tcW w:w="2433" w:type="pct"/>
            <w:gridSpan w:val="2"/>
            <w:noWrap/>
            <w:vAlign w:val="center"/>
          </w:tcPr>
          <w:p>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填报单位:205兴国县科技创新中心</w:t>
            </w:r>
          </w:p>
        </w:tc>
        <w:tc>
          <w:tcPr>
            <w:tcW w:w="1056" w:type="pct"/>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trPr>
          <w:cantSplit/>
          <w:trHeight w:val="283" w:hRule="atLeast"/>
          <w:tblHeader/>
        </w:trPr>
        <w:tc>
          <w:tcPr>
            <w:tcW w:w="853" w:type="pct"/>
            <w:tcBorders>
              <w:top w:val="nil"/>
              <w:left w:val="single" w:color="000000" w:sz="4" w:space="0"/>
              <w:bottom w:val="nil"/>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475.89</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250.73</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225.16</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科学技术支出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406.19</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181.03</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225.16</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20601</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科学技术管理事务</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271.03</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181.03</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2060101</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181.03</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181.03</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2060199</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其他科学技术管理事务支出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90.00</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20604</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技术研究与开发</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75.16</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75.16</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2060499</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其他技术研究与开发支出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75.16</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75.16</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20699</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其他科学技术支出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60.00</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2069999</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其他科学技术支出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60.00</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30.17</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30.17</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28.87</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28.87</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25.27</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25.27</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7.74</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7.74</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21.05</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21.05</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tblPrEx>
          <w:tblCellMar>
            <w:top w:w="0" w:type="dxa"/>
            <w:left w:w="108" w:type="dxa"/>
            <w:bottom w:w="0" w:type="dxa"/>
            <w:right w:w="108" w:type="dxa"/>
          </w:tblCellMar>
        </w:tblPrEx>
        <w:trPr>
          <w:trHeight w:val="585" w:hRule="atLeast"/>
        </w:trPr>
        <w:tc>
          <w:tcPr>
            <w:tcW w:w="5000" w:type="pct"/>
            <w:gridSpan w:val="5"/>
            <w:noWrap/>
            <w:vAlign w:val="center"/>
          </w:tcPr>
          <w:p>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tblPrEx>
          <w:tblCellMar>
            <w:top w:w="0" w:type="dxa"/>
            <w:left w:w="108" w:type="dxa"/>
            <w:bottom w:w="0" w:type="dxa"/>
            <w:right w:w="108" w:type="dxa"/>
          </w:tblCellMar>
        </w:tblPrEx>
        <w:trPr>
          <w:trHeight w:val="420" w:hRule="atLeast"/>
        </w:trPr>
        <w:tc>
          <w:tcPr>
            <w:tcW w:w="2398" w:type="pct"/>
            <w:gridSpan w:val="2"/>
            <w:noWrap/>
            <w:vAlign w:val="center"/>
          </w:tcPr>
          <w:p>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填报单位:205兴国县科技创新中心</w:t>
            </w:r>
          </w:p>
        </w:tc>
        <w:tc>
          <w:tcPr>
            <w:tcW w:w="891" w:type="pct"/>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250.73</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235.83</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14.90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231.51</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231.51</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84.04</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84.04</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32.08</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32.08</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6.85</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6.85</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7.60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7.60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34.84</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34.84</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25.27</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25.27</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10.74</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10.74</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7.74</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7.74</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21.05</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21.05</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14.40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14.40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7.21</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7.21</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30202</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印刷费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0.20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0.20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4.89</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4.89</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4.32</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4.32</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0.24</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0.24</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0.48</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0.48</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资本性支出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0.50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0.50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31002</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办公设备购置</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0.50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0.50</w:t>
            </w:r>
          </w:p>
        </w:tc>
      </w:tr>
    </w:tbl>
    <w:p>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tblPrEx>
          <w:tblCellMar>
            <w:top w:w="0" w:type="dxa"/>
            <w:left w:w="108" w:type="dxa"/>
            <w:bottom w:w="0" w:type="dxa"/>
            <w:right w:w="108" w:type="dxa"/>
          </w:tblCellMar>
        </w:tblPrEx>
        <w:trPr>
          <w:trHeight w:val="450" w:hRule="atLeast"/>
          <w:tblHeader/>
        </w:trPr>
        <w:tc>
          <w:tcPr>
            <w:tcW w:w="636" w:type="pct"/>
            <w:noWrap/>
            <w:vAlign w:val="bottom"/>
          </w:tcPr>
          <w:p>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pPr>
              <w:widowControl/>
              <w:jc w:val="left"/>
              <w:rPr>
                <w:rFonts w:ascii="Times New Roman" w:hAnsi="Times New Roman" w:eastAsia="宋体"/>
                <w:kern w:val="0"/>
                <w:sz w:val="20"/>
                <w:szCs w:val="20"/>
              </w:rPr>
            </w:pPr>
          </w:p>
        </w:tc>
        <w:tc>
          <w:tcPr>
            <w:tcW w:w="684" w:type="pct"/>
            <w:noWrap/>
            <w:vAlign w:val="bottom"/>
          </w:tcPr>
          <w:p>
            <w:pPr>
              <w:widowControl/>
              <w:jc w:val="left"/>
              <w:rPr>
                <w:rFonts w:ascii="Times New Roman" w:hAnsi="Times New Roman" w:eastAsia="宋体"/>
                <w:kern w:val="0"/>
                <w:sz w:val="20"/>
                <w:szCs w:val="20"/>
              </w:rPr>
            </w:pPr>
          </w:p>
        </w:tc>
        <w:tc>
          <w:tcPr>
            <w:tcW w:w="538" w:type="pct"/>
            <w:noWrap/>
            <w:vAlign w:val="bottom"/>
          </w:tcPr>
          <w:p>
            <w:pPr>
              <w:widowControl/>
              <w:jc w:val="left"/>
              <w:rPr>
                <w:rFonts w:ascii="Times New Roman" w:hAnsi="Times New Roman" w:eastAsia="宋体"/>
                <w:kern w:val="0"/>
                <w:sz w:val="20"/>
                <w:szCs w:val="20"/>
              </w:rPr>
            </w:pPr>
          </w:p>
        </w:tc>
        <w:tc>
          <w:tcPr>
            <w:tcW w:w="2836" w:type="pct"/>
            <w:gridSpan w:val="5"/>
            <w:noWrap/>
            <w:vAlign w:val="center"/>
          </w:tcPr>
          <w:p>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tblPrEx>
          <w:tblCellMar>
            <w:top w:w="0" w:type="dxa"/>
            <w:left w:w="108" w:type="dxa"/>
            <w:bottom w:w="0" w:type="dxa"/>
            <w:right w:w="108" w:type="dxa"/>
          </w:tblCellMar>
        </w:tblPrEx>
        <w:trPr>
          <w:trHeight w:val="485" w:hRule="atLeast"/>
          <w:tblHeader/>
        </w:trPr>
        <w:tc>
          <w:tcPr>
            <w:tcW w:w="5000" w:type="pct"/>
            <w:gridSpan w:val="9"/>
            <w:noWrap/>
            <w:vAlign w:val="center"/>
          </w:tcPr>
          <w:p>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tblPrEx>
          <w:tblCellMar>
            <w:top w:w="0" w:type="dxa"/>
            <w:left w:w="108" w:type="dxa"/>
            <w:bottom w:w="0" w:type="dxa"/>
            <w:right w:w="108" w:type="dxa"/>
          </w:tblCellMar>
        </w:tblPrEx>
        <w:trPr>
          <w:trHeight w:val="340" w:hRule="atLeast"/>
          <w:tblHeader/>
        </w:trPr>
        <w:tc>
          <w:tcPr>
            <w:tcW w:w="2163" w:type="pct"/>
            <w:gridSpan w:val="4"/>
            <w:noWrap/>
            <w:vAlign w:val="center"/>
          </w:tcPr>
          <w:p>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填报单位:205兴国县科技创新中心</w:t>
            </w:r>
          </w:p>
        </w:tc>
        <w:tc>
          <w:tcPr>
            <w:tcW w:w="742" w:type="pct"/>
            <w:noWrap/>
            <w:vAlign w:val="bottom"/>
          </w:tcPr>
          <w:p>
            <w:pPr>
              <w:widowControl/>
              <w:jc w:val="left"/>
              <w:rPr>
                <w:rFonts w:ascii="Times New Roman" w:hAnsi="Times New Roman" w:eastAsia="宋体"/>
                <w:kern w:val="0"/>
                <w:sz w:val="20"/>
                <w:szCs w:val="20"/>
              </w:rPr>
            </w:pPr>
          </w:p>
        </w:tc>
        <w:tc>
          <w:tcPr>
            <w:tcW w:w="474" w:type="pct"/>
            <w:noWrap/>
            <w:vAlign w:val="bottom"/>
          </w:tcPr>
          <w:p>
            <w:pPr>
              <w:widowControl/>
              <w:jc w:val="left"/>
              <w:rPr>
                <w:rFonts w:ascii="Times New Roman" w:hAnsi="Times New Roman" w:eastAsia="宋体"/>
                <w:kern w:val="0"/>
                <w:sz w:val="20"/>
                <w:szCs w:val="20"/>
              </w:rPr>
            </w:pPr>
          </w:p>
        </w:tc>
        <w:tc>
          <w:tcPr>
            <w:tcW w:w="596" w:type="pct"/>
            <w:noWrap/>
            <w:vAlign w:val="bottom"/>
          </w:tcPr>
          <w:p>
            <w:pPr>
              <w:widowControl/>
              <w:jc w:val="left"/>
              <w:rPr>
                <w:rFonts w:ascii="Times New Roman" w:hAnsi="Times New Roman" w:eastAsia="宋体"/>
                <w:kern w:val="0"/>
                <w:sz w:val="20"/>
                <w:szCs w:val="20"/>
              </w:rPr>
            </w:pPr>
          </w:p>
        </w:tc>
        <w:tc>
          <w:tcPr>
            <w:tcW w:w="1023" w:type="pct"/>
            <w:gridSpan w:val="2"/>
            <w:noWrap/>
            <w:vAlign w:val="bottom"/>
          </w:tcPr>
          <w:p>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因公出国(境)费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4.89</w:t>
            </w:r>
          </w:p>
        </w:tc>
        <w:tc>
          <w:tcPr>
            <w:tcW w:w="684" w:type="pct"/>
            <w:tcBorders>
              <w:top w:val="single" w:color="000000" w:sz="4" w:space="0"/>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4.89</w:t>
            </w:r>
          </w:p>
        </w:tc>
        <w:tc>
          <w:tcPr>
            <w:tcW w:w="596" w:type="pct"/>
            <w:tcBorders>
              <w:top w:val="single" w:color="000000" w:sz="4" w:space="0"/>
              <w:left w:val="single" w:color="000000" w:sz="4" w:space="0"/>
              <w:bottom w:val="single" w:color="000000" w:sz="4" w:space="0"/>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tblPrEx>
          <w:tblCellMar>
            <w:top w:w="0" w:type="dxa"/>
            <w:left w:w="108" w:type="dxa"/>
            <w:bottom w:w="0" w:type="dxa"/>
            <w:right w:w="108" w:type="dxa"/>
          </w:tblCellMar>
        </w:tblPrEx>
        <w:trPr>
          <w:trHeight w:val="507" w:hRule="atLeast"/>
          <w:tblHeader/>
        </w:trPr>
        <w:tc>
          <w:tcPr>
            <w:tcW w:w="976" w:type="pct"/>
            <w:noWrap/>
            <w:vAlign w:val="bottom"/>
          </w:tcPr>
          <w:p>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pPr>
              <w:widowControl/>
              <w:jc w:val="left"/>
              <w:rPr>
                <w:rFonts w:ascii="Times New Roman" w:hAnsi="Times New Roman" w:eastAsia="宋体"/>
                <w:kern w:val="0"/>
                <w:sz w:val="20"/>
                <w:szCs w:val="20"/>
              </w:rPr>
            </w:pPr>
          </w:p>
        </w:tc>
        <w:tc>
          <w:tcPr>
            <w:tcW w:w="2801" w:type="pct"/>
            <w:gridSpan w:val="3"/>
            <w:noWrap/>
            <w:vAlign w:val="center"/>
          </w:tcPr>
          <w:p>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tblPrEx>
          <w:tblCellMar>
            <w:top w:w="0" w:type="dxa"/>
            <w:left w:w="108" w:type="dxa"/>
            <w:bottom w:w="0" w:type="dxa"/>
            <w:right w:w="108" w:type="dxa"/>
          </w:tblCellMar>
        </w:tblPrEx>
        <w:trPr>
          <w:trHeight w:val="564" w:hRule="atLeast"/>
          <w:tblHeader/>
        </w:trPr>
        <w:tc>
          <w:tcPr>
            <w:tcW w:w="5000" w:type="pct"/>
            <w:gridSpan w:val="5"/>
            <w:noWrap/>
            <w:vAlign w:val="center"/>
          </w:tcPr>
          <w:p>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tblPrEx>
          <w:tblCellMar>
            <w:top w:w="0" w:type="dxa"/>
            <w:left w:w="108" w:type="dxa"/>
            <w:bottom w:w="0" w:type="dxa"/>
            <w:right w:w="108" w:type="dxa"/>
          </w:tblCellMar>
        </w:tblPrEx>
        <w:trPr>
          <w:trHeight w:val="405" w:hRule="atLeast"/>
          <w:tblHeader/>
        </w:trPr>
        <w:tc>
          <w:tcPr>
            <w:tcW w:w="2198" w:type="pct"/>
            <w:gridSpan w:val="2"/>
            <w:noWrap/>
            <w:vAlign w:val="center"/>
          </w:tcPr>
          <w:p>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填报单位:205兴国县科技创新中心</w:t>
            </w:r>
          </w:p>
        </w:tc>
        <w:tc>
          <w:tcPr>
            <w:tcW w:w="1099" w:type="pct"/>
            <w:noWrap/>
            <w:vAlign w:val="bottom"/>
          </w:tcPr>
          <w:p>
            <w:pPr>
              <w:rPr>
                <w:rFonts w:hint="eastAsia" w:ascii="宋体" w:hAnsi="宋体" w:eastAsia="宋体" w:cs="Arial"/>
                <w:color w:val="000000"/>
                <w:kern w:val="0"/>
                <w:sz w:val="24"/>
                <w:szCs w:val="24"/>
              </w:rPr>
            </w:pPr>
          </w:p>
        </w:tc>
        <w:tc>
          <w:tcPr>
            <w:tcW w:w="766" w:type="pct"/>
            <w:noWrap/>
            <w:vAlign w:val="bottom"/>
          </w:tcPr>
          <w:p>
            <w:pPr>
              <w:widowControl/>
              <w:jc w:val="left"/>
              <w:rPr>
                <w:rFonts w:ascii="Times New Roman" w:hAnsi="Times New Roman" w:eastAsia="宋体"/>
                <w:kern w:val="0"/>
                <w:sz w:val="20"/>
                <w:szCs w:val="20"/>
              </w:rPr>
            </w:pPr>
          </w:p>
        </w:tc>
        <w:tc>
          <w:tcPr>
            <w:tcW w:w="935" w:type="pct"/>
            <w:noWrap/>
            <w:vAlign w:val="center"/>
          </w:tcPr>
          <w:p>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tblPrEx>
          <w:tblCellMar>
            <w:top w:w="0" w:type="dxa"/>
            <w:left w:w="108" w:type="dxa"/>
            <w:bottom w:w="0" w:type="dxa"/>
            <w:right w:w="108" w:type="dxa"/>
          </w:tblCellMar>
        </w:tblPrEx>
        <w:trPr>
          <w:trHeight w:val="619" w:hRule="atLeast"/>
          <w:tblHeader/>
        </w:trPr>
        <w:tc>
          <w:tcPr>
            <w:tcW w:w="960" w:type="pct"/>
            <w:noWrap/>
            <w:vAlign w:val="bottom"/>
          </w:tcPr>
          <w:p>
            <w:pPr>
              <w:rPr>
                <w:rStyle w:val="12"/>
                <w:rFonts w:hint="eastAsia" w:ascii="仿宋" w:hAnsi="仿宋" w:eastAsia="仿宋"/>
                <w:bCs/>
                <w:sz w:val="32"/>
                <w:szCs w:val="32"/>
              </w:rPr>
            </w:pPr>
          </w:p>
        </w:tc>
        <w:tc>
          <w:tcPr>
            <w:tcW w:w="1233" w:type="pct"/>
            <w:noWrap/>
            <w:vAlign w:val="bottom"/>
          </w:tcPr>
          <w:p>
            <w:pPr>
              <w:widowControl/>
              <w:jc w:val="left"/>
              <w:rPr>
                <w:rFonts w:ascii="Times New Roman" w:hAnsi="Times New Roman" w:eastAsia="宋体"/>
                <w:kern w:val="0"/>
                <w:sz w:val="20"/>
                <w:szCs w:val="20"/>
              </w:rPr>
            </w:pPr>
          </w:p>
        </w:tc>
        <w:tc>
          <w:tcPr>
            <w:tcW w:w="2805" w:type="pct"/>
            <w:gridSpan w:val="3"/>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tblPrEx>
          <w:tblCellMar>
            <w:top w:w="0" w:type="dxa"/>
            <w:left w:w="108" w:type="dxa"/>
            <w:bottom w:w="0" w:type="dxa"/>
            <w:right w:w="108" w:type="dxa"/>
          </w:tblCellMar>
        </w:tblPrEx>
        <w:trPr>
          <w:trHeight w:val="613" w:hRule="atLeast"/>
          <w:tblHeader/>
        </w:trPr>
        <w:tc>
          <w:tcPr>
            <w:tcW w:w="5000" w:type="pct"/>
            <w:gridSpan w:val="5"/>
            <w:noWrap/>
            <w:vAlign w:val="center"/>
          </w:tcPr>
          <w:p>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tblPrEx>
          <w:tblCellMar>
            <w:top w:w="0" w:type="dxa"/>
            <w:left w:w="108" w:type="dxa"/>
            <w:bottom w:w="0" w:type="dxa"/>
            <w:right w:w="108" w:type="dxa"/>
          </w:tblCellMar>
        </w:tblPrEx>
        <w:trPr>
          <w:trHeight w:val="413" w:hRule="atLeast"/>
          <w:tblHeader/>
        </w:trPr>
        <w:tc>
          <w:tcPr>
            <w:tcW w:w="3282" w:type="pct"/>
            <w:gridSpan w:val="3"/>
            <w:noWrap/>
            <w:vAlign w:val="center"/>
          </w:tcPr>
          <w:p>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填报单位:205兴国县科技创新中心</w:t>
            </w:r>
          </w:p>
        </w:tc>
        <w:tc>
          <w:tcPr>
            <w:tcW w:w="762" w:type="pct"/>
            <w:noWrap/>
            <w:vAlign w:val="bottom"/>
          </w:tcPr>
          <w:p>
            <w:pPr>
              <w:widowControl/>
              <w:jc w:val="left"/>
              <w:rPr>
                <w:rFonts w:ascii="Times New Roman" w:hAnsi="Times New Roman" w:eastAsia="宋体"/>
                <w:kern w:val="0"/>
                <w:sz w:val="20"/>
                <w:szCs w:val="20"/>
              </w:rPr>
            </w:pPr>
          </w:p>
        </w:tc>
        <w:tc>
          <w:tcPr>
            <w:tcW w:w="954" w:type="pct"/>
            <w:noWrap/>
            <w:vAlign w:val="center"/>
          </w:tcPr>
          <w:p>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10825" w:type="dxa"/>
        <w:tblInd w:w="-7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2"/>
        <w:gridCol w:w="1313"/>
        <w:gridCol w:w="2825"/>
        <w:gridCol w:w="1500"/>
        <w:gridCol w:w="912"/>
        <w:gridCol w:w="338"/>
        <w:gridCol w:w="1412"/>
        <w:gridCol w:w="10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exact"/>
        </w:trPr>
        <w:tc>
          <w:tcPr>
            <w:tcW w:w="10825" w:type="dxa"/>
            <w:gridSpan w:val="8"/>
            <w:tcBorders>
              <w:top w:val="nil"/>
              <w:left w:val="nil"/>
              <w:bottom w:val="single" w:color="000000" w:sz="4" w:space="0"/>
              <w:right w:val="nil"/>
            </w:tcBorders>
            <w:shd w:val="clear" w:color="auto" w:fill="FFFFFF"/>
            <w:noWrap/>
            <w:vAlign w:val="center"/>
          </w:tcPr>
          <w:p>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i w:val="0"/>
                <w:iCs w:val="0"/>
                <w:color w:val="000000"/>
                <w:kern w:val="0"/>
                <w:sz w:val="24"/>
                <w:szCs w:val="24"/>
                <w:u w:val="none"/>
                <w:lang w:val="en-US" w:eastAsia="zh-CN" w:bidi="ar"/>
              </w:rPr>
            </w:pPr>
            <w:r>
              <w:rPr>
                <w:rFonts w:hint="eastAsia" w:asciiTheme="minorEastAsia" w:hAnsiTheme="minorEastAsia" w:eastAsiaTheme="minorEastAsia" w:cstheme="minorEastAsia"/>
                <w:b/>
                <w:bCs w:val="0"/>
                <w:i w:val="0"/>
                <w:iCs w:val="0"/>
                <w:color w:val="000000"/>
                <w:kern w:val="0"/>
                <w:sz w:val="24"/>
                <w:szCs w:val="24"/>
                <w:u w:val="none"/>
                <w:lang w:val="en-US" w:eastAsia="zh-CN" w:bidi="ar"/>
              </w:rPr>
              <w:t>部门整体绩效目标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8" w:hRule="exact"/>
        </w:trPr>
        <w:tc>
          <w:tcPr>
            <w:tcW w:w="28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部门编码</w:t>
            </w:r>
          </w:p>
        </w:tc>
        <w:tc>
          <w:tcPr>
            <w:tcW w:w="2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205</w:t>
            </w:r>
          </w:p>
        </w:tc>
        <w:tc>
          <w:tcPr>
            <w:tcW w:w="2412"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部门名称</w:t>
            </w:r>
          </w:p>
        </w:tc>
        <w:tc>
          <w:tcPr>
            <w:tcW w:w="276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兴国县科技创新中心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exac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Style w:val="15"/>
                <w:rFonts w:hint="eastAsia" w:asciiTheme="minorEastAsia" w:hAnsiTheme="minorEastAsia" w:eastAsiaTheme="minorEastAsia" w:cstheme="minorEastAsia"/>
                <w:b/>
                <w:bCs/>
                <w:color w:val="000000"/>
                <w:sz w:val="18"/>
                <w:szCs w:val="18"/>
                <w:lang w:val="en-US" w:eastAsia="zh-CN" w:bidi="ar"/>
              </w:rPr>
              <w:t>年度绩效总目标</w:t>
            </w:r>
          </w:p>
        </w:tc>
        <w:tc>
          <w:tcPr>
            <w:tcW w:w="9313" w:type="dxa"/>
            <w:gridSpan w:val="7"/>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以习近平新时代中国特色社会主义思想为指导，全面贯彻党的二十届四中全会及省、市相关会议精神，立足新发展阶段，完整、准确、全面贯彻新发展理念，服务和融入新发展格局，紧扣“创新赋能高质量发展”主线，聚焦研发投入提升、创新主体培育、成果转化应用、人才引育集聚四大重点，补短板、强弱项、扬优势，推动科技创新工作再上新台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Theme="minorEastAsia" w:hAnsiTheme="minorEastAsia" w:eastAsiaTheme="minorEastAsia" w:cstheme="minorEastAsia"/>
                <w:b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Theme="minorEastAsia" w:hAnsiTheme="minorEastAsia" w:eastAsiaTheme="minorEastAsia" w:cstheme="minorEastAsia"/>
                <w:b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一级指标</w:t>
            </w:r>
          </w:p>
        </w:tc>
        <w:tc>
          <w:tcPr>
            <w:tcW w:w="13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二级指标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三级指标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计算符号</w:t>
            </w:r>
          </w:p>
        </w:tc>
        <w:tc>
          <w:tcPr>
            <w:tcW w:w="14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目标值</w:t>
            </w:r>
          </w:p>
        </w:tc>
        <w:tc>
          <w:tcPr>
            <w:tcW w:w="10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度量单位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县本级科技计划项目立项</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12</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开展“科技活动周”活动</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入库科技型中小企业</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150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新认定高新技术企业</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11</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新认定高成长型性企业</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技术合同成交额</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15</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引进外专人才</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质量指标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研发支出占地区生产总值之比</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1.4</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时效指标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补助发放及时率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研发费用统计填报补助</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200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每人每月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在职人员控制率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社会效益指标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县域科技创新水平</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提升</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满意度指标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服务对象满意度指标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服务对象满意度</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bl>
    <w:p>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6"/>
        <w:gridCol w:w="1836"/>
        <w:gridCol w:w="2196"/>
        <w:gridCol w:w="936"/>
        <w:gridCol w:w="18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其他科技研究与开发_A科技三项经费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205-兴国县科技创新中心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兴国县科技创新中心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激发企业自主创新的积极性，提升企业自主创新能力和核心竞争力，进而提高县域科技创新能力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重点研发计划重点项目支持经费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＝10万元/项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重点研发计划一般项目支持经费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＝5万元/项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县级科技计划项目立项数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≥12项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支持对象符合政策率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项目及时开展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支持企业数量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≥90%</w:t>
            </w:r>
          </w:p>
        </w:tc>
      </w:tr>
    </w:tbl>
    <w:p>
      <w:pPr>
        <w:rPr>
          <w:rFonts w:hint="eastAsia"/>
          <w:lang w:eastAsia="zh-CN"/>
        </w:rPr>
        <w:sectPr>
          <w:pgSz w:w="11906" w:h="16838"/>
          <w:pgMar w:top="720" w:right="720" w:bottom="720" w:left="720" w:header="851" w:footer="992" w:gutter="0"/>
          <w:cols w:space="425" w:num="1"/>
          <w:docGrid w:type="lines" w:linePitch="312" w:charSpace="0"/>
        </w:sectPr>
      </w:pPr>
    </w:p>
    <w:p>
      <w:pPr>
        <w:pStyle w:val="17"/>
        <w:numPr>
          <w:ilvl w:val="0"/>
          <w:numId w:val="0"/>
        </w:numPr>
        <w:bidi w:val="0"/>
        <w:ind w:left="420" w:leftChars="200"/>
        <w:jc w:val="center"/>
        <w:rPr>
          <w:rFonts w:hint="eastAsia"/>
          <w:lang w:eastAsia="zh-CN"/>
        </w:rPr>
      </w:pPr>
      <w:r>
        <w:rPr>
          <w:rFonts w:hint="eastAsia"/>
          <w:lang w:val="en-US" w:eastAsia="zh-CN"/>
        </w:rPr>
        <w:t>第三部分  兴国县科技创新中心2026年部门预算情况说明</w:t>
      </w:r>
    </w:p>
    <w:p>
      <w:pPr>
        <w:widowControl/>
        <w:spacing w:line="580" w:lineRule="exact"/>
        <w:jc w:val="center"/>
        <w:rPr>
          <w:rFonts w:ascii="仿宋_GB2312" w:eastAsia="仿宋_GB2312"/>
          <w:b/>
          <w:sz w:val="32"/>
          <w:szCs w:val="30"/>
        </w:rPr>
      </w:pPr>
    </w:p>
    <w:p>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年部门预算收支情况说明</w:t>
      </w:r>
    </w:p>
    <w:p>
      <w:pPr>
        <w:pStyle w:val="19"/>
        <w:numPr>
          <w:ilvl w:val="0"/>
          <w:numId w:val="0"/>
        </w:numPr>
        <w:bidi w:val="0"/>
        <w:ind w:left="420" w:leftChars="200"/>
        <w:rPr>
          <w:rFonts w:hint="eastAsia"/>
        </w:rPr>
      </w:pPr>
      <w:r>
        <w:rPr>
          <w:rFonts w:hint="eastAsia"/>
        </w:rPr>
        <w:t xml:space="preserve"> (一)收入预算情况</w:t>
      </w:r>
    </w:p>
    <w:p>
      <w:pPr>
        <w:pStyle w:val="18"/>
        <w:bidi w:val="0"/>
        <w:rPr>
          <w:rFonts w:hint="default"/>
          <w:lang w:val="en-US"/>
        </w:rPr>
      </w:pPr>
      <w:r>
        <w:rPr>
          <w:rFonts w:hint="eastAsia"/>
          <w:lang w:eastAsia="zh-CN"/>
        </w:rPr>
        <w:t>2026</w:t>
      </w:r>
      <w:r>
        <w:rPr>
          <w:rFonts w:hint="eastAsia"/>
        </w:rPr>
        <w:t>年</w:t>
      </w:r>
      <w:r>
        <w:rPr>
          <w:rFonts w:hint="eastAsia"/>
          <w:lang w:eastAsia="zh-CN"/>
        </w:rPr>
        <w:t>兴国县科技创新中心</w:t>
      </w:r>
      <w:r>
        <w:rPr>
          <w:rFonts w:hint="eastAsia"/>
        </w:rPr>
        <w:t>收入预算总额为498.89万元</w:t>
      </w:r>
      <w:r>
        <w:rPr>
          <w:rFonts w:hint="eastAsia"/>
          <w:lang w:eastAsia="zh-CN"/>
        </w:rPr>
        <w:t>，</w:t>
      </w:r>
      <w:r>
        <w:rPr>
          <w:rFonts w:hint="eastAsia"/>
        </w:rPr>
        <w:t>较上年预算安排增加</w:t>
      </w:r>
      <w:r>
        <w:rPr>
          <w:rFonts w:hint="eastAsia"/>
          <w:lang w:val="en-US" w:eastAsia="zh-CN"/>
        </w:rPr>
        <w:t>48.58</w:t>
      </w:r>
      <w:r>
        <w:rPr>
          <w:rFonts w:hint="eastAsia"/>
        </w:rPr>
        <w:t>万元</w:t>
      </w:r>
      <w:r>
        <w:rPr>
          <w:rFonts w:hint="eastAsia"/>
          <w:lang w:eastAsia="zh-CN"/>
        </w:rPr>
        <w:t>；本年收入合计480.89万元，较上年预算安排增加</w:t>
      </w:r>
      <w:r>
        <w:rPr>
          <w:rFonts w:hint="eastAsia"/>
          <w:lang w:val="en-US" w:eastAsia="zh-CN"/>
        </w:rPr>
        <w:t>30.58</w:t>
      </w:r>
      <w:r>
        <w:rPr>
          <w:rFonts w:hint="eastAsia"/>
          <w:lang w:eastAsia="zh-CN"/>
        </w:rPr>
        <w:t>万元；包括：财政拨款收入475.89万元，较上年预算安排增加</w:t>
      </w:r>
      <w:r>
        <w:rPr>
          <w:rFonts w:hint="eastAsia"/>
          <w:lang w:val="en-US" w:eastAsia="zh-CN"/>
        </w:rPr>
        <w:t>30.68</w:t>
      </w:r>
      <w:r>
        <w:rPr>
          <w:rFonts w:hint="eastAsia"/>
          <w:lang w:eastAsia="zh-CN"/>
        </w:rPr>
        <w:t>万元；其他收入5.00万元，较上年预算安排减少</w:t>
      </w:r>
      <w:r>
        <w:rPr>
          <w:rFonts w:hint="eastAsia"/>
          <w:lang w:val="en-US" w:eastAsia="zh-CN"/>
        </w:rPr>
        <w:t>0.1</w:t>
      </w:r>
      <w:r>
        <w:rPr>
          <w:rFonts w:hint="eastAsia"/>
          <w:lang w:eastAsia="zh-CN"/>
        </w:rPr>
        <w:t>万元。上年结转18.00万元，较上年预算安排增加</w:t>
      </w:r>
      <w:r>
        <w:rPr>
          <w:rFonts w:hint="eastAsia"/>
          <w:lang w:val="en-US" w:eastAsia="zh-CN"/>
        </w:rPr>
        <w:t>18</w:t>
      </w:r>
      <w:r>
        <w:rPr>
          <w:rFonts w:hint="eastAsia"/>
          <w:lang w:eastAsia="zh-CN"/>
        </w:rPr>
        <w:t>万元。</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2025年工资普调，工资支出增加较多。</w:t>
      </w:r>
    </w:p>
    <w:p>
      <w:pPr>
        <w:pStyle w:val="19"/>
        <w:numPr>
          <w:ilvl w:val="0"/>
          <w:numId w:val="0"/>
        </w:numPr>
        <w:bidi w:val="0"/>
        <w:ind w:left="420" w:leftChars="200"/>
        <w:rPr>
          <w:rFonts w:hint="eastAsia"/>
        </w:rPr>
      </w:pPr>
      <w:r>
        <w:rPr>
          <w:rFonts w:hint="eastAsia"/>
        </w:rPr>
        <w:t xml:space="preserve"> </w:t>
      </w:r>
      <w:r>
        <w:rPr>
          <w:rFonts w:hint="eastAsia"/>
          <w:lang w:val="en-US" w:eastAsia="zh-CN"/>
        </w:rPr>
        <w:t>(二)支出预算情况</w:t>
      </w:r>
    </w:p>
    <w:p>
      <w:pPr>
        <w:pStyle w:val="18"/>
        <w:bidi w:val="0"/>
        <w:rPr>
          <w:rFonts w:hint="eastAsia"/>
        </w:rPr>
      </w:pPr>
      <w:r>
        <w:rPr>
          <w:rFonts w:hint="eastAsia"/>
          <w:lang w:eastAsia="zh-CN"/>
        </w:rPr>
        <w:t>2026</w:t>
      </w:r>
      <w:r>
        <w:rPr>
          <w:rFonts w:hint="eastAsia"/>
        </w:rPr>
        <w:t>年</w:t>
      </w:r>
      <w:r>
        <w:rPr>
          <w:rFonts w:hint="eastAsia"/>
          <w:lang w:eastAsia="zh-CN"/>
        </w:rPr>
        <w:t>兴国县科技创新中心</w:t>
      </w:r>
      <w:r>
        <w:rPr>
          <w:rFonts w:hint="eastAsia"/>
        </w:rPr>
        <w:t>支出预算总额为498.89万元</w:t>
      </w:r>
      <w:r>
        <w:rPr>
          <w:rFonts w:hint="eastAsia"/>
          <w:lang w:eastAsia="zh-CN"/>
        </w:rPr>
        <w:t>，</w:t>
      </w:r>
      <w:r>
        <w:rPr>
          <w:rFonts w:hint="eastAsia"/>
        </w:rPr>
        <w:t>较上年预算安排增加</w:t>
      </w:r>
      <w:r>
        <w:rPr>
          <w:rFonts w:hint="eastAsia"/>
          <w:lang w:val="en-US" w:eastAsia="zh-CN"/>
        </w:rPr>
        <w:t>48.58</w:t>
      </w:r>
      <w:r>
        <w:rPr>
          <w:rFonts w:hint="eastAsia"/>
        </w:rPr>
        <w:t xml:space="preserve">万元。 </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2025年工资普调，工资支出增加较多。</w:t>
      </w:r>
    </w:p>
    <w:p>
      <w:pPr>
        <w:pStyle w:val="18"/>
        <w:bidi w:val="0"/>
        <w:rPr>
          <w:rFonts w:hint="eastAsia"/>
        </w:rPr>
      </w:pPr>
      <w:r>
        <w:rPr>
          <w:rFonts w:hint="eastAsia"/>
        </w:rPr>
        <w:t>按支出项目类别划分：基本支出250.73万元</w:t>
      </w:r>
      <w:r>
        <w:rPr>
          <w:rFonts w:hint="eastAsia"/>
          <w:lang w:eastAsia="zh-CN"/>
        </w:rPr>
        <w:t>，</w:t>
      </w:r>
      <w:r>
        <w:rPr>
          <w:rFonts w:hint="eastAsia"/>
        </w:rPr>
        <w:t>较上年预算安排增加</w:t>
      </w:r>
      <w:r>
        <w:rPr>
          <w:rFonts w:hint="eastAsia"/>
          <w:lang w:val="en-US" w:eastAsia="zh-CN"/>
        </w:rPr>
        <w:t>32.86</w:t>
      </w:r>
      <w:r>
        <w:rPr>
          <w:rFonts w:hint="eastAsia"/>
        </w:rPr>
        <w:t>万元</w:t>
      </w:r>
      <w:r>
        <w:rPr>
          <w:rFonts w:hint="eastAsia"/>
          <w:lang w:eastAsia="zh-CN"/>
        </w:rPr>
        <w:t>；</w:t>
      </w:r>
      <w:r>
        <w:rPr>
          <w:rFonts w:hint="eastAsia"/>
        </w:rPr>
        <w:t>项目支出248.16万元</w:t>
      </w:r>
      <w:r>
        <w:rPr>
          <w:rFonts w:hint="eastAsia"/>
          <w:lang w:eastAsia="zh-CN"/>
        </w:rPr>
        <w:t>，</w:t>
      </w:r>
      <w:r>
        <w:rPr>
          <w:rFonts w:hint="eastAsia"/>
        </w:rPr>
        <w:t>较上年预算安排增加</w:t>
      </w:r>
      <w:r>
        <w:rPr>
          <w:rFonts w:hint="eastAsia"/>
          <w:lang w:val="en-US" w:eastAsia="zh-CN"/>
        </w:rPr>
        <w:t>15.72</w:t>
      </w:r>
      <w:r>
        <w:rPr>
          <w:rFonts w:hint="eastAsia"/>
        </w:rPr>
        <w:t>万元。</w:t>
      </w:r>
    </w:p>
    <w:p>
      <w:pPr>
        <w:pStyle w:val="18"/>
        <w:bidi w:val="0"/>
        <w:rPr>
          <w:rFonts w:hint="eastAsia"/>
        </w:rPr>
      </w:pPr>
      <w:r>
        <w:rPr>
          <w:rFonts w:hint="eastAsia"/>
        </w:rPr>
        <w:t>按支出功能科目划分：科学技术支出424.19万元，较上年预算安排增加</w:t>
      </w:r>
      <w:r>
        <w:rPr>
          <w:rFonts w:hint="eastAsia"/>
          <w:lang w:val="en-US" w:eastAsia="zh-CN"/>
        </w:rPr>
        <w:t>39.88</w:t>
      </w:r>
      <w:r>
        <w:rPr>
          <w:rFonts w:hint="eastAsia"/>
        </w:rPr>
        <w:t>万元；社会保障和就业支出30.17万元，较上年预算安排减少</w:t>
      </w:r>
      <w:r>
        <w:rPr>
          <w:rFonts w:hint="eastAsia"/>
          <w:lang w:val="en-US" w:eastAsia="zh-CN"/>
        </w:rPr>
        <w:t>3</w:t>
      </w:r>
      <w:r>
        <w:rPr>
          <w:rFonts w:hint="eastAsia"/>
        </w:rPr>
        <w:t>万元；卫生健康支出18.48万元，较上年预算安排增加</w:t>
      </w:r>
      <w:r>
        <w:rPr>
          <w:rFonts w:hint="eastAsia"/>
          <w:lang w:val="en-US" w:eastAsia="zh-CN"/>
        </w:rPr>
        <w:t>9.54</w:t>
      </w:r>
      <w:r>
        <w:rPr>
          <w:rFonts w:hint="eastAsia"/>
        </w:rPr>
        <w:t>万元；住房保障支出21.05万元，较上年预算安排增加</w:t>
      </w:r>
      <w:r>
        <w:rPr>
          <w:rFonts w:hint="eastAsia"/>
          <w:lang w:val="en-US" w:eastAsia="zh-CN"/>
        </w:rPr>
        <w:t>2.26</w:t>
      </w:r>
      <w:r>
        <w:rPr>
          <w:rFonts w:hint="eastAsia"/>
        </w:rPr>
        <w:t>万元；其他支出5.00万元，较上年预算安排减少</w:t>
      </w:r>
      <w:r>
        <w:rPr>
          <w:rFonts w:hint="eastAsia"/>
          <w:lang w:val="en-US" w:eastAsia="zh-CN"/>
        </w:rPr>
        <w:t>0.1</w:t>
      </w:r>
      <w:r>
        <w:rPr>
          <w:rFonts w:hint="eastAsia"/>
        </w:rPr>
        <w:t>万元。</w:t>
      </w:r>
    </w:p>
    <w:p>
      <w:pPr>
        <w:pStyle w:val="18"/>
        <w:bidi w:val="0"/>
        <w:rPr>
          <w:rFonts w:hint="eastAsia"/>
        </w:rPr>
      </w:pPr>
      <w:r>
        <w:rPr>
          <w:rFonts w:hint="eastAsia"/>
        </w:rPr>
        <w:t>按支出经济分类划分：工资福利支出231.51万元，较上年预算安排增加</w:t>
      </w:r>
      <w:r>
        <w:rPr>
          <w:rFonts w:hint="eastAsia"/>
          <w:lang w:val="en-US" w:eastAsia="zh-CN"/>
        </w:rPr>
        <w:t>31.94</w:t>
      </w:r>
      <w:r>
        <w:rPr>
          <w:rFonts w:hint="eastAsia"/>
        </w:rPr>
        <w:t>万元；商品和服务支出65.40万元，较上年预算安排增加</w:t>
      </w:r>
      <w:r>
        <w:rPr>
          <w:rFonts w:hint="eastAsia"/>
          <w:lang w:val="en-US" w:eastAsia="zh-CN"/>
        </w:rPr>
        <w:t>40.52</w:t>
      </w:r>
      <w:r>
        <w:rPr>
          <w:rFonts w:hint="eastAsia"/>
        </w:rPr>
        <w:t>万元；对个人和家庭的补助4.32万元，较上年预算安排增加</w:t>
      </w:r>
      <w:r>
        <w:rPr>
          <w:rFonts w:hint="eastAsia"/>
          <w:lang w:val="en-US" w:eastAsia="zh-CN"/>
        </w:rPr>
        <w:t>0.6</w:t>
      </w:r>
      <w:r>
        <w:rPr>
          <w:rFonts w:hint="eastAsia"/>
        </w:rPr>
        <w:t>万元；资本性支出</w:t>
      </w:r>
      <w:r>
        <w:rPr>
          <w:rFonts w:hint="eastAsia"/>
          <w:lang w:val="en-US" w:eastAsia="zh-CN"/>
        </w:rPr>
        <w:t>0</w:t>
      </w:r>
      <w:r>
        <w:rPr>
          <w:rFonts w:hint="eastAsia"/>
        </w:rPr>
        <w:t>.50万元，较上年预算安排减少</w:t>
      </w:r>
      <w:r>
        <w:rPr>
          <w:rFonts w:hint="eastAsia"/>
          <w:lang w:val="en-US" w:eastAsia="zh-CN"/>
        </w:rPr>
        <w:t>3.59</w:t>
      </w:r>
      <w:r>
        <w:rPr>
          <w:rFonts w:hint="eastAsia"/>
        </w:rPr>
        <w:t>万元；其他支出197.16万元，较上年预算安排减少</w:t>
      </w:r>
      <w:r>
        <w:rPr>
          <w:rFonts w:hint="eastAsia"/>
          <w:lang w:val="en-US" w:eastAsia="zh-CN"/>
        </w:rPr>
        <w:t>20.89</w:t>
      </w:r>
      <w:r>
        <w:rPr>
          <w:rFonts w:hint="eastAsia"/>
        </w:rPr>
        <w:t>万元。</w:t>
      </w:r>
    </w:p>
    <w:p>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pPr>
        <w:pStyle w:val="18"/>
        <w:bidi w:val="0"/>
        <w:rPr>
          <w:rFonts w:hint="eastAsia"/>
        </w:rPr>
      </w:pPr>
      <w:r>
        <w:rPr>
          <w:rFonts w:hint="eastAsia"/>
          <w:lang w:eastAsia="zh-CN"/>
        </w:rPr>
        <w:t>2026</w:t>
      </w:r>
      <w:r>
        <w:rPr>
          <w:rFonts w:hint="eastAsia"/>
        </w:rPr>
        <w:t>年</w:t>
      </w:r>
      <w:r>
        <w:rPr>
          <w:rFonts w:hint="eastAsia"/>
          <w:lang w:eastAsia="zh-CN"/>
        </w:rPr>
        <w:t>兴国县科技创新中心</w:t>
      </w:r>
      <w:r>
        <w:rPr>
          <w:rFonts w:hint="eastAsia"/>
        </w:rPr>
        <w:t>财政拨款支出预算总额493.89万元,较上年预算安排增加</w:t>
      </w:r>
      <w:r>
        <w:rPr>
          <w:rFonts w:hint="eastAsia"/>
          <w:lang w:val="en-US" w:eastAsia="zh-CN"/>
        </w:rPr>
        <w:t>48.68</w:t>
      </w:r>
      <w:r>
        <w:rPr>
          <w:rFonts w:hint="eastAsia"/>
        </w:rPr>
        <w:t>万元。</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2025年工资普调，工资支出增加较多。</w:t>
      </w:r>
    </w:p>
    <w:p>
      <w:pPr>
        <w:pStyle w:val="18"/>
        <w:bidi w:val="0"/>
        <w:rPr>
          <w:rFonts w:hint="eastAsia"/>
        </w:rPr>
      </w:pPr>
      <w:r>
        <w:rPr>
          <w:rFonts w:hint="eastAsia"/>
        </w:rPr>
        <w:t>按支出功能科目划分：科学技术支出424.19万元，社会保障和就业支出30.17万元，卫生健康支出18.48万元，住房保障支出21.05万元。</w:t>
      </w:r>
    </w:p>
    <w:p>
      <w:pPr>
        <w:pStyle w:val="18"/>
        <w:bidi w:val="0"/>
        <w:rPr>
          <w:rFonts w:hint="eastAsia"/>
        </w:rPr>
      </w:pPr>
      <w:r>
        <w:rPr>
          <w:rFonts w:hint="eastAsia"/>
        </w:rPr>
        <w:t>按支出项目类别划分：基本支出250.73万元,项目支出243.16万元。</w:t>
      </w:r>
    </w:p>
    <w:p>
      <w:pPr>
        <w:pStyle w:val="18"/>
        <w:bidi w:val="0"/>
        <w:rPr>
          <w:rFonts w:hint="eastAsia"/>
        </w:rPr>
      </w:pPr>
      <w:r>
        <w:rPr>
          <w:rFonts w:hint="eastAsia"/>
        </w:rPr>
        <w:t>按支</w:t>
      </w:r>
      <w:r>
        <w:rPr>
          <w:rFonts w:hint="eastAsia"/>
          <w:lang w:val="en-US" w:eastAsia="zh-CN"/>
        </w:rPr>
        <w:t>出经济分类</w:t>
      </w:r>
      <w:r>
        <w:rPr>
          <w:rFonts w:hint="eastAsia"/>
        </w:rPr>
        <w:t>划分：工资福利支出231.51万元，商品和服务支出65.40万元，对个人和家庭的补助4.32万元，资本性支出0.50万元，其他支出192.16万元。</w:t>
      </w:r>
    </w:p>
    <w:p>
      <w:pPr>
        <w:pStyle w:val="19"/>
        <w:numPr>
          <w:ilvl w:val="0"/>
          <w:numId w:val="0"/>
        </w:numPr>
        <w:bidi w:val="0"/>
        <w:ind w:firstLine="643" w:firstLineChars="200"/>
        <w:rPr>
          <w:rFonts w:hint="eastAsia"/>
          <w:lang w:val="en-US" w:eastAsia="zh-CN"/>
        </w:rPr>
      </w:pPr>
      <w:r>
        <w:rPr>
          <w:rFonts w:hint="eastAsia"/>
        </w:rPr>
        <w:t>(</w:t>
      </w:r>
      <w:r>
        <w:rPr>
          <w:rFonts w:hint="eastAsia"/>
          <w:lang w:val="en-US" w:eastAsia="zh-CN"/>
        </w:rPr>
        <w:t>四)政府性基金情况</w:t>
      </w:r>
    </w:p>
    <w:p>
      <w:pPr>
        <w:pStyle w:val="18"/>
        <w:bidi w:val="0"/>
        <w:rPr>
          <w:rFonts w:hint="eastAsia" w:eastAsia="仿宋_GB2312"/>
          <w:lang w:eastAsia="zh-CN"/>
        </w:rPr>
      </w:pPr>
      <w:r>
        <w:rPr>
          <w:rFonts w:hint="eastAsia"/>
        </w:rPr>
        <w:t>本部门没有使用政府性基金预算拨款安排的支出</w:t>
      </w:r>
      <w:r>
        <w:rPr>
          <w:rFonts w:hint="eastAsia"/>
          <w:lang w:eastAsia="zh-CN"/>
        </w:rPr>
        <w:t>。</w:t>
      </w:r>
    </w:p>
    <w:p>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pPr>
        <w:pStyle w:val="18"/>
        <w:bidi w:val="0"/>
        <w:rPr>
          <w:rFonts w:hint="eastAsia" w:eastAsia="仿宋_GB2312"/>
          <w:lang w:eastAsia="zh-CN"/>
        </w:rPr>
      </w:pPr>
      <w:r>
        <w:rPr>
          <w:rFonts w:hint="eastAsia"/>
        </w:rPr>
        <w:t>本部门没有使用国有资本经营预算拨款安排的支出</w:t>
      </w:r>
      <w:r>
        <w:rPr>
          <w:rFonts w:hint="eastAsia"/>
          <w:lang w:eastAsia="zh-CN"/>
        </w:rPr>
        <w:t>。</w:t>
      </w:r>
    </w:p>
    <w:p>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pPr>
        <w:pStyle w:val="18"/>
        <w:bidi w:val="0"/>
        <w:rPr>
          <w:rFonts w:hint="eastAsia" w:eastAsia="仿宋_GB2312"/>
          <w:lang w:eastAsia="zh-CN"/>
        </w:rPr>
      </w:pPr>
      <w:r>
        <w:rPr>
          <w:rFonts w:hint="eastAsia"/>
          <w:lang w:eastAsia="zh-CN"/>
        </w:rPr>
        <w:t>2026</w:t>
      </w:r>
      <w:r>
        <w:rPr>
          <w:rFonts w:hint="eastAsia"/>
        </w:rPr>
        <w:t>年部门机关运行</w:t>
      </w:r>
      <w:r>
        <w:rPr>
          <w:rFonts w:hint="eastAsia"/>
          <w:lang w:eastAsia="zh-CN"/>
        </w:rPr>
        <w:t>经</w:t>
      </w:r>
      <w:r>
        <w:rPr>
          <w:rFonts w:hint="eastAsia"/>
        </w:rPr>
        <w:t>费预算</w:t>
      </w:r>
      <w:r>
        <w:rPr>
          <w:rFonts w:hint="eastAsia"/>
          <w:lang w:val="en-US" w:eastAsia="zh-CN"/>
        </w:rPr>
        <w:t>14.9</w:t>
      </w:r>
      <w:r>
        <w:rPr>
          <w:rFonts w:hint="eastAsia"/>
        </w:rPr>
        <w:t>万元，比2025年预算增加</w:t>
      </w:r>
      <w:r>
        <w:rPr>
          <w:rFonts w:hint="eastAsia"/>
          <w:lang w:val="en-US" w:eastAsia="zh-CN"/>
        </w:rPr>
        <w:t>0.8</w:t>
      </w:r>
      <w:r>
        <w:rPr>
          <w:rFonts w:hint="eastAsia"/>
        </w:rPr>
        <w:t>万元，增长</w:t>
      </w:r>
      <w:r>
        <w:rPr>
          <w:rFonts w:hint="eastAsia"/>
          <w:lang w:val="en-US" w:eastAsia="zh-CN"/>
        </w:rPr>
        <w:t>5.67</w:t>
      </w:r>
      <w:r>
        <w:rPr>
          <w:rFonts w:hint="eastAsia"/>
        </w:rPr>
        <w:t>%</w:t>
      </w:r>
      <w:r>
        <w:rPr>
          <w:rFonts w:hint="eastAsia"/>
          <w:lang w:eastAsia="zh-CN"/>
        </w:rPr>
        <w:t>。增减变化的主要原因是：在职人数增加。</w:t>
      </w:r>
    </w:p>
    <w:p>
      <w:pPr>
        <w:pStyle w:val="19"/>
        <w:numPr>
          <w:ilvl w:val="0"/>
          <w:numId w:val="0"/>
        </w:numPr>
        <w:bidi w:val="0"/>
        <w:ind w:firstLine="643" w:firstLineChars="200"/>
        <w:rPr>
          <w:rFonts w:hint="eastAsia"/>
          <w:lang w:val="en-US" w:eastAsia="zh-CN"/>
        </w:rPr>
      </w:pPr>
      <w:r>
        <w:rPr>
          <w:rFonts w:hint="eastAsia"/>
          <w:lang w:val="en-US" w:eastAsia="zh-CN"/>
        </w:rPr>
        <w:t>(七)政府采购情况</w:t>
      </w:r>
      <w:bookmarkStart w:id="0" w:name="_GoBack"/>
      <w:bookmarkEnd w:id="0"/>
    </w:p>
    <w:p>
      <w:pPr>
        <w:pStyle w:val="18"/>
        <w:bidi w:val="0"/>
        <w:rPr>
          <w:rFonts w:hint="eastAsia"/>
          <w:lang w:eastAsia="zh-CN"/>
        </w:rPr>
      </w:pPr>
      <w:r>
        <w:rPr>
          <w:rFonts w:hint="eastAsia"/>
          <w:lang w:eastAsia="zh-CN"/>
        </w:rPr>
        <w:t>2026年部门所属各单位政府采购总额 6.20</w:t>
      </w:r>
      <w:r>
        <w:rPr>
          <w:rFonts w:hint="eastAsia"/>
          <w:lang w:val="en-US" w:eastAsia="zh-CN"/>
        </w:rPr>
        <w:t xml:space="preserve"> </w:t>
      </w:r>
      <w:r>
        <w:rPr>
          <w:rFonts w:hint="eastAsia"/>
          <w:lang w:eastAsia="zh-CN"/>
        </w:rPr>
        <w:t>万元,其中: 政府采购货物预算0.74 万元, 政府采购工程预算 0.00</w:t>
      </w:r>
      <w:r>
        <w:rPr>
          <w:rFonts w:hint="eastAsia"/>
          <w:lang w:val="en-US" w:eastAsia="zh-CN"/>
        </w:rPr>
        <w:t xml:space="preserve"> </w:t>
      </w:r>
      <w:r>
        <w:rPr>
          <w:rFonts w:hint="eastAsia"/>
          <w:lang w:eastAsia="zh-CN"/>
        </w:rPr>
        <w:t>万元, 政府采购服务预算 5.46 万元。</w:t>
      </w:r>
    </w:p>
    <w:p>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pPr>
        <w:pStyle w:val="18"/>
        <w:bidi w:val="0"/>
        <w:rPr>
          <w:rFonts w:hint="eastAsia"/>
          <w:lang w:eastAsia="zh-CN"/>
        </w:rPr>
      </w:pPr>
      <w:r>
        <w:rPr>
          <w:rFonts w:hint="eastAsia"/>
          <w:lang w:eastAsia="zh-CN"/>
        </w:rPr>
        <w:t>截至2025年7月31日, 部门共有车辆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pPr>
        <w:pStyle w:val="18"/>
        <w:bidi w:val="0"/>
        <w:rPr>
          <w:rFonts w:hint="eastAsia"/>
          <w:lang w:eastAsia="zh-CN"/>
        </w:rPr>
      </w:pPr>
      <w:r>
        <w:rPr>
          <w:rFonts w:hint="eastAsia"/>
          <w:lang w:eastAsia="zh-CN"/>
        </w:rPr>
        <w:t>2026年部门预算安排购置车辆</w:t>
      </w:r>
      <w:r>
        <w:rPr>
          <w:rFonts w:hint="eastAsia"/>
          <w:lang w:val="en-US" w:eastAsia="zh-CN"/>
        </w:rPr>
        <w:t>0</w:t>
      </w:r>
      <w:r>
        <w:rPr>
          <w:rFonts w:hint="eastAsia"/>
          <w:lang w:eastAsia="zh-CN"/>
        </w:rPr>
        <w:t>辆，安排购置单位价值200万元以上大型设备具体为：无。</w:t>
      </w:r>
    </w:p>
    <w:p>
      <w:pPr>
        <w:pStyle w:val="18"/>
        <w:bidi w:val="0"/>
        <w:rPr>
          <w:rFonts w:hint="eastAsia"/>
          <w:lang w:eastAsia="zh-CN"/>
        </w:rPr>
      </w:pPr>
      <w:r>
        <w:rPr>
          <w:rFonts w:hint="eastAsia"/>
          <w:lang w:eastAsia="zh-CN"/>
        </w:rPr>
        <w:t>（为“0”的内容也应保留，如“部门共有车辆0辆”）</w:t>
      </w:r>
    </w:p>
    <w:p>
      <w:pPr>
        <w:pStyle w:val="19"/>
        <w:numPr>
          <w:ilvl w:val="0"/>
          <w:numId w:val="0"/>
        </w:numPr>
        <w:bidi w:val="0"/>
        <w:ind w:firstLine="643" w:firstLineChars="200"/>
        <w:rPr>
          <w:rFonts w:hint="eastAsia"/>
          <w:lang w:val="en-US" w:eastAsia="zh-CN"/>
        </w:rPr>
      </w:pPr>
      <w:r>
        <w:rPr>
          <w:rFonts w:hint="eastAsia"/>
          <w:lang w:val="en-US" w:eastAsia="zh-CN"/>
        </w:rPr>
        <w:t>(九)其他科技研究与开发_A科技三项经费项目情况说明</w:t>
      </w:r>
    </w:p>
    <w:p>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val="en-US" w:eastAsia="zh-CN"/>
        </w:rPr>
        <w:t>（</w:t>
      </w:r>
      <w:r>
        <w:rPr>
          <w:rFonts w:hint="eastAsia"/>
          <w:lang w:eastAsia="zh-CN"/>
        </w:rPr>
        <w:t>1）项目概述：</w:t>
      </w:r>
      <w:r>
        <w:rPr>
          <w:rFonts w:hint="eastAsia" w:ascii="仿宋" w:hAnsi="仿宋" w:eastAsia="仿宋" w:cs="仿宋"/>
          <w:sz w:val="32"/>
          <w:szCs w:val="32"/>
          <w:u w:val="none"/>
          <w:shd w:val="clear" w:color="auto" w:fill="FFFFFF"/>
        </w:rPr>
        <w:t>科技三项经费用于支持县本级科技计划项目。</w:t>
      </w:r>
    </w:p>
    <w:p>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eastAsia="zh-CN"/>
        </w:rPr>
        <w:t>（2）立项依据：</w:t>
      </w:r>
      <w:r>
        <w:rPr>
          <w:rFonts w:hint="eastAsia" w:ascii="仿宋" w:hAnsi="仿宋" w:eastAsia="仿宋" w:cs="仿宋"/>
          <w:sz w:val="32"/>
          <w:szCs w:val="32"/>
          <w:u w:val="none"/>
          <w:lang w:eastAsia="zh-CN"/>
        </w:rPr>
        <w:t>兴国县人民政府财政拨款抄告件</w:t>
      </w:r>
      <w:r>
        <w:rPr>
          <w:rFonts w:hint="eastAsia" w:ascii="仿宋" w:hAnsi="仿宋" w:eastAsia="仿宋" w:cs="仿宋"/>
          <w:sz w:val="32"/>
          <w:szCs w:val="32"/>
          <w:u w:val="none"/>
        </w:rPr>
        <w:t>（兴府办拨款抄字[2022]252号）</w:t>
      </w:r>
    </w:p>
    <w:p>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eastAsia="zh-CN"/>
        </w:rPr>
        <w:t>（3）实施主体：</w:t>
      </w:r>
      <w:r>
        <w:rPr>
          <w:rFonts w:hint="eastAsia" w:ascii="仿宋" w:hAnsi="仿宋" w:eastAsia="仿宋" w:cs="仿宋"/>
          <w:sz w:val="32"/>
          <w:szCs w:val="32"/>
          <w:u w:val="none"/>
        </w:rPr>
        <w:t>兴国县科技创新中心</w:t>
      </w:r>
    </w:p>
    <w:p>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eastAsia="zh-CN"/>
        </w:rPr>
        <w:t>（4）实施方案：</w:t>
      </w:r>
      <w:r>
        <w:rPr>
          <w:rFonts w:hint="eastAsia"/>
          <w:lang w:val="en-US" w:eastAsia="zh-CN"/>
        </w:rPr>
        <w:t>县本级科技计划项目</w:t>
      </w:r>
      <w:r>
        <w:rPr>
          <w:rFonts w:hint="eastAsia"/>
          <w:lang w:eastAsia="zh-CN"/>
        </w:rPr>
        <w:t>重点支持电子信息、现代农业、有色金属与新型建材、新材料新能源、装备制造、绿色食品与保健品、轻工纺织、资源环境、医疗卫生等领域项目。组织项目申报后，开展项目评审。经过形式审查、现场查看、专家评审，党组会专题研究、公示等环节，评定县本级科技计划项目，下达项目资金。项目完成后，组织进行项目验收。</w:t>
      </w:r>
    </w:p>
    <w:p>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eastAsia="zh-CN"/>
        </w:rPr>
        <w:t>（5）实施周期：202</w:t>
      </w:r>
      <w:r>
        <w:rPr>
          <w:rFonts w:hint="eastAsia"/>
          <w:lang w:val="en-US" w:eastAsia="zh-CN"/>
        </w:rPr>
        <w:t>6</w:t>
      </w:r>
      <w:r>
        <w:rPr>
          <w:rFonts w:hint="eastAsia"/>
          <w:lang w:eastAsia="zh-CN"/>
        </w:rPr>
        <w:t>年1月1日-12月31日</w:t>
      </w:r>
    </w:p>
    <w:p>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eastAsia="zh-CN"/>
        </w:rPr>
        <w:t>（6）年度预算安排：</w:t>
      </w:r>
      <w:r>
        <w:rPr>
          <w:rFonts w:hint="eastAsia"/>
          <w:lang w:val="en-US" w:eastAsia="zh-CN"/>
        </w:rPr>
        <w:t>90</w:t>
      </w:r>
      <w:r>
        <w:rPr>
          <w:rFonts w:hint="eastAsia"/>
          <w:lang w:eastAsia="zh-CN"/>
        </w:rPr>
        <w:t>万元</w:t>
      </w:r>
    </w:p>
    <w:p>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pPr>
        <w:pStyle w:val="18"/>
        <w:bidi w:val="0"/>
        <w:rPr>
          <w:rFonts w:hint="eastAsia"/>
          <w:lang w:eastAsia="zh-CN"/>
        </w:rPr>
      </w:pPr>
      <w:r>
        <w:rPr>
          <w:rFonts w:hint="eastAsia"/>
          <w:lang w:eastAsia="zh-CN"/>
        </w:rPr>
        <w:t>2026年兴国县科技创新中心财政拨款"三公"经费安排4.89万元，其中：</w:t>
      </w:r>
    </w:p>
    <w:p>
      <w:pPr>
        <w:pStyle w:val="18"/>
        <w:bidi w:val="0"/>
        <w:rPr>
          <w:rFonts w:hint="eastAsia"/>
          <w:lang w:eastAsia="zh-CN"/>
        </w:rPr>
      </w:pPr>
      <w:r>
        <w:rPr>
          <w:rFonts w:hint="eastAsia"/>
          <w:lang w:eastAsia="zh-CN"/>
        </w:rPr>
        <w:t>因公出国0.00万元,比上年增（减）</w:t>
      </w:r>
      <w:r>
        <w:rPr>
          <w:rFonts w:hint="eastAsia"/>
          <w:lang w:val="en-US" w:eastAsia="zh-CN"/>
        </w:rPr>
        <w:t>0</w:t>
      </w:r>
      <w:r>
        <w:rPr>
          <w:rFonts w:hint="eastAsia"/>
          <w:lang w:eastAsia="zh-CN"/>
        </w:rPr>
        <w:t>万元，主要原因是：与上年安排保持一致。</w:t>
      </w:r>
    </w:p>
    <w:p>
      <w:pPr>
        <w:pStyle w:val="18"/>
        <w:bidi w:val="0"/>
        <w:rPr>
          <w:rFonts w:hint="eastAsia"/>
          <w:lang w:eastAsia="zh-CN"/>
        </w:rPr>
      </w:pPr>
      <w:r>
        <w:rPr>
          <w:rFonts w:hint="eastAsia"/>
          <w:lang w:eastAsia="zh-CN"/>
        </w:rPr>
        <w:t>公务接待4.89万元,比上年减少</w:t>
      </w:r>
      <w:r>
        <w:rPr>
          <w:rFonts w:hint="eastAsia"/>
          <w:lang w:val="en-US" w:eastAsia="zh-CN"/>
        </w:rPr>
        <w:t>0.26</w:t>
      </w:r>
      <w:r>
        <w:rPr>
          <w:rFonts w:hint="eastAsia"/>
          <w:lang w:eastAsia="zh-CN"/>
        </w:rPr>
        <w:t>万元，主要原因是：</w:t>
      </w:r>
      <w:r>
        <w:rPr>
          <w:rFonts w:hint="eastAsia" w:ascii="仿宋" w:hAnsi="仿宋" w:eastAsia="仿宋" w:cs="仿宋"/>
          <w:color w:val="auto"/>
          <w:sz w:val="32"/>
          <w:szCs w:val="32"/>
          <w:u w:val="none"/>
          <w:lang w:eastAsia="zh-CN"/>
        </w:rPr>
        <w:t>按规定每年缩减</w:t>
      </w: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w:t>
      </w:r>
      <w:r>
        <w:rPr>
          <w:rFonts w:hint="eastAsia"/>
          <w:lang w:eastAsia="zh-CN"/>
        </w:rPr>
        <w:t>。</w:t>
      </w:r>
    </w:p>
    <w:p>
      <w:pPr>
        <w:pStyle w:val="18"/>
        <w:bidi w:val="0"/>
        <w:rPr>
          <w:rFonts w:hint="eastAsia"/>
          <w:lang w:eastAsia="zh-CN"/>
        </w:rPr>
      </w:pPr>
      <w:r>
        <w:rPr>
          <w:rFonts w:hint="eastAsia"/>
          <w:lang w:eastAsia="zh-CN"/>
        </w:rPr>
        <w:t>公务用车运行0.00万元,比上年增（减）</w:t>
      </w:r>
      <w:r>
        <w:rPr>
          <w:rFonts w:hint="eastAsia"/>
          <w:lang w:val="en-US" w:eastAsia="zh-CN"/>
        </w:rPr>
        <w:t>0</w:t>
      </w:r>
      <w:r>
        <w:rPr>
          <w:rFonts w:hint="eastAsia"/>
          <w:lang w:eastAsia="zh-CN"/>
        </w:rPr>
        <w:t>万元，主要原因是：与上年安排保持一致。</w:t>
      </w:r>
    </w:p>
    <w:p>
      <w:pPr>
        <w:pStyle w:val="18"/>
        <w:bidi w:val="0"/>
        <w:rPr>
          <w:rFonts w:hint="eastAsia"/>
          <w:lang w:eastAsia="zh-CN"/>
        </w:rPr>
      </w:pPr>
      <w:r>
        <w:rPr>
          <w:rFonts w:hint="eastAsia"/>
          <w:lang w:eastAsia="zh-CN"/>
        </w:rPr>
        <w:t>公务用车购置0.00万元,比上年增（减）</w:t>
      </w:r>
      <w:r>
        <w:rPr>
          <w:rFonts w:hint="eastAsia"/>
          <w:lang w:val="en-US" w:eastAsia="zh-CN"/>
        </w:rPr>
        <w:t>0</w:t>
      </w:r>
      <w:r>
        <w:rPr>
          <w:rFonts w:hint="eastAsia"/>
          <w:lang w:eastAsia="zh-CN"/>
        </w:rPr>
        <w:t>万元，主要原因是：与上年安排保持一致。</w:t>
      </w:r>
    </w:p>
    <w:p>
      <w:pPr>
        <w:rPr>
          <w:rStyle w:val="12"/>
          <w:rFonts w:hint="eastAsia" w:ascii="仿宋" w:hAnsi="仿宋" w:eastAsia="仿宋"/>
          <w:sz w:val="32"/>
          <w:szCs w:val="32"/>
        </w:rPr>
      </w:pPr>
      <w:r>
        <w:rPr>
          <w:rStyle w:val="12"/>
          <w:rFonts w:hint="eastAsia" w:ascii="仿宋" w:hAnsi="仿宋" w:eastAsia="仿宋"/>
          <w:sz w:val="32"/>
          <w:szCs w:val="32"/>
        </w:rPr>
        <w:br w:type="page"/>
      </w:r>
    </w:p>
    <w:p>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pPr>
        <w:pStyle w:val="18"/>
        <w:bidi w:val="0"/>
        <w:rPr>
          <w:rFonts w:hint="eastAsia"/>
          <w:lang w:eastAsia="zh-CN"/>
        </w:rPr>
      </w:pPr>
      <w:r>
        <w:rPr>
          <w:rFonts w:hint="eastAsia"/>
          <w:lang w:eastAsia="zh-CN"/>
        </w:rPr>
        <w:t>各部门结合实际进行解释。</w:t>
      </w:r>
    </w:p>
    <w:p>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pPr>
        <w:pStyle w:val="18"/>
        <w:bidi w:val="0"/>
        <w:rPr>
          <w:rFonts w:hint="eastAsia"/>
          <w:lang w:eastAsia="zh-CN"/>
        </w:rPr>
      </w:pPr>
      <w:r>
        <w:rPr>
          <w:rFonts w:hint="eastAsia"/>
          <w:lang w:eastAsia="zh-CN"/>
        </w:rPr>
        <w:t>（三）事业收入：指事业单位开展专业业务活动及辅助活动取得的收入。</w:t>
      </w:r>
    </w:p>
    <w:p>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pPr>
        <w:pStyle w:val="18"/>
        <w:bidi w:val="0"/>
        <w:rPr>
          <w:rFonts w:hint="eastAsia"/>
          <w:lang w:eastAsia="zh-CN"/>
        </w:rPr>
      </w:pPr>
      <w:r>
        <w:rPr>
          <w:rFonts w:hint="eastAsia"/>
          <w:lang w:eastAsia="zh-CN"/>
        </w:rPr>
        <w:t>（六）上级补助收入：指事业单位从主管部门和上级单位取得的非财政补助收入。</w:t>
      </w:r>
    </w:p>
    <w:p>
      <w:pPr>
        <w:pStyle w:val="18"/>
        <w:bidi w:val="0"/>
        <w:rPr>
          <w:rFonts w:hint="eastAsia"/>
          <w:lang w:eastAsia="zh-CN"/>
        </w:rPr>
      </w:pPr>
      <w:r>
        <w:rPr>
          <w:rFonts w:hint="eastAsia"/>
          <w:lang w:eastAsia="zh-CN"/>
        </w:rPr>
        <w:t>（七）其他收入：指除财政拨款、事业收入、事业单位经营收入等以外的各项收入。</w:t>
      </w:r>
    </w:p>
    <w:p>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pPr>
        <w:ind w:firstLine="640" w:firstLineChars="200"/>
        <w:rPr>
          <w:rFonts w:ascii="Adobe 仿宋 Std R" w:hAnsi="Adobe 仿宋 Std R" w:eastAsia="Adobe 仿宋 Std R"/>
          <w:sz w:val="32"/>
          <w:szCs w:val="32"/>
        </w:rPr>
      </w:pPr>
    </w:p>
    <w:p>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pPr>
        <w:pStyle w:val="18"/>
        <w:bidi w:val="0"/>
        <w:rPr>
          <w:rFonts w:hint="eastAsia"/>
          <w:lang w:eastAsia="zh-CN"/>
        </w:rPr>
      </w:pPr>
      <w:r>
        <w:rPr>
          <w:rFonts w:hint="eastAsia"/>
          <w:lang w:eastAsia="zh-CN"/>
        </w:rPr>
        <w:t>对部门预算中涉及的支出功能分类科目（明细到项级），结合部门实际，参照《2026年政府收支分类科目》的规范说明进行解释。</w:t>
      </w:r>
    </w:p>
    <w:p>
      <w:pPr>
        <w:widowControl/>
        <w:spacing w:line="600" w:lineRule="exact"/>
        <w:ind w:firstLine="640" w:firstLineChars="200"/>
        <w:jc w:val="left"/>
        <w:rPr>
          <w:rFonts w:ascii="仿宋_GB2312" w:eastAsia="仿宋_GB2312"/>
          <w:color w:val="000000"/>
          <w:sz w:val="32"/>
          <w:szCs w:val="30"/>
        </w:rPr>
      </w:pPr>
    </w:p>
    <w:p>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zY5ZmMwZWEzMzQxOWIwM2QyODc3MDk3NDFhOWM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EF572E"/>
    <w:rsid w:val="020411DA"/>
    <w:rsid w:val="02176B4D"/>
    <w:rsid w:val="0288005D"/>
    <w:rsid w:val="02C06A14"/>
    <w:rsid w:val="02F05C02"/>
    <w:rsid w:val="0313418A"/>
    <w:rsid w:val="03183089"/>
    <w:rsid w:val="033409AD"/>
    <w:rsid w:val="036543A8"/>
    <w:rsid w:val="03713379"/>
    <w:rsid w:val="03A26EFC"/>
    <w:rsid w:val="03C54F15"/>
    <w:rsid w:val="044C3E08"/>
    <w:rsid w:val="048760F2"/>
    <w:rsid w:val="04AB0032"/>
    <w:rsid w:val="04D1736D"/>
    <w:rsid w:val="0548762F"/>
    <w:rsid w:val="056335EC"/>
    <w:rsid w:val="058E403A"/>
    <w:rsid w:val="05A96FBC"/>
    <w:rsid w:val="067A6028"/>
    <w:rsid w:val="069027A8"/>
    <w:rsid w:val="06BE4E5C"/>
    <w:rsid w:val="06D10F0F"/>
    <w:rsid w:val="06EB090E"/>
    <w:rsid w:val="070F6488"/>
    <w:rsid w:val="072E0AA7"/>
    <w:rsid w:val="07493DE4"/>
    <w:rsid w:val="076646E5"/>
    <w:rsid w:val="07944DAE"/>
    <w:rsid w:val="07DA39BA"/>
    <w:rsid w:val="07FD6DF7"/>
    <w:rsid w:val="084B7B14"/>
    <w:rsid w:val="089B644D"/>
    <w:rsid w:val="08AA6372"/>
    <w:rsid w:val="08C21901"/>
    <w:rsid w:val="0957140D"/>
    <w:rsid w:val="097430E9"/>
    <w:rsid w:val="09813405"/>
    <w:rsid w:val="098466E2"/>
    <w:rsid w:val="099A2423"/>
    <w:rsid w:val="09C63CB7"/>
    <w:rsid w:val="0A1A2AD5"/>
    <w:rsid w:val="0A3B59B5"/>
    <w:rsid w:val="0A522CFE"/>
    <w:rsid w:val="0A603A28"/>
    <w:rsid w:val="0A7E3AF3"/>
    <w:rsid w:val="0B2E6C33"/>
    <w:rsid w:val="0B471443"/>
    <w:rsid w:val="0B582596"/>
    <w:rsid w:val="0B776EC0"/>
    <w:rsid w:val="0BD22464"/>
    <w:rsid w:val="0C0F6191"/>
    <w:rsid w:val="0C210BDA"/>
    <w:rsid w:val="0C22507E"/>
    <w:rsid w:val="0C234952"/>
    <w:rsid w:val="0C3B6140"/>
    <w:rsid w:val="0C97247A"/>
    <w:rsid w:val="0CE40340"/>
    <w:rsid w:val="0D1D3A97"/>
    <w:rsid w:val="0D7F0935"/>
    <w:rsid w:val="0D906017"/>
    <w:rsid w:val="0DB3098E"/>
    <w:rsid w:val="0DC46BAD"/>
    <w:rsid w:val="0E4868F2"/>
    <w:rsid w:val="0EC56195"/>
    <w:rsid w:val="0ED334BB"/>
    <w:rsid w:val="0EED77D1"/>
    <w:rsid w:val="0EFE5F92"/>
    <w:rsid w:val="0F2509E1"/>
    <w:rsid w:val="0F77472F"/>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37A24B0"/>
    <w:rsid w:val="146A26EA"/>
    <w:rsid w:val="14972381"/>
    <w:rsid w:val="14DB226E"/>
    <w:rsid w:val="15F1786F"/>
    <w:rsid w:val="161C45A6"/>
    <w:rsid w:val="163E20B5"/>
    <w:rsid w:val="167909DF"/>
    <w:rsid w:val="16790A4B"/>
    <w:rsid w:val="16A62BCA"/>
    <w:rsid w:val="16B57185"/>
    <w:rsid w:val="16D72F09"/>
    <w:rsid w:val="16D73651"/>
    <w:rsid w:val="17201A96"/>
    <w:rsid w:val="175943AB"/>
    <w:rsid w:val="177B5642"/>
    <w:rsid w:val="183121A5"/>
    <w:rsid w:val="183D4FEE"/>
    <w:rsid w:val="187973A6"/>
    <w:rsid w:val="189E6FE8"/>
    <w:rsid w:val="18D62220"/>
    <w:rsid w:val="190A1374"/>
    <w:rsid w:val="1911314F"/>
    <w:rsid w:val="192341E3"/>
    <w:rsid w:val="19264D41"/>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BF01262"/>
    <w:rsid w:val="1C091814"/>
    <w:rsid w:val="1C2031A1"/>
    <w:rsid w:val="1CE612D0"/>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F4DDA"/>
    <w:rsid w:val="1F240CB5"/>
    <w:rsid w:val="1F647304"/>
    <w:rsid w:val="1F9E0B84"/>
    <w:rsid w:val="1FF163B0"/>
    <w:rsid w:val="206D0602"/>
    <w:rsid w:val="206F6C0D"/>
    <w:rsid w:val="20757BCC"/>
    <w:rsid w:val="208D0D40"/>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84425C"/>
    <w:rsid w:val="25B931E9"/>
    <w:rsid w:val="25CE54D7"/>
    <w:rsid w:val="25F4209D"/>
    <w:rsid w:val="265579A6"/>
    <w:rsid w:val="267A7ED7"/>
    <w:rsid w:val="267B565F"/>
    <w:rsid w:val="269F3FA4"/>
    <w:rsid w:val="26BE72FA"/>
    <w:rsid w:val="26CB02AF"/>
    <w:rsid w:val="26FE5E6C"/>
    <w:rsid w:val="27B71B63"/>
    <w:rsid w:val="27DA63B5"/>
    <w:rsid w:val="27E234BC"/>
    <w:rsid w:val="27EE6A79"/>
    <w:rsid w:val="28020B08"/>
    <w:rsid w:val="2828673B"/>
    <w:rsid w:val="28F31C90"/>
    <w:rsid w:val="291678C1"/>
    <w:rsid w:val="29415831"/>
    <w:rsid w:val="295B01BA"/>
    <w:rsid w:val="29804E7F"/>
    <w:rsid w:val="299A22A0"/>
    <w:rsid w:val="299B130F"/>
    <w:rsid w:val="29A22F02"/>
    <w:rsid w:val="29CA4207"/>
    <w:rsid w:val="29D357B2"/>
    <w:rsid w:val="29F545C8"/>
    <w:rsid w:val="2A3B60E3"/>
    <w:rsid w:val="2A6B66A5"/>
    <w:rsid w:val="2A8962DA"/>
    <w:rsid w:val="2A9E289C"/>
    <w:rsid w:val="2AD4533E"/>
    <w:rsid w:val="2B5E72FD"/>
    <w:rsid w:val="2B6A1B7F"/>
    <w:rsid w:val="2B7512D8"/>
    <w:rsid w:val="2B7D1E25"/>
    <w:rsid w:val="2B82123D"/>
    <w:rsid w:val="2BE124D6"/>
    <w:rsid w:val="2C245EB1"/>
    <w:rsid w:val="2C2D2A07"/>
    <w:rsid w:val="2C532DA0"/>
    <w:rsid w:val="2C57797E"/>
    <w:rsid w:val="2CA86A82"/>
    <w:rsid w:val="2CB371D5"/>
    <w:rsid w:val="2CBC42DB"/>
    <w:rsid w:val="2D0D5D1F"/>
    <w:rsid w:val="2D12214D"/>
    <w:rsid w:val="2D5E2035"/>
    <w:rsid w:val="2D864873"/>
    <w:rsid w:val="2DA96B06"/>
    <w:rsid w:val="2E051E23"/>
    <w:rsid w:val="2ED008F1"/>
    <w:rsid w:val="2EE1627B"/>
    <w:rsid w:val="2F221578"/>
    <w:rsid w:val="2F3276C7"/>
    <w:rsid w:val="2F656EAC"/>
    <w:rsid w:val="2F875DDB"/>
    <w:rsid w:val="30007685"/>
    <w:rsid w:val="300F4902"/>
    <w:rsid w:val="303A64D0"/>
    <w:rsid w:val="303B4255"/>
    <w:rsid w:val="30427C69"/>
    <w:rsid w:val="30A0509E"/>
    <w:rsid w:val="30D065A7"/>
    <w:rsid w:val="311B06F3"/>
    <w:rsid w:val="31480833"/>
    <w:rsid w:val="317909ED"/>
    <w:rsid w:val="31D10739"/>
    <w:rsid w:val="31E5110E"/>
    <w:rsid w:val="31FA476A"/>
    <w:rsid w:val="32101599"/>
    <w:rsid w:val="321C7230"/>
    <w:rsid w:val="3240775C"/>
    <w:rsid w:val="32827D75"/>
    <w:rsid w:val="32C510AF"/>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C66E2C"/>
    <w:rsid w:val="35E11256"/>
    <w:rsid w:val="35E83F05"/>
    <w:rsid w:val="35FF348B"/>
    <w:rsid w:val="36015455"/>
    <w:rsid w:val="363E00C4"/>
    <w:rsid w:val="369B31B3"/>
    <w:rsid w:val="36C95F72"/>
    <w:rsid w:val="371F5B92"/>
    <w:rsid w:val="375717D0"/>
    <w:rsid w:val="37692CB0"/>
    <w:rsid w:val="37773C20"/>
    <w:rsid w:val="377E2B92"/>
    <w:rsid w:val="37F44BF3"/>
    <w:rsid w:val="38FD49CD"/>
    <w:rsid w:val="39363AEB"/>
    <w:rsid w:val="397330FD"/>
    <w:rsid w:val="39827A59"/>
    <w:rsid w:val="39932267"/>
    <w:rsid w:val="399D4784"/>
    <w:rsid w:val="399F2FBB"/>
    <w:rsid w:val="39B20F40"/>
    <w:rsid w:val="39ED7FCB"/>
    <w:rsid w:val="39F647B9"/>
    <w:rsid w:val="3A811F62"/>
    <w:rsid w:val="3A841EE9"/>
    <w:rsid w:val="3A8D375B"/>
    <w:rsid w:val="3A9F1A72"/>
    <w:rsid w:val="3AC82A1D"/>
    <w:rsid w:val="3ACE216B"/>
    <w:rsid w:val="3AE72E6B"/>
    <w:rsid w:val="3B33742C"/>
    <w:rsid w:val="3B5008CA"/>
    <w:rsid w:val="3B64626A"/>
    <w:rsid w:val="3B7346FF"/>
    <w:rsid w:val="3B7D1841"/>
    <w:rsid w:val="3BA50630"/>
    <w:rsid w:val="3BD333EF"/>
    <w:rsid w:val="3BE60A52"/>
    <w:rsid w:val="3BF740BD"/>
    <w:rsid w:val="3BF75330"/>
    <w:rsid w:val="3C1001A0"/>
    <w:rsid w:val="3C587148"/>
    <w:rsid w:val="3C62791F"/>
    <w:rsid w:val="3C7E3E84"/>
    <w:rsid w:val="3C965237"/>
    <w:rsid w:val="3CFB44C3"/>
    <w:rsid w:val="3D01676D"/>
    <w:rsid w:val="3D121CF5"/>
    <w:rsid w:val="3D2A5291"/>
    <w:rsid w:val="3D6A7D83"/>
    <w:rsid w:val="3D8449A1"/>
    <w:rsid w:val="3D8A2CB0"/>
    <w:rsid w:val="3D8F7591"/>
    <w:rsid w:val="3E272EE8"/>
    <w:rsid w:val="3E344619"/>
    <w:rsid w:val="3E534E03"/>
    <w:rsid w:val="3E864749"/>
    <w:rsid w:val="3E917C19"/>
    <w:rsid w:val="3EBE2135"/>
    <w:rsid w:val="3ED656D0"/>
    <w:rsid w:val="3F12422F"/>
    <w:rsid w:val="3F1F4BA2"/>
    <w:rsid w:val="3F383632"/>
    <w:rsid w:val="3F44662B"/>
    <w:rsid w:val="3F453306"/>
    <w:rsid w:val="3F740A45"/>
    <w:rsid w:val="3FAF58B0"/>
    <w:rsid w:val="3FD3204F"/>
    <w:rsid w:val="3FFF47B3"/>
    <w:rsid w:val="400E7546"/>
    <w:rsid w:val="40183119"/>
    <w:rsid w:val="4052477A"/>
    <w:rsid w:val="4052753A"/>
    <w:rsid w:val="40B30B18"/>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6D83861"/>
    <w:rsid w:val="475F022D"/>
    <w:rsid w:val="47704B50"/>
    <w:rsid w:val="481F2ADD"/>
    <w:rsid w:val="48967C7F"/>
    <w:rsid w:val="48BC3499"/>
    <w:rsid w:val="493F20C4"/>
    <w:rsid w:val="49A3337A"/>
    <w:rsid w:val="49BE0F52"/>
    <w:rsid w:val="4A0A0193"/>
    <w:rsid w:val="4A3D4856"/>
    <w:rsid w:val="4A875AD1"/>
    <w:rsid w:val="4A9D48C2"/>
    <w:rsid w:val="4ABB15CA"/>
    <w:rsid w:val="4B0E1D4E"/>
    <w:rsid w:val="4BCC5D64"/>
    <w:rsid w:val="4BD50ABE"/>
    <w:rsid w:val="4BE40D01"/>
    <w:rsid w:val="4C363892"/>
    <w:rsid w:val="4C4023DB"/>
    <w:rsid w:val="4C632900"/>
    <w:rsid w:val="4C787DC7"/>
    <w:rsid w:val="4CA30BBC"/>
    <w:rsid w:val="4CB041A4"/>
    <w:rsid w:val="4D106251"/>
    <w:rsid w:val="4D1D271C"/>
    <w:rsid w:val="4D3073ED"/>
    <w:rsid w:val="4D824567"/>
    <w:rsid w:val="4DA22C22"/>
    <w:rsid w:val="4DC25072"/>
    <w:rsid w:val="4DDA284D"/>
    <w:rsid w:val="4E600F7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F45C15"/>
    <w:rsid w:val="52313BAC"/>
    <w:rsid w:val="5245699D"/>
    <w:rsid w:val="527A416D"/>
    <w:rsid w:val="52B15DE1"/>
    <w:rsid w:val="52C00AB5"/>
    <w:rsid w:val="52CD6993"/>
    <w:rsid w:val="52D32C59"/>
    <w:rsid w:val="52D33227"/>
    <w:rsid w:val="52D7336D"/>
    <w:rsid w:val="52ED493F"/>
    <w:rsid w:val="53516268"/>
    <w:rsid w:val="53BA6F17"/>
    <w:rsid w:val="53C94501"/>
    <w:rsid w:val="53E174F2"/>
    <w:rsid w:val="54942314"/>
    <w:rsid w:val="54A315F0"/>
    <w:rsid w:val="551F080C"/>
    <w:rsid w:val="557D01FC"/>
    <w:rsid w:val="558649E9"/>
    <w:rsid w:val="559850FD"/>
    <w:rsid w:val="559B757A"/>
    <w:rsid w:val="55B21658"/>
    <w:rsid w:val="560222CE"/>
    <w:rsid w:val="560A3E85"/>
    <w:rsid w:val="561E35DE"/>
    <w:rsid w:val="56423283"/>
    <w:rsid w:val="56C47F55"/>
    <w:rsid w:val="56C51358"/>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A113609"/>
    <w:rsid w:val="5A124512"/>
    <w:rsid w:val="5A3D61AC"/>
    <w:rsid w:val="5AD61C4C"/>
    <w:rsid w:val="5B063489"/>
    <w:rsid w:val="5B196FF7"/>
    <w:rsid w:val="5B2630E4"/>
    <w:rsid w:val="5B7A6F8C"/>
    <w:rsid w:val="5B852845"/>
    <w:rsid w:val="5B8D3163"/>
    <w:rsid w:val="5B9F7BC4"/>
    <w:rsid w:val="5BCB45A3"/>
    <w:rsid w:val="5BF226BA"/>
    <w:rsid w:val="5C084598"/>
    <w:rsid w:val="5C2A6C04"/>
    <w:rsid w:val="5C2D0A9F"/>
    <w:rsid w:val="5C78171D"/>
    <w:rsid w:val="5C986C68"/>
    <w:rsid w:val="5CA610CC"/>
    <w:rsid w:val="5CCB4C52"/>
    <w:rsid w:val="5CD235A2"/>
    <w:rsid w:val="5D1256CE"/>
    <w:rsid w:val="5EB629D1"/>
    <w:rsid w:val="5ED43404"/>
    <w:rsid w:val="5F28567D"/>
    <w:rsid w:val="5F5A15AE"/>
    <w:rsid w:val="5F7563E8"/>
    <w:rsid w:val="6025390F"/>
    <w:rsid w:val="602A730A"/>
    <w:rsid w:val="604A0FC0"/>
    <w:rsid w:val="6062071A"/>
    <w:rsid w:val="609E54CA"/>
    <w:rsid w:val="60B60A66"/>
    <w:rsid w:val="60FF065F"/>
    <w:rsid w:val="614348BF"/>
    <w:rsid w:val="61E909C7"/>
    <w:rsid w:val="61EC3CCE"/>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AA71F0"/>
    <w:rsid w:val="66B33C62"/>
    <w:rsid w:val="66CB34B0"/>
    <w:rsid w:val="66CE552F"/>
    <w:rsid w:val="66F978FF"/>
    <w:rsid w:val="67005A4F"/>
    <w:rsid w:val="67010C05"/>
    <w:rsid w:val="674F1B70"/>
    <w:rsid w:val="67607CDE"/>
    <w:rsid w:val="67795450"/>
    <w:rsid w:val="67987117"/>
    <w:rsid w:val="67BA0013"/>
    <w:rsid w:val="67C33BC0"/>
    <w:rsid w:val="67FA392E"/>
    <w:rsid w:val="6874548F"/>
    <w:rsid w:val="687F5F93"/>
    <w:rsid w:val="68B95597"/>
    <w:rsid w:val="68F41F57"/>
    <w:rsid w:val="69054339"/>
    <w:rsid w:val="6914022D"/>
    <w:rsid w:val="696C260A"/>
    <w:rsid w:val="699851AD"/>
    <w:rsid w:val="699B2EEF"/>
    <w:rsid w:val="699D6C67"/>
    <w:rsid w:val="69B84EDC"/>
    <w:rsid w:val="6A0339D1"/>
    <w:rsid w:val="6A2151A2"/>
    <w:rsid w:val="6ACC771E"/>
    <w:rsid w:val="6AE727FB"/>
    <w:rsid w:val="6B476A1E"/>
    <w:rsid w:val="6B4C44A1"/>
    <w:rsid w:val="6B755743"/>
    <w:rsid w:val="6BAA7419"/>
    <w:rsid w:val="6BE248E5"/>
    <w:rsid w:val="6C021003"/>
    <w:rsid w:val="6C1F1BB5"/>
    <w:rsid w:val="6C540873"/>
    <w:rsid w:val="6C6F1216"/>
    <w:rsid w:val="6C9A56E0"/>
    <w:rsid w:val="6CA82785"/>
    <w:rsid w:val="6CB20E55"/>
    <w:rsid w:val="6CE85848"/>
    <w:rsid w:val="6D03108D"/>
    <w:rsid w:val="6D15191A"/>
    <w:rsid w:val="6D3A6CB4"/>
    <w:rsid w:val="6D505D9E"/>
    <w:rsid w:val="6D6B4986"/>
    <w:rsid w:val="6DEA61F3"/>
    <w:rsid w:val="6DFC5FDF"/>
    <w:rsid w:val="6E0D2F46"/>
    <w:rsid w:val="6E3D6323"/>
    <w:rsid w:val="6E9E40AE"/>
    <w:rsid w:val="6EA97E5C"/>
    <w:rsid w:val="6ECC5FE7"/>
    <w:rsid w:val="6EDB6140"/>
    <w:rsid w:val="6F9E1043"/>
    <w:rsid w:val="6FB14B95"/>
    <w:rsid w:val="6FBB39A3"/>
    <w:rsid w:val="6FD42CB7"/>
    <w:rsid w:val="70077DE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8B0767"/>
    <w:rsid w:val="75B275F6"/>
    <w:rsid w:val="761422CC"/>
    <w:rsid w:val="76224CCF"/>
    <w:rsid w:val="762F6E99"/>
    <w:rsid w:val="76530DD9"/>
    <w:rsid w:val="770B16B4"/>
    <w:rsid w:val="770E4B54"/>
    <w:rsid w:val="772E7150"/>
    <w:rsid w:val="77A15B74"/>
    <w:rsid w:val="77A86F03"/>
    <w:rsid w:val="77F0668A"/>
    <w:rsid w:val="78245F5E"/>
    <w:rsid w:val="785045C8"/>
    <w:rsid w:val="789456D9"/>
    <w:rsid w:val="78A13AF5"/>
    <w:rsid w:val="79020895"/>
    <w:rsid w:val="79110AD8"/>
    <w:rsid w:val="791A1FD1"/>
    <w:rsid w:val="791A5BDE"/>
    <w:rsid w:val="79294073"/>
    <w:rsid w:val="79AE6381"/>
    <w:rsid w:val="7AA535EF"/>
    <w:rsid w:val="7B2B0079"/>
    <w:rsid w:val="7B4C4049"/>
    <w:rsid w:val="7B4C6C5F"/>
    <w:rsid w:val="7B590514"/>
    <w:rsid w:val="7B5F2B22"/>
    <w:rsid w:val="7B833D31"/>
    <w:rsid w:val="7BAC2D3A"/>
    <w:rsid w:val="7BC1601F"/>
    <w:rsid w:val="7BC71BE8"/>
    <w:rsid w:val="7BCE7F00"/>
    <w:rsid w:val="7BEE3352"/>
    <w:rsid w:val="7C0E12FE"/>
    <w:rsid w:val="7C213CD7"/>
    <w:rsid w:val="7C2F624D"/>
    <w:rsid w:val="7C6A15B3"/>
    <w:rsid w:val="7CFA01CB"/>
    <w:rsid w:val="7D2E5D91"/>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4602</Words>
  <Characters>5651</Characters>
  <Lines>47</Lines>
  <Paragraphs>13</Paragraphs>
  <TotalTime>45</TotalTime>
  <ScaleCrop>false</ScaleCrop>
  <LinksUpToDate>false</LinksUpToDate>
  <CharactersWithSpaces>5772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Administrator</cp:lastModifiedBy>
  <dcterms:modified xsi:type="dcterms:W3CDTF">2026-03-10T01:43:47Z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2052-11.1.0.11045</vt:lpwstr>
  </property>
</Properties>
</file>