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宋体" w:cs="微软雅黑"/>
          <w:b w:val="0"/>
          <w:bCs/>
          <w:color w:val="FF0000"/>
          <w:sz w:val="44"/>
          <w:szCs w:val="44"/>
          <w:lang w:eastAsia="zh-CN"/>
        </w:rPr>
      </w:pPr>
      <w:r>
        <w:rPr>
          <w:rFonts w:hint="eastAsia" w:ascii="微软雅黑" w:hAnsi="微软雅黑" w:eastAsia="微软雅黑" w:cs="微软雅黑"/>
          <w:b w:val="0"/>
          <w:bCs/>
          <w:color w:val="000000" w:themeColor="text1"/>
          <w:sz w:val="44"/>
          <w:szCs w:val="44"/>
          <w:lang w:val="en-US" w:eastAsia="zh-CN"/>
          <w14:textFill>
            <w14:solidFill>
              <w14:schemeClr w14:val="tx1"/>
            </w14:solidFill>
          </w14:textFill>
        </w:rPr>
        <w:t>兴国县人民政府办公室本级</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color w:val="000000" w:themeColor="text1"/>
          <w:sz w:val="44"/>
          <w:szCs w:val="44"/>
          <w14:textFill>
            <w14:solidFill>
              <w14:schemeClr w14:val="tx1"/>
            </w14:solidFill>
          </w14:textFill>
        </w:rPr>
      </w:pPr>
      <w:r>
        <w:rPr>
          <w:rFonts w:hint="eastAsia" w:ascii="微软雅黑" w:hAnsi="微软雅黑" w:eastAsia="微软雅黑" w:cs="微软雅黑"/>
          <w:b w:val="0"/>
          <w:bCs/>
          <w:color w:val="000000" w:themeColor="text1"/>
          <w:sz w:val="44"/>
          <w:szCs w:val="44"/>
          <w:lang w:val="en-US" w:eastAsia="zh-CN"/>
          <w14:textFill>
            <w14:solidFill>
              <w14:schemeClr w14:val="tx1"/>
            </w14:solidFill>
          </w14:textFill>
        </w:rPr>
        <w:t>2024年单位</w:t>
      </w:r>
      <w:r>
        <w:rPr>
          <w:rFonts w:hint="eastAsia" w:ascii="微软雅黑" w:hAnsi="微软雅黑" w:eastAsia="微软雅黑" w:cs="微软雅黑"/>
          <w:b w:val="0"/>
          <w:bCs/>
          <w:color w:val="000000" w:themeColor="text1"/>
          <w:sz w:val="44"/>
          <w:szCs w:val="44"/>
          <w14:textFill>
            <w14:solidFill>
              <w14:schemeClr w14:val="tx1"/>
            </w14:solidFill>
          </w14:textFill>
        </w:rPr>
        <w:t>预算编制说明</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bookmarkStart w:id="0" w:name="_GoBack"/>
      <w:bookmarkEnd w:id="0"/>
    </w:p>
    <w:p>
      <w:pPr>
        <w:spacing w:line="560" w:lineRule="exact"/>
        <w:jc w:val="cente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单位</w:t>
      </w:r>
      <w:r>
        <w:rPr>
          <w:rFonts w:hint="eastAsia" w:ascii="仿宋" w:hAnsi="仿宋" w:eastAsia="仿宋" w:cs="仿宋"/>
          <w:sz w:val="32"/>
          <w:szCs w:val="32"/>
        </w:rPr>
        <w:t>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基本情况</w:t>
      </w:r>
    </w:p>
    <w:p>
      <w:pPr>
        <w:spacing w:line="560" w:lineRule="exact"/>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部分</w:t>
      </w:r>
      <w:r>
        <w:rPr>
          <w:rFonts w:hint="eastAsia" w:ascii="仿宋" w:hAnsi="仿宋" w:eastAsia="仿宋" w:cs="仿宋"/>
          <w:b/>
          <w:bCs/>
          <w:color w:val="auto"/>
          <w:sz w:val="32"/>
          <w:szCs w:val="32"/>
          <w:lang w:val="en-US" w:eastAsia="zh-CN"/>
        </w:rPr>
        <w:t xml:space="preserve"> 2024年单位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2024年</w:t>
      </w:r>
      <w:r>
        <w:rPr>
          <w:rFonts w:hint="eastAsia" w:ascii="仿宋" w:hAnsi="仿宋" w:eastAsia="仿宋" w:cs="仿宋"/>
          <w:sz w:val="32"/>
          <w:szCs w:val="32"/>
          <w:lang w:eastAsia="zh-CN"/>
        </w:rPr>
        <w:t>本单位</w:t>
      </w:r>
      <w:r>
        <w:rPr>
          <w:rFonts w:hint="eastAsia" w:ascii="仿宋" w:hAnsi="仿宋" w:eastAsia="仿宋" w:cs="仿宋"/>
          <w:sz w:val="32"/>
          <w:szCs w:val="32"/>
        </w:rPr>
        <w:t>预算收支情况说明</w:t>
      </w:r>
    </w:p>
    <w:p>
      <w:pPr>
        <w:spacing w:line="560" w:lineRule="exact"/>
        <w:ind w:left="634" w:leftChars="284" w:hanging="38" w:hangingChars="12"/>
        <w:rPr>
          <w:rFonts w:hint="eastAsia"/>
        </w:rPr>
      </w:pPr>
      <w:r>
        <w:rPr>
          <w:rFonts w:hint="eastAsia" w:ascii="仿宋" w:hAnsi="仿宋" w:eastAsia="仿宋" w:cs="仿宋"/>
          <w:sz w:val="32"/>
          <w:szCs w:val="32"/>
        </w:rPr>
        <w:t>二、</w:t>
      </w:r>
      <w:r>
        <w:rPr>
          <w:rFonts w:hint="eastAsia" w:ascii="仿宋" w:hAnsi="仿宋" w:eastAsia="仿宋" w:cs="仿宋"/>
          <w:sz w:val="32"/>
          <w:szCs w:val="32"/>
          <w:lang w:val="en-US" w:eastAsia="zh-CN"/>
        </w:rPr>
        <w:t>2024年</w:t>
      </w:r>
      <w:r>
        <w:rPr>
          <w:rFonts w:hint="eastAsia" w:ascii="仿宋" w:hAnsi="仿宋" w:eastAsia="仿宋" w:cs="仿宋"/>
          <w:sz w:val="32"/>
          <w:szCs w:val="32"/>
        </w:rPr>
        <w:t>“三公”经费预算情况说明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三</w:t>
      </w:r>
      <w:r>
        <w:rPr>
          <w:rFonts w:hint="eastAsia" w:ascii="仿宋" w:hAnsi="仿宋" w:eastAsia="仿宋" w:cs="仿宋"/>
          <w:b/>
          <w:bCs/>
          <w:sz w:val="32"/>
          <w:szCs w:val="32"/>
        </w:rPr>
        <w:t>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lang w:val="en-US" w:eastAsia="zh-CN"/>
        </w:rPr>
        <w:t>2024年单位</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本单位</w:t>
      </w:r>
      <w:r>
        <w:rPr>
          <w:rFonts w:hint="eastAsia" w:ascii="仿宋" w:hAnsi="仿宋" w:eastAsia="仿宋" w:cs="仿宋"/>
          <w:sz w:val="32"/>
          <w:szCs w:val="32"/>
        </w:rPr>
        <w:t>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eastAsia="zh-CN"/>
        </w:rPr>
        <w:t>本单位</w:t>
      </w:r>
      <w:r>
        <w:rPr>
          <w:rFonts w:hint="eastAsia" w:ascii="仿宋" w:hAnsi="仿宋" w:eastAsia="仿宋" w:cs="仿宋"/>
          <w:sz w:val="32"/>
          <w:szCs w:val="32"/>
        </w:rPr>
        <w:t>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十、《项目支出绩效目标表》</w:t>
      </w:r>
    </w:p>
    <w:p>
      <w:pPr>
        <w:spacing w:line="560" w:lineRule="exact"/>
        <w:ind w:left="635" w:leftChars="284" w:hanging="39" w:hangingChars="12"/>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 xml:space="preserve"> 目 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概况</w:t>
      </w:r>
    </w:p>
    <w:p>
      <w:pPr>
        <w:spacing w:line="560" w:lineRule="exact"/>
        <w:ind w:left="10" w:leftChars="5"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兴国县人民政府办公室是处理县政府日常工作的县政府工作部门，为正科级单位。</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主要职责是：</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（一）办理党中央、国务院、省委、省政府、市委、市政府及其各部门和县委公文的呈（传）阅以及有关文电处理工作。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（二）研究县政府各部门、各乡镇人民政府请示县政府的事项，提出审核意见，报县政府审定。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（三）负责组织起草或审核以县政府、县政府办公室名义发布的公文；指导、协调县政府规范性文件起草和制定工作，以及县政府及其办公室重要文件、文稿、合同（协议）的涉法审查、涉法事务等工作。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四）负责县政府全体（扩大）会议、县政府党组会议、县政府常务会议、县长办公会会议等会议的组织协调工作，协助县政府领导组织实施会议决定事项；负责县政府领导、县直部门有关人员参加外部会议、活动的通知、协调、衔接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（五）根据县政府领导指示或办理文件的需要，对县政府各部门之间、乡镇政府之间、部门与乡镇政府之间相互协商后仍有争议的问题提出处理意见，报县政府领导决定。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（六）督促检查县政府各部门和各乡镇政府对国务院、省政府、市政府和县政府公文、会议决定事项以及领导同志有关指示的贯彻执行落实。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（七）根据县政府领导的指示或工作需要，组织专题调查研究，及时反映情况，提出意见。</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（八）指导、协调、监督全县政府信息公开工作。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（九）负责全县政府系统信息工作，协助和参与领导决策；负责县本级政府新闻发布工作。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（十）负责与县人大常委会办公室、县政协办公室联系，组织、督促有关部门和单位及时办理人大代表建议和政协委员提案。</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（十一）负责县政府、县政府办公室的印鉴管理使用；负责县政府办公室机关保密和档案工作。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（十二）负责县政府值班工作，及时报告重要情况，传达、督办上级政府和县政府领导同志指示，协调、指导全县政府系统值班工作。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（十三）负责上级领导、兄弟县（市、区）政府领导来兴国视察、慰问、考核、调研的组织协调工作。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四）负责贯彻落实上级有关金融工作政策，研究制定全县金融发展规划和工作计划，制定地方金融政策措施；负责全县担保公司、小额担保公司、典当行等的日常监管工作；负责协调处置全县涉及金融领域的突发事件，促进维护金融秩序和社会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五）贯彻执行上级党委、政府深化“放管服”改革转变政府职能、加强政务服务工作的方针、政策、法律、法规以及县委、县政府的决策部署，牵头拟订全县“放管服”改革转变政府职能、加强政务服务工作的政策、制度、办法、标准，负责组织推进、指导协调、督促考核全县政务服务和政府职能转变工作，协调解决改革过程中的重大问题。</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（十六）贯彻落实上级有关行政审批制度改革的决策部署，统筹全县行政审批制度改革工作，提出行政审批制度改革的政策意见和建议，指导、检查、督促有关政策措施落实。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（十七）贯彻执行党和国家对外方针政策法规，贯彻落实县委、县政府关于外事工作的指示和决定，会同有关部门研究提出执行有关外事政策的具体措施；负责拟订全县外事工作管理意见和规范性文件。</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（十八）处理群众来信，接待群众来访，及时向县政府领导报告来信来访中提出的重要建议和反映的重要问题，办理上级党政机关转交及县政府领导交办的有关信访事项。</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（十九）协助做好县政府机关和县政府领导的后勤服务工作。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楷体" w:hAnsi="楷体" w:eastAsia="楷体" w:cs="楷体"/>
          <w:b/>
          <w:bCs/>
          <w:sz w:val="32"/>
          <w:szCs w:val="32"/>
          <w:lang w:eastAsia="zh-CN"/>
        </w:rPr>
      </w:pPr>
      <w:r>
        <w:rPr>
          <w:rFonts w:hint="eastAsia" w:ascii="仿宋_GB2312" w:hAnsi="仿宋_GB2312" w:eastAsia="仿宋_GB2312" w:cs="仿宋_GB2312"/>
          <w:b w:val="0"/>
          <w:bCs w:val="0"/>
          <w:spacing w:val="-2"/>
          <w:sz w:val="32"/>
          <w:szCs w:val="32"/>
        </w:rPr>
        <w:t>（二十）办理县委、县政府交办的其它工作任务。</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pPr>
        <w:ind w:firstLine="640" w:firstLineChars="200"/>
        <w:rPr>
          <w:rFonts w:hint="eastAsia" w:ascii="楷体" w:hAnsi="楷体" w:eastAsia="楷体" w:cs="楷体"/>
          <w:color w:val="FF0000"/>
          <w:sz w:val="28"/>
          <w:szCs w:val="28"/>
          <w:lang w:eastAsia="zh-CN"/>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本单位</w:t>
      </w:r>
      <w:r>
        <w:rPr>
          <w:rFonts w:hint="eastAsia" w:ascii="仿宋" w:hAnsi="仿宋" w:eastAsia="仿宋"/>
          <w:color w:val="auto"/>
          <w:sz w:val="32"/>
          <w:szCs w:val="32"/>
        </w:rPr>
        <w:t>内设处室</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个，分别为：办公室、</w:t>
      </w:r>
      <w:r>
        <w:rPr>
          <w:rFonts w:hint="eastAsia" w:ascii="仿宋" w:hAnsi="仿宋" w:eastAsia="仿宋"/>
          <w:color w:val="auto"/>
          <w:sz w:val="32"/>
          <w:szCs w:val="32"/>
          <w:lang w:eastAsia="zh-CN"/>
        </w:rPr>
        <w:t>行政事务室、总值室</w:t>
      </w:r>
      <w:r>
        <w:rPr>
          <w:rFonts w:hint="eastAsia" w:ascii="仿宋" w:hAnsi="仿宋" w:eastAsia="仿宋"/>
          <w:color w:val="auto"/>
          <w:sz w:val="32"/>
          <w:szCs w:val="32"/>
        </w:rPr>
        <w:t>。</w:t>
      </w:r>
    </w:p>
    <w:p>
      <w:pPr>
        <w:bidi w:val="0"/>
        <w:ind w:firstLine="647"/>
        <w:rPr>
          <w:rFonts w:hint="eastAsia" w:ascii="仿宋" w:hAnsi="仿宋" w:eastAsia="仿宋"/>
          <w:sz w:val="32"/>
          <w:szCs w:val="32"/>
        </w:rPr>
      </w:pPr>
      <w:r>
        <w:rPr>
          <w:rFonts w:hint="eastAsia" w:ascii="仿宋" w:hAnsi="仿宋" w:eastAsia="仿宋"/>
          <w:sz w:val="32"/>
          <w:szCs w:val="32"/>
          <w:lang w:eastAsia="zh-CN"/>
        </w:rPr>
        <w:t>本单位</w:t>
      </w:r>
      <w:r>
        <w:rPr>
          <w:rFonts w:hint="eastAsia" w:ascii="仿宋" w:hAnsi="仿宋" w:eastAsia="仿宋"/>
          <w:sz w:val="32"/>
          <w:szCs w:val="32"/>
        </w:rPr>
        <w:t>编制人数小计</w:t>
      </w:r>
      <w:r>
        <w:rPr>
          <w:rFonts w:hint="eastAsia" w:ascii="仿宋" w:hAnsi="仿宋" w:eastAsia="仿宋"/>
          <w:sz w:val="32"/>
          <w:szCs w:val="32"/>
          <w:lang w:val="en-US" w:eastAsia="zh-CN"/>
        </w:rPr>
        <w:t>26</w:t>
      </w:r>
      <w:r>
        <w:rPr>
          <w:rFonts w:hint="eastAsia" w:ascii="仿宋" w:hAnsi="仿宋" w:eastAsia="仿宋"/>
          <w:sz w:val="32"/>
          <w:szCs w:val="32"/>
        </w:rPr>
        <w:t>人,其中：行政编制人数</w:t>
      </w:r>
      <w:r>
        <w:rPr>
          <w:rFonts w:hint="eastAsia" w:ascii="仿宋" w:hAnsi="仿宋" w:eastAsia="仿宋"/>
          <w:sz w:val="32"/>
          <w:szCs w:val="32"/>
          <w:lang w:val="en-US" w:eastAsia="zh-CN"/>
        </w:rPr>
        <w:t>26</w:t>
      </w:r>
      <w:r>
        <w:rPr>
          <w:rFonts w:hint="eastAsia"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人,全部补助事业编制人数</w:t>
      </w:r>
      <w:r>
        <w:rPr>
          <w:rFonts w:hint="eastAsia" w:ascii="仿宋" w:hAnsi="仿宋" w:eastAsia="仿宋"/>
          <w:sz w:val="32"/>
          <w:szCs w:val="32"/>
          <w:lang w:val="en-US" w:eastAsia="zh-CN"/>
        </w:rPr>
        <w:t>0</w:t>
      </w:r>
      <w:r>
        <w:rPr>
          <w:rFonts w:hint="eastAsia" w:ascii="仿宋" w:hAnsi="仿宋" w:eastAsia="仿宋"/>
          <w:sz w:val="32"/>
          <w:szCs w:val="32"/>
        </w:rPr>
        <w:t>人,自收自支编制人数</w:t>
      </w:r>
      <w:r>
        <w:rPr>
          <w:rFonts w:hint="eastAsia" w:ascii="仿宋" w:hAnsi="仿宋" w:eastAsia="仿宋"/>
          <w:sz w:val="32"/>
          <w:szCs w:val="32"/>
          <w:lang w:val="en-US" w:eastAsia="zh-CN"/>
        </w:rPr>
        <w:t>0</w:t>
      </w:r>
      <w:r>
        <w:rPr>
          <w:rFonts w:hint="eastAsia" w:ascii="仿宋" w:hAnsi="仿宋" w:eastAsia="仿宋"/>
          <w:sz w:val="32"/>
          <w:szCs w:val="32"/>
        </w:rPr>
        <w:t>人。实有人数小计</w:t>
      </w:r>
      <w:r>
        <w:rPr>
          <w:rFonts w:hint="eastAsia" w:ascii="仿宋" w:hAnsi="仿宋" w:eastAsia="仿宋"/>
          <w:sz w:val="32"/>
          <w:szCs w:val="32"/>
          <w:lang w:val="en-US" w:eastAsia="zh-CN"/>
        </w:rPr>
        <w:t>26</w:t>
      </w:r>
      <w:r>
        <w:rPr>
          <w:rFonts w:hint="eastAsia" w:ascii="仿宋" w:hAnsi="仿宋" w:eastAsia="仿宋"/>
          <w:sz w:val="32"/>
          <w:szCs w:val="32"/>
        </w:rPr>
        <w:t>人,其中：在职人数小计</w:t>
      </w:r>
      <w:r>
        <w:rPr>
          <w:rFonts w:hint="eastAsia" w:ascii="仿宋" w:hAnsi="仿宋" w:eastAsia="仿宋"/>
          <w:sz w:val="32"/>
          <w:szCs w:val="32"/>
          <w:lang w:val="en-US" w:eastAsia="zh-CN"/>
        </w:rPr>
        <w:t>26</w:t>
      </w:r>
      <w:r>
        <w:rPr>
          <w:rFonts w:hint="eastAsia" w:ascii="仿宋" w:hAnsi="仿宋" w:eastAsia="仿宋"/>
          <w:sz w:val="32"/>
          <w:szCs w:val="32"/>
        </w:rPr>
        <w:t>人</w:t>
      </w:r>
      <w:r>
        <w:rPr>
          <w:rFonts w:hint="eastAsia" w:ascii="楷体" w:hAnsi="楷体" w:eastAsia="楷体" w:cs="楷体"/>
          <w:sz w:val="30"/>
          <w:szCs w:val="30"/>
        </w:rPr>
        <w:t>（行政在职人数</w:t>
      </w:r>
      <w:r>
        <w:rPr>
          <w:rFonts w:hint="eastAsia" w:ascii="楷体" w:hAnsi="楷体" w:eastAsia="楷体" w:cs="楷体"/>
          <w:sz w:val="30"/>
          <w:szCs w:val="30"/>
          <w:lang w:val="en-US" w:eastAsia="zh-CN"/>
        </w:rPr>
        <w:t>26</w:t>
      </w:r>
      <w:r>
        <w:rPr>
          <w:rFonts w:hint="eastAsia" w:ascii="楷体" w:hAnsi="楷体" w:eastAsia="楷体" w:cs="楷体"/>
          <w:sz w:val="30"/>
          <w:szCs w:val="30"/>
        </w:rPr>
        <w:t>人,参照公务员管理的事业单位在职人数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人,全部补助事业在职人数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16</w:t>
      </w:r>
      <w:r>
        <w:rPr>
          <w:rFonts w:hint="eastAsia" w:ascii="仿宋" w:hAnsi="仿宋" w:eastAsia="仿宋"/>
          <w:sz w:val="32"/>
          <w:szCs w:val="32"/>
        </w:rPr>
        <w:t>人。</w:t>
      </w:r>
    </w:p>
    <w:p>
      <w:pPr>
        <w:spacing w:line="240" w:lineRule="auto"/>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部分</w:t>
      </w:r>
      <w:r>
        <w:rPr>
          <w:rFonts w:hint="eastAsia" w:ascii="黑体" w:hAnsi="黑体" w:eastAsia="黑体" w:cs="黑体"/>
          <w:b w:val="0"/>
          <w:bCs w:val="0"/>
          <w:sz w:val="32"/>
          <w:szCs w:val="32"/>
          <w:lang w:val="en-US" w:eastAsia="zh-CN"/>
        </w:rPr>
        <w:t xml:space="preserve"> 2024年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预算情况说明</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2024</w:t>
      </w:r>
      <w:r>
        <w:rPr>
          <w:rFonts w:hint="eastAsia" w:ascii="楷体" w:hAnsi="楷体" w:eastAsia="楷体" w:cs="楷体"/>
          <w:b/>
          <w:bCs/>
          <w:sz w:val="32"/>
          <w:szCs w:val="32"/>
        </w:rPr>
        <w:t>年</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ascii="仿宋" w:hAnsi="仿宋" w:eastAsia="仿宋" w:cs="仿宋"/>
          <w:b/>
          <w:bCs/>
          <w:sz w:val="32"/>
          <w:szCs w:val="32"/>
        </w:rPr>
      </w:pPr>
      <w:r>
        <w:rPr>
          <w:rFonts w:hint="eastAsia" w:ascii="仿宋" w:hAnsi="仿宋" w:eastAsia="仿宋" w:cs="仿宋"/>
          <w:b/>
          <w:bCs/>
          <w:sz w:val="32"/>
          <w:szCs w:val="32"/>
        </w:rPr>
        <w:t>（一）收入预算情况</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本单位收入</w:t>
      </w:r>
      <w:r>
        <w:rPr>
          <w:rFonts w:hint="eastAsia" w:ascii="仿宋" w:hAnsi="仿宋" w:eastAsia="仿宋" w:cs="仿宋"/>
          <w:sz w:val="30"/>
          <w:szCs w:val="30"/>
        </w:rPr>
        <w:t>预算</w:t>
      </w:r>
      <w:r>
        <w:rPr>
          <w:rFonts w:hint="eastAsia" w:ascii="仿宋" w:hAnsi="仿宋" w:eastAsia="仿宋" w:cs="仿宋"/>
          <w:sz w:val="30"/>
          <w:szCs w:val="30"/>
          <w:lang w:eastAsia="zh-CN"/>
        </w:rPr>
        <w:t>总额</w:t>
      </w:r>
      <w:r>
        <w:rPr>
          <w:rFonts w:hint="eastAsia" w:ascii="仿宋" w:hAnsi="仿宋" w:eastAsia="仿宋" w:cs="仿宋"/>
          <w:sz w:val="30"/>
          <w:szCs w:val="30"/>
          <w:lang w:val="en-US" w:eastAsia="zh-CN"/>
        </w:rPr>
        <w:t>842.35</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19.46万元，减0.9%。增减变化主要原因是：厉行节约，反对浪费，进一步压缩各类不必要的开支，坚持过紧日子；人员减少。</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其中：财政拨款收入777.35万元,较上年预算安排减少19.46万元;其他收入 65 万元，与上年预算安排持平。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（二）支出预算情况</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2024年本单位支出预算总额842.35万元，较上年预算安排减19.46万元，减0.9%。增减变化主要原因是：厉行节约，反对浪费，进一步压缩各类不必要的开支，坚持过紧日子；人员减少。</w:t>
      </w:r>
    </w:p>
    <w:p>
      <w:pPr>
        <w:pStyle w:val="4"/>
        <w:spacing w:before="264" w:line="383" w:lineRule="auto"/>
        <w:ind w:left="8" w:firstLine="584"/>
      </w:pPr>
      <w:r>
        <w:rPr>
          <w:rFonts w:hint="eastAsia" w:ascii="仿宋" w:hAnsi="仿宋" w:eastAsia="仿宋" w:cs="仿宋"/>
          <w:color w:val="auto"/>
          <w:sz w:val="32"/>
          <w:szCs w:val="32"/>
          <w:lang w:val="en-US" w:eastAsia="zh-CN"/>
        </w:rPr>
        <w:t>按支出功能分类科目划分：一般公共服务支出694.69万元,较上年预算安排减少60.53万元;社会保障和就业支出42.84万元,较上年预算安排增加0.66万元;卫生健康支出22.25万元,较上年预算安排减少10.28万元;住房保障支出32.57万元,较上年预算安排增加0.69万元;其他支出50万元,</w:t>
      </w:r>
      <w:r>
        <w:rPr>
          <w:spacing w:val="5"/>
        </w:rPr>
        <w:t>较上年预算安</w:t>
      </w:r>
    </w:p>
    <w:p>
      <w:pPr>
        <w:pStyle w:val="4"/>
        <w:spacing w:before="1" w:line="227" w:lineRule="auto"/>
        <w:ind w:left="3"/>
      </w:pPr>
      <w:r>
        <w:rPr>
          <w:spacing w:val="-1"/>
        </w:rPr>
        <w:t>排增加</w:t>
      </w:r>
      <w:r>
        <w:rPr>
          <w:spacing w:val="-51"/>
        </w:rPr>
        <w:t xml:space="preserve"> </w:t>
      </w:r>
      <w:r>
        <w:rPr>
          <w:spacing w:val="-1"/>
        </w:rPr>
        <w:t>50</w:t>
      </w:r>
      <w:r>
        <w:rPr>
          <w:spacing w:val="-53"/>
        </w:rPr>
        <w:t xml:space="preserve"> </w:t>
      </w:r>
      <w:r>
        <w:rPr>
          <w:spacing w:val="-1"/>
        </w:rPr>
        <w:t>万元</w:t>
      </w:r>
      <w:r>
        <w:rPr>
          <w:rFonts w:hint="eastAsia"/>
          <w:spacing w:val="-1"/>
          <w:lang w:eastAsia="zh-CN"/>
        </w:rPr>
        <w:t>。</w:t>
      </w:r>
    </w:p>
    <w:p>
      <w:pPr>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按支出项目类别划分：1、基本支出 452.26万元，较上年预算安排减16.46元，其中：工资福利支出403.08万元，商品和服务支出44.17万元，对个人和家庭的补助  5.01 万元。2、项目支出390.09万元，较上年预算安排减少3万元，其中：商品和服务支出340.09万元，其他相关支出50万元。</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工资福利支出403.08万元，较上年预算安排减19.51万元；商品和服务支出384.26万元，较上年预算安排增1.48元；对个人和家庭的补助5.01万元，较上年预算安排增1.53万元；其他相关支出50万元，与上年预算安排持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（三）财政拨款支出情况</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本单位财政拨款（补助）支出预算777.35万元，占本年支出预算额的92.3%，较上年预算安排减19.46万元，减0.9%。增减变化主要原因是：厉行节约，反对浪费，进一步压缩各类不必要的开支，坚持过紧日子；人员减少。具体为：</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一般公共服务支出679.69万元,较上年预算安排减少10.53万元;社会保障和就业支出42.84万元,较上年预算安排增加0.66万元;卫生健康支出22.25万元,较上年预算安排减少10.28万元;住房保障支出32.57万元,较上年预算安排增加0.69万元。</w:t>
      </w:r>
    </w:p>
    <w:p>
      <w:pPr>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按支出项目类别划分：1、基本支出 452.26万元，较上年预算安排减16.46万元，其中：工资福利支出  403.08万元，商品和服务支出44.17 万元，对个人和家庭的补助5.01万元。2、项目支出325.09万元，较上年预算安排减3万元，其中：商品和服务支出325.09万元。</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（四）政府性基金情况</w:t>
      </w:r>
    </w:p>
    <w:p>
      <w:pPr>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本单位无使用政府性基金预算拨款安排的支出</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（五）国有资本经营情况</w:t>
      </w:r>
    </w:p>
    <w:p>
      <w:pPr>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本单位无使用国有资本经营预算拨款安排的支出</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（六）机关运行经费等重要事项的说明</w:t>
      </w:r>
    </w:p>
    <w:p>
      <w:pPr>
        <w:ind w:firstLine="585"/>
        <w:jc w:val="left"/>
      </w:pPr>
      <w:r>
        <w:rPr>
          <w:rFonts w:hint="eastAsia" w:ascii="仿宋" w:hAnsi="仿宋" w:eastAsia="仿宋" w:cs="仿宋"/>
          <w:color w:val="auto"/>
          <w:sz w:val="32"/>
          <w:szCs w:val="32"/>
          <w:lang w:val="en-US" w:eastAsia="zh-CN"/>
        </w:rPr>
        <w:t>2024年本单位机关运行费预算44.17万元</w:t>
      </w:r>
      <w:r>
        <w:rPr>
          <w:spacing w:val="7"/>
        </w:rPr>
        <w:t>,</w:t>
      </w:r>
      <w:r>
        <w:rPr>
          <w:rFonts w:hint="eastAsia" w:ascii="仿宋" w:hAnsi="仿宋" w:eastAsia="仿宋" w:cs="仿宋"/>
          <w:color w:val="auto"/>
          <w:sz w:val="32"/>
          <w:szCs w:val="32"/>
          <w:lang w:val="en-US" w:eastAsia="zh-CN"/>
        </w:rPr>
        <w:t>较上年预算安排增 1.51 万元，增 3.5%，主要原因是：人员变动及公务用车运行费 3 万元从项目支出调整到公用经费。</w:t>
      </w:r>
    </w:p>
    <w:p>
      <w:pPr>
        <w:ind w:firstLine="320" w:firstLineChars="1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（七）政府采购情况</w:t>
      </w:r>
    </w:p>
    <w:p>
      <w:pPr>
        <w:ind w:firstLine="585"/>
        <w:jc w:val="left"/>
        <w:rPr>
          <w:rFonts w:ascii="仿宋" w:hAnsi="仿宋" w:eastAsia="仿宋" w:cs="仿宋"/>
          <w:color w:val="FF0000"/>
          <w:sz w:val="32"/>
          <w:szCs w:val="32"/>
        </w:rPr>
      </w:pPr>
      <w:r>
        <w:rPr>
          <w:rFonts w:hint="eastAsia" w:ascii="仿宋" w:hAnsi="仿宋" w:eastAsia="仿宋" w:cs="仿宋"/>
          <w:color w:val="auto"/>
          <w:sz w:val="32"/>
          <w:szCs w:val="32"/>
          <w:lang w:val="en-US" w:eastAsia="zh-CN"/>
        </w:rPr>
        <w:t>2024年本单位所属各单位政府采购总额0万元，其中：政府采购货物预算0万元、政府采购工程预算0万元、政府采购</w:t>
      </w:r>
      <w:r>
        <w:rPr>
          <w:rFonts w:hint="eastAsia" w:ascii="仿宋" w:hAnsi="仿宋" w:eastAsia="仿宋" w:cs="仿宋"/>
          <w:color w:val="auto"/>
          <w:sz w:val="32"/>
          <w:szCs w:val="32"/>
        </w:rPr>
        <w:t>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2023年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rPr>
      </w:pPr>
      <w:r>
        <w:rPr>
          <w:rFonts w:hint="eastAsia" w:ascii="仿宋" w:hAnsi="仿宋" w:eastAsia="仿宋" w:cs="仿宋"/>
          <w:color w:val="auto"/>
          <w:sz w:val="32"/>
          <w:szCs w:val="32"/>
          <w:lang w:val="en-US" w:eastAsia="zh-CN"/>
        </w:rPr>
        <w:t>2024年本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lang w:eastAsia="zh-CN"/>
        </w:rPr>
        <w:t>无安排</w:t>
      </w:r>
      <w:r>
        <w:rPr>
          <w:rFonts w:hint="eastAsia" w:ascii="仿宋" w:hAnsi="仿宋" w:eastAsia="仿宋" w:cs="仿宋"/>
          <w:color w:val="auto"/>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整体</w:t>
      </w:r>
      <w:r>
        <w:rPr>
          <w:rFonts w:hint="eastAsia" w:ascii="仿宋" w:hAnsi="仿宋" w:eastAsia="仿宋" w:cs="仿宋"/>
          <w:b/>
          <w:bCs/>
          <w:sz w:val="32"/>
          <w:szCs w:val="32"/>
        </w:rPr>
        <w:t>绩效目标设置情况</w:t>
      </w:r>
    </w:p>
    <w:p>
      <w:pPr>
        <w:pStyle w:val="4"/>
        <w:numPr>
          <w:ilvl w:val="0"/>
          <w:numId w:val="0"/>
        </w:numPr>
        <w:ind w:firstLine="640" w:firstLineChars="200"/>
        <w:rPr>
          <w:rFonts w:hint="eastAsia" w:ascii="仿宋_GB2312" w:hAnsi="仿宋_GB2312" w:eastAsia="仿宋_GB2312" w:cs="仿宋_GB2312"/>
          <w:kern w:val="2"/>
          <w:sz w:val="32"/>
          <w:szCs w:val="32"/>
          <w:lang w:val="en-US" w:eastAsia="zh-CN" w:bidi="zh-CN"/>
        </w:rPr>
      </w:pPr>
      <w:r>
        <w:rPr>
          <w:rFonts w:hint="eastAsia" w:ascii="仿宋" w:hAnsi="仿宋" w:eastAsia="仿宋" w:cs="仿宋"/>
          <w:color w:val="auto"/>
          <w:kern w:val="2"/>
          <w:sz w:val="32"/>
          <w:szCs w:val="32"/>
          <w:lang w:val="en-US" w:eastAsia="zh-CN" w:bidi="ar-SA"/>
        </w:rPr>
        <w:t>2024年本单位项目支出全面实施绩效目标管理。根据以前年度绩效评价结果，优化2024年预算安排</w:t>
      </w:r>
      <w:r>
        <w:rPr>
          <w:rFonts w:hint="eastAsia"/>
          <w:lang w:val="en-US" w:eastAsia="zh-CN"/>
        </w:rPr>
        <w:t>, 并进一步改进管理、完善政策。</w:t>
      </w:r>
      <w:r>
        <w:rPr>
          <w:rFonts w:hint="eastAsia" w:ascii="仿宋_GB2312" w:hAnsi="仿宋_GB2312" w:eastAsia="仿宋_GB2312" w:cs="仿宋_GB2312"/>
          <w:kern w:val="2"/>
          <w:sz w:val="32"/>
          <w:szCs w:val="32"/>
          <w:lang w:val="en-US" w:eastAsia="zh-CN" w:bidi="zh-CN"/>
        </w:rPr>
        <w:t>2024年本单位预算安排项目</w:t>
      </w:r>
      <w:r>
        <w:rPr>
          <w:rFonts w:hint="eastAsia" w:cs="仿宋_GB2312"/>
          <w:kern w:val="2"/>
          <w:sz w:val="32"/>
          <w:szCs w:val="32"/>
          <w:lang w:val="en-US" w:eastAsia="zh-CN" w:bidi="zh-CN"/>
        </w:rPr>
        <w:t>6</w:t>
      </w:r>
      <w:r>
        <w:rPr>
          <w:rFonts w:hint="eastAsia"/>
          <w:lang w:val="en-US" w:eastAsia="zh-CN"/>
        </w:rPr>
        <w:t>个，项目预算金额合计390.09万元</w:t>
      </w:r>
      <w:r>
        <w:rPr>
          <w:rFonts w:hint="eastAsia" w:ascii="仿宋_GB2312" w:hAnsi="仿宋_GB2312" w:eastAsia="仿宋_GB2312" w:cs="仿宋_GB2312"/>
          <w:kern w:val="2"/>
          <w:sz w:val="32"/>
          <w:szCs w:val="32"/>
          <w:lang w:val="en-US" w:eastAsia="zh-CN" w:bidi="zh-CN"/>
        </w:rPr>
        <w:t>，其中：</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lang w:eastAsia="zh-CN"/>
        </w:rPr>
        <w:t>项目一：</w:t>
      </w:r>
      <w:r>
        <w:rPr>
          <w:rFonts w:hint="eastAsia" w:ascii="仿宋" w:hAnsi="仿宋" w:eastAsia="仿宋"/>
          <w:sz w:val="30"/>
          <w:szCs w:val="30"/>
        </w:rPr>
        <w:t>法律咨询费</w:t>
      </w:r>
    </w:p>
    <w:p>
      <w:pPr>
        <w:ind w:firstLine="585"/>
        <w:jc w:val="left"/>
        <w:rPr>
          <w:rFonts w:hint="eastAsia" w:ascii="仿宋" w:hAnsi="仿宋" w:eastAsia="仿宋" w:cs="仿宋"/>
          <w:color w:val="auto"/>
          <w:sz w:val="32"/>
          <w:szCs w:val="32"/>
          <w:lang w:val="en-US" w:eastAsia="zh-CN"/>
        </w:rPr>
      </w:pPr>
      <w:r>
        <w:rPr>
          <w:rFonts w:hint="eastAsia"/>
          <w:sz w:val="30"/>
          <w:szCs w:val="30"/>
        </w:rPr>
        <w:t>1</w:t>
      </w:r>
      <w:r>
        <w:rPr>
          <w:rFonts w:hint="eastAsia" w:ascii="仿宋" w:hAnsi="仿宋" w:eastAsia="仿宋" w:cs="仿宋"/>
          <w:color w:val="auto"/>
          <w:sz w:val="32"/>
          <w:szCs w:val="32"/>
          <w:lang w:val="en-US" w:eastAsia="zh-CN"/>
        </w:rPr>
        <w:t>.项目概述:法律咨询费用于保障日常工作正常运转，提升机关运转效率和政务服务水平。资金来源为财政拨款。</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2.立项依据:通过法律咨询费的有力保障，进一步优化单位工作环境，营造良好浓厚的工作氛围，提升机关运转效率和政务服务水平。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3.实施主体:以县政府办为实施主体。</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4.实施方案:进一步优化单位工作环境，营造良好浓厚的工作氛围，提升机关运转效率和政务服务水平。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5.实施周期：2024年1月1日至2024年12月31日</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6.年度预算安排：项目库申报金额25万元；预算批复金额20万元</w:t>
      </w:r>
    </w:p>
    <w:p>
      <w:pPr>
        <w:ind w:firstLine="585"/>
        <w:jc w:val="left"/>
        <w:rPr>
          <w:rFonts w:hint="eastAsia"/>
          <w:sz w:val="30"/>
          <w:szCs w:val="30"/>
          <w:lang w:eastAsia="zh-CN"/>
        </w:rPr>
      </w:pPr>
      <w:r>
        <w:rPr>
          <w:rFonts w:hint="eastAsia" w:ascii="仿宋" w:hAnsi="仿宋" w:eastAsia="仿宋" w:cs="仿宋"/>
          <w:color w:val="auto"/>
          <w:sz w:val="32"/>
          <w:szCs w:val="32"/>
          <w:lang w:val="en-US" w:eastAsia="zh-CN"/>
        </w:rPr>
        <w:t>7.年度绩效目标：确保日常工作正常运转，提高工作效率100%</w:t>
      </w:r>
      <w:r>
        <w:rPr>
          <w:rFonts w:hint="eastAsia"/>
          <w:sz w:val="30"/>
          <w:szCs w:val="30"/>
          <w:lang w:eastAsia="zh-CN"/>
        </w:rPr>
        <w:t>。</w:t>
      </w:r>
    </w:p>
    <w:p>
      <w:pPr>
        <w:ind w:left="15" w:leftChars="7" w:firstLine="585" w:firstLineChars="195"/>
        <w:rPr>
          <w:rFonts w:hint="eastAsia"/>
          <w:sz w:val="30"/>
          <w:szCs w:val="30"/>
          <w:lang w:eastAsia="zh-CN"/>
        </w:rPr>
      </w:pPr>
      <w:r>
        <w:rPr>
          <w:rFonts w:hint="eastAsia" w:ascii="宋体" w:hAnsi="宋体" w:eastAsia="宋体" w:cs="宋体"/>
          <w:sz w:val="30"/>
          <w:szCs w:val="30"/>
          <w:lang w:eastAsia="zh-CN"/>
        </w:rPr>
        <w:t>项目二：</w:t>
      </w:r>
      <w:r>
        <w:rPr>
          <w:rFonts w:hint="eastAsia" w:ascii="宋体" w:hAnsi="宋体" w:eastAsia="宋体" w:cs="宋体"/>
          <w:sz w:val="30"/>
          <w:szCs w:val="30"/>
          <w:lang w:val="en-US" w:eastAsia="zh-CN"/>
        </w:rPr>
        <w:t>2024年</w:t>
      </w:r>
      <w:r>
        <w:rPr>
          <w:rFonts w:hint="eastAsia" w:ascii="宋体" w:hAnsi="宋体" w:eastAsia="宋体" w:cs="宋体"/>
          <w:sz w:val="30"/>
          <w:szCs w:val="30"/>
          <w:lang w:eastAsia="zh-CN"/>
        </w:rPr>
        <w:t>其他资金</w:t>
      </w:r>
    </w:p>
    <w:p>
      <w:pPr>
        <w:ind w:firstLine="585"/>
        <w:jc w:val="left"/>
        <w:rPr>
          <w:rFonts w:hint="eastAsia" w:ascii="仿宋" w:hAnsi="仿宋" w:eastAsia="仿宋" w:cs="仿宋"/>
          <w:color w:val="auto"/>
          <w:sz w:val="32"/>
          <w:szCs w:val="32"/>
          <w:lang w:val="en-US" w:eastAsia="zh-CN"/>
        </w:rPr>
      </w:pPr>
      <w:r>
        <w:rPr>
          <w:rFonts w:hint="eastAsia"/>
          <w:sz w:val="30"/>
          <w:szCs w:val="30"/>
        </w:rPr>
        <w:t>1</w:t>
      </w:r>
      <w:r>
        <w:rPr>
          <w:rFonts w:hint="eastAsia" w:ascii="仿宋" w:hAnsi="仿宋" w:eastAsia="仿宋" w:cs="仿宋"/>
          <w:color w:val="auto"/>
          <w:sz w:val="32"/>
          <w:szCs w:val="32"/>
          <w:lang w:val="en-US" w:eastAsia="zh-CN"/>
        </w:rPr>
        <w:t>.项目概述:其他资金用于保障日常工作正常运转，提升机关运转效率和政务服务水平。资金来源为单位资金。</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2.立项依据:通过其他资金的有力保障，进一步优化单位工作环境，营造良好浓厚的工作氛围，提升机关运转效率和政务服务水平。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3.实施主体:以县政府办为实施主体。</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4.实施方案:进一步优化单位工作环境，营造良好浓厚的工作氛围，提升机关运转效率和政务服务水平。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5.实施周期：2024年1月1日至2024年12月31日</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6.年度预算安排：项目库申报金额50万元；预算批复金额50万元</w:t>
      </w:r>
    </w:p>
    <w:p>
      <w:pPr>
        <w:ind w:firstLine="585"/>
        <w:jc w:val="left"/>
        <w:rPr>
          <w:rFonts w:hint="eastAsia"/>
          <w:sz w:val="30"/>
          <w:szCs w:val="30"/>
          <w:lang w:eastAsia="zh-CN"/>
        </w:rPr>
      </w:pPr>
      <w:r>
        <w:rPr>
          <w:rFonts w:hint="eastAsia" w:ascii="仿宋" w:hAnsi="仿宋" w:eastAsia="仿宋" w:cs="仿宋"/>
          <w:color w:val="auto"/>
          <w:sz w:val="32"/>
          <w:szCs w:val="32"/>
          <w:lang w:val="en-US" w:eastAsia="zh-CN"/>
        </w:rPr>
        <w:t>7.年度绩效目标：确保日常工作正常运转，提高工作效率100%</w:t>
      </w:r>
      <w:r>
        <w:rPr>
          <w:rFonts w:hint="eastAsia"/>
          <w:sz w:val="30"/>
          <w:szCs w:val="30"/>
          <w:lang w:eastAsia="zh-CN"/>
        </w:rPr>
        <w:t>。</w:t>
      </w:r>
    </w:p>
    <w:p>
      <w:pPr>
        <w:ind w:firstLine="585"/>
        <w:jc w:val="left"/>
        <w:rPr>
          <w:rFonts w:hint="eastAsia"/>
          <w:sz w:val="30"/>
          <w:szCs w:val="30"/>
          <w:lang w:eastAsia="zh-CN"/>
        </w:rPr>
      </w:pPr>
      <w:r>
        <w:rPr>
          <w:rFonts w:hint="eastAsia"/>
          <w:sz w:val="30"/>
          <w:szCs w:val="30"/>
          <w:lang w:eastAsia="zh-CN"/>
        </w:rPr>
        <w:t>项目三：业务工作经费</w:t>
      </w:r>
    </w:p>
    <w:p>
      <w:pPr>
        <w:ind w:firstLine="585"/>
        <w:jc w:val="left"/>
        <w:rPr>
          <w:rFonts w:hint="eastAsia" w:ascii="仿宋" w:hAnsi="仿宋" w:eastAsia="仿宋" w:cs="仿宋"/>
          <w:color w:val="auto"/>
          <w:sz w:val="32"/>
          <w:szCs w:val="32"/>
          <w:lang w:val="en-US" w:eastAsia="zh-CN"/>
        </w:rPr>
      </w:pPr>
      <w:r>
        <w:rPr>
          <w:rFonts w:hint="eastAsia"/>
          <w:sz w:val="30"/>
          <w:szCs w:val="30"/>
          <w:lang w:val="en-US" w:eastAsia="zh-CN"/>
        </w:rPr>
        <w:t>1</w:t>
      </w:r>
      <w:r>
        <w:rPr>
          <w:rFonts w:hint="eastAsia" w:ascii="仿宋" w:hAnsi="仿宋" w:eastAsia="仿宋" w:cs="仿宋"/>
          <w:color w:val="auto"/>
          <w:sz w:val="32"/>
          <w:szCs w:val="32"/>
          <w:lang w:val="en-US" w:eastAsia="zh-CN"/>
        </w:rPr>
        <w:t>.项目概述:业务工作经费用于保障工会经费、差旅费等费用支出；承担其他日常经费开支。资金来源为财政拨款。</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2.立项依据:通过业务工作费的有力保障，进一步优化单位工作环境，营造良好浓厚的工作氛围，提升机关运转效率和政务服务水平。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3.实施主体:以县政府办为实施主体。</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4.实施方案:进一步优化单位工作环境，营造良好浓厚的工作氛围，提升机关运转效率和政务服务水平。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5.实施周期：2024年1月1日至2024年12月31日</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6.年度预算安排：项目库申报金额139.79万元；预算批复金额139.79万元</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7.年度绩效目标：确保日常工作正常运转，提高工作效率100%。</w:t>
      </w:r>
    </w:p>
    <w:p>
      <w:pPr>
        <w:ind w:left="15" w:leftChars="7" w:firstLine="585" w:firstLineChars="195"/>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项目四:政务网络专线及电子政务系统运行经费</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1.项目概述:政务网络专线及电子政务系统运行经费用于保障日常工作正常运转，提升机关运转效率和政务服务水平。资金来源为财政拨款。</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2.立项依据:通过政务网络专线及电子政务系统运行经费的有力保障，进一步优化单位工作环境，营造良好浓厚的工作氛围，提升机关运转效率和政务服务水平。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3.实施主体:以县政府办为实施主体。</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4.实施方案:进一步优化单位工作环境，营造良好浓厚的工作氛围，提升机关运转效率和政务服务水平。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5.实施周期：2024年1月1日至2024年12月31日</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6.年度预算安排：项目库申报金额58.8万元；预算批复金额58.8万元</w:t>
      </w:r>
    </w:p>
    <w:p>
      <w:pPr>
        <w:ind w:firstLine="585"/>
        <w:jc w:val="left"/>
        <w:rPr>
          <w:rFonts w:hint="eastAsia"/>
          <w:sz w:val="30"/>
          <w:szCs w:val="30"/>
          <w:lang w:eastAsia="zh-CN"/>
        </w:rPr>
      </w:pPr>
      <w:r>
        <w:rPr>
          <w:rFonts w:hint="eastAsia" w:ascii="仿宋" w:hAnsi="仿宋" w:eastAsia="仿宋" w:cs="仿宋"/>
          <w:color w:val="auto"/>
          <w:sz w:val="32"/>
          <w:szCs w:val="32"/>
          <w:lang w:val="en-US" w:eastAsia="zh-CN"/>
        </w:rPr>
        <w:t>7.年度绩效目标：确保日常工作正常运转，提高工作效率</w:t>
      </w:r>
      <w:r>
        <w:rPr>
          <w:rFonts w:hint="eastAsia" w:ascii="仿宋" w:hAnsi="仿宋" w:eastAsia="仿宋" w:cs="仿宋"/>
          <w:sz w:val="30"/>
          <w:szCs w:val="30"/>
        </w:rPr>
        <w:t>100%</w:t>
      </w:r>
      <w:r>
        <w:rPr>
          <w:rFonts w:hint="eastAsia" w:ascii="仿宋" w:hAnsi="仿宋" w:eastAsia="仿宋" w:cs="仿宋"/>
          <w:sz w:val="30"/>
          <w:szCs w:val="30"/>
          <w:lang w:eastAsia="zh-CN"/>
        </w:rPr>
        <w:t>。</w:t>
      </w:r>
    </w:p>
    <w:p>
      <w:pPr>
        <w:ind w:left="15" w:leftChars="7" w:firstLine="585" w:firstLineChars="195"/>
        <w:rPr>
          <w:rFonts w:hint="eastAsia"/>
          <w:sz w:val="30"/>
          <w:szCs w:val="30"/>
          <w:lang w:val="en-US" w:eastAsia="zh-CN"/>
        </w:rPr>
      </w:pPr>
      <w:r>
        <w:rPr>
          <w:rFonts w:hint="eastAsia"/>
          <w:sz w:val="30"/>
          <w:szCs w:val="30"/>
          <w:lang w:eastAsia="zh-CN"/>
        </w:rPr>
        <w:t>项目五</w:t>
      </w:r>
      <w:r>
        <w:rPr>
          <w:rFonts w:hint="eastAsia"/>
          <w:sz w:val="30"/>
          <w:szCs w:val="30"/>
          <w:lang w:val="en-US" w:eastAsia="zh-CN"/>
        </w:rPr>
        <w:t>:公务接待经费</w:t>
      </w:r>
    </w:p>
    <w:p>
      <w:pPr>
        <w:ind w:firstLine="585"/>
        <w:jc w:val="left"/>
        <w:rPr>
          <w:rFonts w:hint="eastAsia" w:ascii="仿宋" w:hAnsi="仿宋" w:eastAsia="仿宋" w:cs="仿宋"/>
          <w:color w:val="auto"/>
          <w:sz w:val="32"/>
          <w:szCs w:val="32"/>
          <w:lang w:val="en-US" w:eastAsia="zh-CN"/>
        </w:rPr>
      </w:pPr>
      <w:r>
        <w:rPr>
          <w:rFonts w:hint="eastAsia"/>
          <w:sz w:val="30"/>
          <w:szCs w:val="30"/>
        </w:rPr>
        <w:t>1</w:t>
      </w:r>
      <w:r>
        <w:rPr>
          <w:rFonts w:hint="eastAsia" w:ascii="仿宋" w:hAnsi="仿宋" w:eastAsia="仿宋" w:cs="仿宋"/>
          <w:color w:val="auto"/>
          <w:sz w:val="32"/>
          <w:szCs w:val="32"/>
          <w:lang w:val="en-US" w:eastAsia="zh-CN"/>
        </w:rPr>
        <w:t>.项目概述:公务接待经费于保障日常工作正常运转，提升机关运转效率和政务服务水平。资金来源为财政拨款。</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2.立项依据:通过公务接待经费的有力保障，进一步优化单位工作环境，营造良好浓厚的工作氛围，提升机关运转效率和政务服务水平。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3.实施主体:以县政府办为实施主体。</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4.实施方案:进一步优化单位工作环境，营造良好浓厚的工作氛围，提升机关运转效率和政务服务水平。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5.实施周期：2024年1月1日至2024年12月31日</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6.年度预算安排：项目库申报金额106.9万元；预算批复金额106.9万元</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7.年度绩效目标：确保日常工作正常运转，提高工作效率100%。</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项目六:因公出国（境）费用</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1.项目概述: 因公出国（境）费用用于出国业务开展。资金来源为其他资金</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2.立项依据:通过因公出国（境）费用的有力保障，提升机关运转效率和政务服务水平。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3.实施主体:以县政府办为实施主体。</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4.实施方案:进一步优化单位工作环境，营造良好浓厚的工作氛围，提升机关运转效率和政务服务水平。</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5.实施周期：2024年1月1日至2024年12月31日</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6.年度预算安排：项目库申报金额15万元；预算批复金额15万元</w:t>
      </w:r>
    </w:p>
    <w:p>
      <w:pPr>
        <w:ind w:firstLine="585"/>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7.年度绩效目标：确保日常工作正常运转，提高工作效率100%。</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2024年</w:t>
      </w:r>
      <w:r>
        <w:rPr>
          <w:rFonts w:hint="eastAsia" w:ascii="楷体" w:hAnsi="楷体" w:eastAsia="楷体" w:cs="楷体"/>
          <w:b/>
          <w:bCs/>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115.5</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r>
        <w:rPr>
          <w:rFonts w:hint="eastAsia" w:ascii="仿宋" w:hAnsi="仿宋" w:eastAsia="仿宋" w:cs="仿宋"/>
          <w:sz w:val="32"/>
          <w:szCs w:val="32"/>
        </w:rPr>
        <w:t>，比上年增（减）</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106.5</w:t>
      </w:r>
      <w:r>
        <w:rPr>
          <w:rFonts w:hint="eastAsia" w:ascii="仿宋" w:hAnsi="仿宋" w:eastAsia="仿宋" w:cs="仿宋"/>
          <w:sz w:val="32"/>
          <w:szCs w:val="32"/>
          <w:lang w:eastAsia="zh-CN"/>
        </w:rPr>
        <w:t>万元</w:t>
      </w:r>
      <w:r>
        <w:rPr>
          <w:rFonts w:hint="eastAsia" w:ascii="仿宋" w:hAnsi="仿宋" w:eastAsia="仿宋" w:cs="仿宋"/>
          <w:sz w:val="32"/>
          <w:szCs w:val="32"/>
        </w:rPr>
        <w:t>，比上年增（减）</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万元</w:t>
      </w:r>
      <w:r>
        <w:rPr>
          <w:rFonts w:hint="eastAsia" w:ascii="仿宋" w:hAnsi="仿宋" w:eastAsia="仿宋" w:cs="仿宋"/>
          <w:sz w:val="32"/>
          <w:szCs w:val="32"/>
        </w:rPr>
        <w:t>，比上年增（减）</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w:t>
      </w:r>
      <w:r>
        <w:rPr>
          <w:rFonts w:hint="eastAsia" w:ascii="仿宋" w:hAnsi="仿宋" w:eastAsia="仿宋" w:cs="仿宋"/>
          <w:sz w:val="32"/>
          <w:szCs w:val="32"/>
        </w:rPr>
        <w:t>。</w:t>
      </w:r>
    </w:p>
    <w:p>
      <w:pPr>
        <w:spacing w:line="24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r>
        <w:rPr>
          <w:rFonts w:hint="eastAsia" w:ascii="仿宋" w:hAnsi="仿宋" w:eastAsia="仿宋" w:cs="仿宋"/>
          <w:sz w:val="32"/>
          <w:szCs w:val="32"/>
        </w:rPr>
        <w:t>，比上年增（减）</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主要原因：无相关业务，不安排相关资金</w:t>
      </w:r>
      <w:r>
        <w:rPr>
          <w:rFonts w:hint="eastAsia" w:ascii="仿宋" w:hAnsi="仿宋" w:eastAsia="仿宋" w:cs="仿宋"/>
          <w:sz w:val="32"/>
          <w:szCs w:val="32"/>
        </w:rPr>
        <w:t>。</w:t>
      </w: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2024年</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pPr>
        <w:pStyle w:val="4"/>
        <w:jc w:val="center"/>
        <w:rPr>
          <w:rFonts w:hint="eastAsia" w:eastAsia="仿宋"/>
          <w:color w:val="auto"/>
          <w:lang w:eastAsia="zh-CN"/>
        </w:rPr>
      </w:pPr>
      <w:r>
        <w:rPr>
          <w:rFonts w:hint="eastAsia" w:eastAsia="仿宋"/>
          <w:color w:val="auto"/>
          <w:lang w:eastAsia="zh-CN"/>
        </w:rPr>
        <w:t>（详见附表）</w:t>
      </w: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本单位</w:t>
      </w:r>
      <w:r>
        <w:rPr>
          <w:rFonts w:hint="eastAsia" w:ascii="仿宋" w:hAnsi="仿宋" w:eastAsia="仿宋" w:cs="仿宋"/>
          <w:sz w:val="32"/>
          <w:szCs w:val="32"/>
        </w:rPr>
        <w:t>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本单位</w:t>
      </w:r>
      <w:r>
        <w:rPr>
          <w:rFonts w:hint="eastAsia" w:ascii="仿宋" w:hAnsi="仿宋" w:eastAsia="仿宋" w:cs="仿宋"/>
          <w:sz w:val="32"/>
          <w:szCs w:val="32"/>
        </w:rPr>
        <w:t>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2024</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2023</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w:t>
      </w:r>
      <w:r>
        <w:rPr>
          <w:rFonts w:hint="eastAsia" w:ascii="仿宋" w:hAnsi="仿宋" w:eastAsia="仿宋" w:cs="仿宋"/>
          <w:sz w:val="32"/>
          <w:szCs w:val="32"/>
          <w:lang w:eastAsia="zh-CN"/>
        </w:rPr>
        <w:t>本单位</w:t>
      </w:r>
      <w:r>
        <w:rPr>
          <w:rFonts w:hint="eastAsia" w:ascii="仿宋" w:hAnsi="仿宋" w:eastAsia="仿宋" w:cs="仿宋"/>
          <w:sz w:val="32"/>
          <w:szCs w:val="32"/>
        </w:rPr>
        <w:t>或单位预算中涉及的支出功能分类科目（明细到项级），结合</w:t>
      </w:r>
      <w:r>
        <w:rPr>
          <w:rFonts w:hint="eastAsia" w:ascii="仿宋" w:hAnsi="仿宋" w:eastAsia="仿宋" w:cs="仿宋"/>
          <w:sz w:val="32"/>
          <w:szCs w:val="32"/>
          <w:lang w:eastAsia="zh-CN"/>
        </w:rPr>
        <w:t>本单位</w:t>
      </w:r>
      <w:r>
        <w:rPr>
          <w:rFonts w:hint="eastAsia" w:ascii="仿宋" w:hAnsi="仿宋" w:eastAsia="仿宋" w:cs="仿宋"/>
          <w:sz w:val="32"/>
          <w:szCs w:val="32"/>
        </w:rPr>
        <w:t>实际，参照《</w:t>
      </w:r>
      <w:r>
        <w:rPr>
          <w:rFonts w:hint="eastAsia" w:ascii="仿宋" w:hAnsi="仿宋" w:eastAsia="仿宋" w:cs="仿宋"/>
          <w:sz w:val="32"/>
          <w:szCs w:val="32"/>
          <w:lang w:val="en-US" w:eastAsia="zh-CN"/>
        </w:rPr>
        <w:t>2024</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本单位</w:t>
      </w:r>
      <w:r>
        <w:rPr>
          <w:rFonts w:hint="eastAsia" w:ascii="仿宋" w:hAnsi="仿宋" w:eastAsia="仿宋" w:cs="仿宋"/>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86"/>
    <w:family w:val="swiss"/>
    <w:pitch w:val="default"/>
    <w:sig w:usb0="00000000" w:usb1="00000000" w:usb2="00000001" w:usb3="00000000" w:csb0="0000019F"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AaxfIyAgAAYwQAAA4AAAAAAAAAAQAgAAAA&#10;NQEAAGRycy9lMm9Eb2MueG1sUEsFBgAAAAAGAAYAWQEAANkFA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HjdbH3QAQAApwMA&#10;AA4AAAAAAAAAAQAgAAAANAEAAGRycy9lMm9Eb2MueG1sUEsFBgAAAAAGAAYAWQEAAHYFA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A49182"/>
    <w:multiLevelType w:val="singleLevel"/>
    <w:tmpl w:val="79A49182"/>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xNGZjMGY2Mzk5OWNlMjJlZjNiZDAxMTdlZjcwMjkifQ=="/>
  </w:docVars>
  <w:rsids>
    <w:rsidRoot w:val="445E02C8"/>
    <w:rsid w:val="03A93526"/>
    <w:rsid w:val="04DB3EBD"/>
    <w:rsid w:val="04EE7A30"/>
    <w:rsid w:val="05452235"/>
    <w:rsid w:val="05FD6618"/>
    <w:rsid w:val="063F4ED6"/>
    <w:rsid w:val="06A76233"/>
    <w:rsid w:val="07E15B19"/>
    <w:rsid w:val="08142F09"/>
    <w:rsid w:val="0B6B051B"/>
    <w:rsid w:val="0CB240EF"/>
    <w:rsid w:val="0E4E2517"/>
    <w:rsid w:val="0EC73CBB"/>
    <w:rsid w:val="0F4B669A"/>
    <w:rsid w:val="150775E9"/>
    <w:rsid w:val="182D6AF5"/>
    <w:rsid w:val="19CF11C0"/>
    <w:rsid w:val="1A803BA6"/>
    <w:rsid w:val="1AD36A86"/>
    <w:rsid w:val="1ADA6A09"/>
    <w:rsid w:val="1C215462"/>
    <w:rsid w:val="1C2E1720"/>
    <w:rsid w:val="1C33298F"/>
    <w:rsid w:val="1DE32862"/>
    <w:rsid w:val="1EA8395A"/>
    <w:rsid w:val="1F226863"/>
    <w:rsid w:val="208C1E7D"/>
    <w:rsid w:val="21E85FCA"/>
    <w:rsid w:val="25360FFE"/>
    <w:rsid w:val="28702875"/>
    <w:rsid w:val="28C8445F"/>
    <w:rsid w:val="28D23530"/>
    <w:rsid w:val="2C5A5D16"/>
    <w:rsid w:val="2C8E5424"/>
    <w:rsid w:val="2C95120B"/>
    <w:rsid w:val="2D800699"/>
    <w:rsid w:val="2F430CE4"/>
    <w:rsid w:val="2F7C0FE2"/>
    <w:rsid w:val="31FF798A"/>
    <w:rsid w:val="326812C6"/>
    <w:rsid w:val="326D79FF"/>
    <w:rsid w:val="326F585D"/>
    <w:rsid w:val="330E785B"/>
    <w:rsid w:val="34E22098"/>
    <w:rsid w:val="352A6ADB"/>
    <w:rsid w:val="376E2676"/>
    <w:rsid w:val="3A4013F4"/>
    <w:rsid w:val="3C3F0A85"/>
    <w:rsid w:val="3C7324DC"/>
    <w:rsid w:val="3F5F2902"/>
    <w:rsid w:val="3FFE2FA6"/>
    <w:rsid w:val="403411E4"/>
    <w:rsid w:val="42C87FE2"/>
    <w:rsid w:val="43061791"/>
    <w:rsid w:val="43DA11A0"/>
    <w:rsid w:val="44062249"/>
    <w:rsid w:val="445E02C8"/>
    <w:rsid w:val="44FA379B"/>
    <w:rsid w:val="45DD40BA"/>
    <w:rsid w:val="49EA0282"/>
    <w:rsid w:val="4B5F0424"/>
    <w:rsid w:val="4D9C1A55"/>
    <w:rsid w:val="4F754E3E"/>
    <w:rsid w:val="50670FB4"/>
    <w:rsid w:val="50A70C7B"/>
    <w:rsid w:val="54A50830"/>
    <w:rsid w:val="57947A7F"/>
    <w:rsid w:val="5A296BA4"/>
    <w:rsid w:val="5A510FAE"/>
    <w:rsid w:val="5B607711"/>
    <w:rsid w:val="5DCB1D21"/>
    <w:rsid w:val="5E4C2E61"/>
    <w:rsid w:val="5E9860A7"/>
    <w:rsid w:val="60F17CF0"/>
    <w:rsid w:val="611146B1"/>
    <w:rsid w:val="64872F53"/>
    <w:rsid w:val="652F4A78"/>
    <w:rsid w:val="6A705D01"/>
    <w:rsid w:val="6DD32C57"/>
    <w:rsid w:val="6DF63FAD"/>
    <w:rsid w:val="6DF75CCF"/>
    <w:rsid w:val="6E5A5118"/>
    <w:rsid w:val="71255AEE"/>
    <w:rsid w:val="71724DA6"/>
    <w:rsid w:val="73D53DCD"/>
    <w:rsid w:val="743E1047"/>
    <w:rsid w:val="76796366"/>
    <w:rsid w:val="772705B7"/>
    <w:rsid w:val="77291B3A"/>
    <w:rsid w:val="78232A6A"/>
    <w:rsid w:val="79874FE5"/>
    <w:rsid w:val="7F8F09A8"/>
    <w:rsid w:val="7FC93EBA"/>
    <w:rsid w:val="D7FB966B"/>
    <w:rsid w:val="DDE7CF31"/>
    <w:rsid w:val="FBDF6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qFormat/>
    <w:uiPriority w:val="1"/>
    <w:pPr>
      <w:ind w:left="668"/>
      <w:outlineLvl w:val="1"/>
    </w:pPr>
    <w:rPr>
      <w:rFonts w:ascii="宋体" w:hAnsi="宋体" w:eastAsia="宋体" w:cs="宋体"/>
      <w:b/>
      <w:bCs/>
      <w:sz w:val="32"/>
      <w:szCs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4"/>
    <w:qFormat/>
    <w:uiPriority w:val="0"/>
    <w:pPr>
      <w:ind w:firstLine="420" w:firstLineChars="1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3189</Words>
  <Characters>3387</Characters>
  <Lines>0</Lines>
  <Paragraphs>0</Paragraphs>
  <TotalTime>0</TotalTime>
  <ScaleCrop>false</ScaleCrop>
  <LinksUpToDate>false</LinksUpToDate>
  <CharactersWithSpaces>3478</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2022-01-30T09:32:00Z</dcterms:created>
  <dc:creator>巫媛</dc:creator>
  <cp:lastModifiedBy>CNGC207</cp:lastModifiedBy>
  <dcterms:modified xsi:type="dcterms:W3CDTF">2026-02-06T11:19:47Z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481FFDEC98C34CC0BAC92AC6A27FE982_13</vt:lpwstr>
  </property>
</Properties>
</file>