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1F2F289">
      <w:pPr>
        <w:spacing w:line="600" w:lineRule="exact"/>
        <w:jc w:val="center"/>
        <w:rPr>
          <w:rFonts w:ascii="方正小标宋简体" w:hAnsi="方正小标宋简体" w:eastAsia="方正小标宋简体" w:cs="方正小标宋简体"/>
          <w:bCs/>
          <w:sz w:val="44"/>
          <w:szCs w:val="44"/>
          <w:u w:val="none"/>
        </w:rPr>
      </w:pPr>
      <w:r>
        <w:rPr>
          <w:rFonts w:hint="eastAsia" w:ascii="方正小标宋简体" w:hAnsi="方正小标宋简体" w:eastAsia="方正小标宋简体" w:cs="方正小标宋简体"/>
          <w:bCs/>
          <w:sz w:val="44"/>
          <w:szCs w:val="44"/>
          <w:u w:val="none"/>
        </w:rPr>
        <w:t>江西兴国经济开发区管理委员会</w:t>
      </w:r>
    </w:p>
    <w:p w14:paraId="758E90C7">
      <w:pPr>
        <w:spacing w:line="600" w:lineRule="exact"/>
        <w:jc w:val="center"/>
        <w:rPr>
          <w:rFonts w:ascii="方正小标宋简体" w:hAnsi="方正小标宋简体" w:eastAsia="方正小标宋简体" w:cs="方正小标宋简体"/>
          <w:bCs/>
          <w:sz w:val="44"/>
          <w:szCs w:val="44"/>
          <w:u w:val="none"/>
        </w:rPr>
      </w:pPr>
      <w:r>
        <w:rPr>
          <w:rFonts w:hint="eastAsia" w:ascii="方正小标宋简体" w:hAnsi="方正小标宋简体" w:eastAsia="方正小标宋简体" w:cs="方正小标宋简体"/>
          <w:bCs/>
          <w:sz w:val="44"/>
          <w:szCs w:val="44"/>
          <w:u w:val="none"/>
        </w:rPr>
        <w:t>2025年部门（单位）预算编制说明</w:t>
      </w:r>
    </w:p>
    <w:p w14:paraId="0EB5D21C">
      <w:pPr>
        <w:spacing w:line="600" w:lineRule="exact"/>
        <w:jc w:val="center"/>
        <w:rPr>
          <w:rFonts w:ascii="黑体" w:hAnsi="黑体" w:eastAsia="黑体" w:cs="黑体"/>
          <w:sz w:val="36"/>
          <w:szCs w:val="36"/>
          <w:u w:val="none"/>
        </w:rPr>
      </w:pPr>
    </w:p>
    <w:p w14:paraId="69752F6A">
      <w:pPr>
        <w:spacing w:line="600" w:lineRule="exact"/>
        <w:jc w:val="center"/>
        <w:rPr>
          <w:rFonts w:ascii="方正小标宋简体" w:hAnsi="方正小标宋简体" w:eastAsia="方正小标宋简体" w:cs="方正小标宋简体"/>
          <w:bCs/>
          <w:color w:val="000000" w:themeColor="text1"/>
          <w:sz w:val="44"/>
          <w:szCs w:val="44"/>
          <w:u w:val="none"/>
        </w:rPr>
      </w:pPr>
      <w:r>
        <w:rPr>
          <w:rFonts w:hint="eastAsia" w:ascii="方正小标宋简体" w:hAnsi="方正小标宋简体" w:eastAsia="方正小标宋简体" w:cs="方正小标宋简体"/>
          <w:bCs/>
          <w:color w:val="000000" w:themeColor="text1"/>
          <w:sz w:val="44"/>
          <w:szCs w:val="44"/>
          <w:u w:val="none"/>
        </w:rPr>
        <w:t>目录</w:t>
      </w:r>
    </w:p>
    <w:p w14:paraId="0D336AA2">
      <w:pPr>
        <w:spacing w:line="600" w:lineRule="exact"/>
        <w:jc w:val="center"/>
        <w:rPr>
          <w:rFonts w:ascii="方正小标宋简体" w:hAnsi="方正小标宋简体" w:eastAsia="方正小标宋简体" w:cs="方正小标宋简体"/>
          <w:bCs/>
          <w:color w:val="000000" w:themeColor="text1"/>
          <w:sz w:val="44"/>
          <w:szCs w:val="44"/>
          <w:u w:val="none"/>
        </w:rPr>
      </w:pPr>
    </w:p>
    <w:p w14:paraId="3ADD7355">
      <w:pPr>
        <w:spacing w:line="600" w:lineRule="exact"/>
        <w:ind w:left="682" w:hanging="684" w:hangingChars="213"/>
        <w:rPr>
          <w:rFonts w:ascii="仿宋_GB2312" w:hAnsi="仿宋_GB2312" w:eastAsia="仿宋_GB2312" w:cs="仿宋_GB2312"/>
          <w:b/>
          <w:bCs/>
          <w:sz w:val="32"/>
          <w:szCs w:val="32"/>
          <w:u w:val="none"/>
        </w:rPr>
      </w:pPr>
      <w:r>
        <w:rPr>
          <w:rFonts w:hint="eastAsia" w:ascii="仿宋_GB2312" w:hAnsi="仿宋_GB2312" w:eastAsia="仿宋_GB2312" w:cs="仿宋_GB2312"/>
          <w:b/>
          <w:bCs/>
          <w:sz w:val="32"/>
          <w:szCs w:val="32"/>
          <w:u w:val="none"/>
        </w:rPr>
        <w:t>第一部分部门（单位）概况</w:t>
      </w:r>
    </w:p>
    <w:p w14:paraId="249D9CBD">
      <w:pPr>
        <w:spacing w:line="600" w:lineRule="exact"/>
        <w:ind w:left="634" w:leftChars="284" w:hanging="38" w:hangingChars="12"/>
        <w:rPr>
          <w:rFonts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一、部门（单位）主要职责</w:t>
      </w:r>
    </w:p>
    <w:p w14:paraId="6C725E82">
      <w:pPr>
        <w:spacing w:line="600" w:lineRule="exact"/>
        <w:ind w:left="634" w:leftChars="284" w:hanging="38" w:hangingChars="12"/>
        <w:rPr>
          <w:rFonts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二、部门（单位）基本情况</w:t>
      </w:r>
    </w:p>
    <w:p w14:paraId="3B5F49FF">
      <w:pPr>
        <w:spacing w:line="600" w:lineRule="exact"/>
        <w:rPr>
          <w:rFonts w:ascii="仿宋_GB2312" w:hAnsi="仿宋_GB2312" w:eastAsia="仿宋_GB2312" w:cs="仿宋_GB2312"/>
          <w:b/>
          <w:bCs/>
          <w:sz w:val="32"/>
          <w:szCs w:val="32"/>
          <w:u w:val="none"/>
        </w:rPr>
      </w:pPr>
      <w:r>
        <w:rPr>
          <w:rFonts w:hint="eastAsia" w:ascii="仿宋_GB2312" w:hAnsi="仿宋_GB2312" w:eastAsia="仿宋_GB2312" w:cs="仿宋_GB2312"/>
          <w:b/>
          <w:bCs/>
          <w:sz w:val="32"/>
          <w:szCs w:val="32"/>
          <w:u w:val="none"/>
        </w:rPr>
        <w:t>第二部分2025年部门（单位）预算情况说明</w:t>
      </w:r>
    </w:p>
    <w:p w14:paraId="26C0AC09">
      <w:pPr>
        <w:spacing w:line="600" w:lineRule="exact"/>
        <w:ind w:left="634" w:leftChars="284" w:hanging="38" w:hangingChars="12"/>
        <w:rPr>
          <w:rFonts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一、部门（单位）预算收支情况说明</w:t>
      </w:r>
    </w:p>
    <w:p w14:paraId="63E327D6">
      <w:pPr>
        <w:spacing w:line="600" w:lineRule="exact"/>
        <w:ind w:left="634" w:leftChars="284" w:hanging="38" w:hangingChars="12"/>
        <w:rPr>
          <w:rFonts w:ascii="仿宋_GB2312" w:hAnsi="仿宋_GB2312" w:eastAsia="仿宋_GB2312" w:cs="仿宋_GB2312"/>
          <w:b/>
          <w:bCs/>
          <w:sz w:val="32"/>
          <w:szCs w:val="32"/>
          <w:u w:val="none"/>
        </w:rPr>
      </w:pPr>
      <w:r>
        <w:rPr>
          <w:rFonts w:hint="eastAsia" w:ascii="仿宋_GB2312" w:hAnsi="仿宋_GB2312" w:eastAsia="仿宋_GB2312" w:cs="仿宋_GB2312"/>
          <w:sz w:val="32"/>
          <w:szCs w:val="32"/>
          <w:u w:val="none"/>
        </w:rPr>
        <w:t>二、“三公”经费预算情况说明</w:t>
      </w:r>
    </w:p>
    <w:p w14:paraId="72A4B866">
      <w:pPr>
        <w:spacing w:line="600" w:lineRule="exact"/>
        <w:ind w:left="682" w:hanging="684" w:hangingChars="213"/>
        <w:rPr>
          <w:rFonts w:ascii="仿宋_GB2312" w:hAnsi="仿宋_GB2312" w:eastAsia="仿宋_GB2312" w:cs="仿宋_GB2312"/>
          <w:b/>
          <w:bCs/>
          <w:sz w:val="32"/>
          <w:szCs w:val="32"/>
          <w:u w:val="none"/>
        </w:rPr>
      </w:pPr>
      <w:r>
        <w:rPr>
          <w:rFonts w:hint="eastAsia" w:ascii="仿宋_GB2312" w:hAnsi="仿宋_GB2312" w:eastAsia="仿宋_GB2312" w:cs="仿宋_GB2312"/>
          <w:b/>
          <w:bCs/>
          <w:sz w:val="32"/>
          <w:szCs w:val="32"/>
          <w:u w:val="none"/>
        </w:rPr>
        <w:t>第三部分2025年部门（单位）预算表</w:t>
      </w:r>
    </w:p>
    <w:p w14:paraId="3FA882B1">
      <w:pPr>
        <w:spacing w:line="600" w:lineRule="exact"/>
        <w:ind w:left="634" w:leftChars="284" w:hanging="38" w:hangingChars="12"/>
        <w:rPr>
          <w:rFonts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一、《收支预算总表》</w:t>
      </w:r>
    </w:p>
    <w:p w14:paraId="32A7800E">
      <w:pPr>
        <w:spacing w:line="600" w:lineRule="exact"/>
        <w:ind w:left="634" w:leftChars="284" w:hanging="38" w:hangingChars="12"/>
        <w:rPr>
          <w:rFonts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二、《部门收入总表》</w:t>
      </w:r>
    </w:p>
    <w:p w14:paraId="6D00E916">
      <w:pPr>
        <w:spacing w:line="600" w:lineRule="exact"/>
        <w:ind w:left="634" w:leftChars="284" w:hanging="38" w:hangingChars="12"/>
        <w:rPr>
          <w:rFonts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三、《部门支出总表》</w:t>
      </w:r>
    </w:p>
    <w:p w14:paraId="10443ADE">
      <w:pPr>
        <w:spacing w:line="600" w:lineRule="exact"/>
        <w:ind w:left="634" w:leftChars="284" w:hanging="38" w:hangingChars="12"/>
        <w:rPr>
          <w:rFonts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四、《财政拨款收支总表》</w:t>
      </w:r>
    </w:p>
    <w:p w14:paraId="639B4848">
      <w:pPr>
        <w:spacing w:line="600" w:lineRule="exact"/>
        <w:ind w:left="634" w:leftChars="284" w:hanging="38" w:hangingChars="12"/>
        <w:rPr>
          <w:rFonts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五、《一般公共预算支出表》</w:t>
      </w:r>
    </w:p>
    <w:p w14:paraId="4FB33091">
      <w:pPr>
        <w:spacing w:line="600" w:lineRule="exact"/>
        <w:ind w:left="634" w:leftChars="284" w:hanging="38" w:hangingChars="12"/>
        <w:rPr>
          <w:rFonts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六、《一般公共预算基本支出表》</w:t>
      </w:r>
    </w:p>
    <w:p w14:paraId="780699E1">
      <w:pPr>
        <w:spacing w:line="600" w:lineRule="exact"/>
        <w:ind w:left="634" w:leftChars="284" w:hanging="38" w:hangingChars="12"/>
        <w:rPr>
          <w:rFonts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七、《一般公共预算“三公”经费支出表》</w:t>
      </w:r>
    </w:p>
    <w:p w14:paraId="297D87A3">
      <w:pPr>
        <w:spacing w:line="600" w:lineRule="exact"/>
        <w:ind w:left="634" w:leftChars="284" w:hanging="38" w:hangingChars="12"/>
        <w:rPr>
          <w:rFonts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八、《政府性基金预算支出表》</w:t>
      </w:r>
    </w:p>
    <w:p w14:paraId="46B57304">
      <w:pPr>
        <w:spacing w:line="600" w:lineRule="exact"/>
        <w:ind w:left="634" w:leftChars="284" w:hanging="38" w:hangingChars="12"/>
        <w:rPr>
          <w:rFonts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九、《国有资本经营预算支出表》</w:t>
      </w:r>
    </w:p>
    <w:p w14:paraId="63626B9D">
      <w:pPr>
        <w:spacing w:line="600" w:lineRule="exact"/>
        <w:ind w:left="634" w:leftChars="284" w:hanging="38" w:hangingChars="12"/>
        <w:rPr>
          <w:rFonts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十、《部门整体支出绩效目标表》</w:t>
      </w:r>
    </w:p>
    <w:p w14:paraId="488F9C7D">
      <w:pPr>
        <w:spacing w:line="600" w:lineRule="exact"/>
        <w:ind w:left="634" w:leftChars="284" w:hanging="38" w:hangingChars="12"/>
        <w:rPr>
          <w:rFonts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十一、《项目支出绩效目标表》</w:t>
      </w:r>
    </w:p>
    <w:p w14:paraId="56960CEA">
      <w:pPr>
        <w:spacing w:line="600" w:lineRule="exact"/>
        <w:rPr>
          <w:rFonts w:ascii="仿宋_GB2312" w:hAnsi="仿宋_GB2312" w:eastAsia="仿宋_GB2312" w:cs="仿宋_GB2312"/>
          <w:b/>
          <w:bCs/>
          <w:sz w:val="32"/>
          <w:szCs w:val="32"/>
          <w:u w:val="none"/>
        </w:rPr>
      </w:pPr>
      <w:r>
        <w:rPr>
          <w:rFonts w:hint="eastAsia" w:ascii="仿宋_GB2312" w:hAnsi="仿宋_GB2312" w:eastAsia="仿宋_GB2312" w:cs="仿宋_GB2312"/>
          <w:b/>
          <w:bCs/>
          <w:sz w:val="32"/>
          <w:szCs w:val="32"/>
          <w:u w:val="none"/>
        </w:rPr>
        <w:t>第四部分名词解释</w:t>
      </w:r>
    </w:p>
    <w:p w14:paraId="3C47EB0A">
      <w:pPr>
        <w:spacing w:line="600" w:lineRule="exact"/>
        <w:jc w:val="center"/>
        <w:rPr>
          <w:rFonts w:ascii="仿宋_GB2312" w:hAnsi="仿宋_GB2312" w:eastAsia="仿宋_GB2312" w:cs="仿宋_GB2312"/>
          <w:b/>
          <w:bCs/>
          <w:sz w:val="32"/>
          <w:szCs w:val="32"/>
          <w:u w:val="none"/>
        </w:rPr>
      </w:pPr>
    </w:p>
    <w:p w14:paraId="213CF349">
      <w:pPr>
        <w:pStyle w:val="2"/>
        <w:spacing w:line="600" w:lineRule="exact"/>
        <w:rPr>
          <w:u w:val="none"/>
        </w:rPr>
      </w:pPr>
    </w:p>
    <w:p w14:paraId="0938A695">
      <w:pPr>
        <w:spacing w:line="600" w:lineRule="exact"/>
        <w:jc w:val="center"/>
        <w:rPr>
          <w:rFonts w:ascii="黑体" w:hAnsi="黑体" w:eastAsia="黑体" w:cs="黑体"/>
          <w:sz w:val="32"/>
          <w:szCs w:val="32"/>
          <w:u w:val="none"/>
        </w:rPr>
      </w:pPr>
      <w:r>
        <w:rPr>
          <w:rFonts w:hint="eastAsia" w:ascii="黑体" w:hAnsi="黑体" w:eastAsia="黑体" w:cs="黑体"/>
          <w:sz w:val="32"/>
          <w:szCs w:val="32"/>
          <w:u w:val="none"/>
        </w:rPr>
        <w:t>第一部分部门（单位）概况</w:t>
      </w:r>
    </w:p>
    <w:p w14:paraId="2567E5F1">
      <w:pPr>
        <w:spacing w:line="600" w:lineRule="exact"/>
        <w:jc w:val="center"/>
        <w:rPr>
          <w:rFonts w:ascii="仿宋" w:hAnsi="仿宋" w:eastAsia="仿宋" w:cs="仿宋"/>
          <w:b/>
          <w:bCs/>
          <w:sz w:val="32"/>
          <w:szCs w:val="32"/>
          <w:u w:val="none"/>
        </w:rPr>
      </w:pPr>
    </w:p>
    <w:p w14:paraId="3E0BA93F">
      <w:pPr>
        <w:spacing w:line="600" w:lineRule="exact"/>
        <w:ind w:left="10" w:leftChars="5" w:firstLine="643" w:firstLineChars="200"/>
        <w:rPr>
          <w:rFonts w:ascii="楷体" w:hAnsi="楷体" w:eastAsia="楷体" w:cs="楷体"/>
          <w:b/>
          <w:bCs/>
          <w:sz w:val="32"/>
          <w:szCs w:val="32"/>
          <w:u w:val="none"/>
        </w:rPr>
      </w:pPr>
      <w:r>
        <w:rPr>
          <w:rFonts w:hint="eastAsia" w:ascii="楷体" w:hAnsi="楷体" w:eastAsia="楷体" w:cs="楷体"/>
          <w:b/>
          <w:bCs/>
          <w:sz w:val="32"/>
          <w:szCs w:val="32"/>
          <w:u w:val="none"/>
        </w:rPr>
        <w:t>一、部门（单位）主要职责</w:t>
      </w:r>
    </w:p>
    <w:p w14:paraId="1F731188">
      <w:pPr>
        <w:spacing w:line="600" w:lineRule="exact"/>
        <w:ind w:firstLine="630"/>
        <w:rPr>
          <w:rFonts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(一)贯彻执行党的路线、方针、政策和国家有关法律、法规。落实国家、省、市、县关于开发区改革创新工作的方针政策和决策部署。</w:t>
      </w:r>
    </w:p>
    <w:p w14:paraId="60C603D0">
      <w:pPr>
        <w:spacing w:line="600" w:lineRule="exact"/>
        <w:ind w:firstLine="630"/>
        <w:rPr>
          <w:rFonts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(二)负责制定经济开发区管理制度和管理办法，研究编制开发区经济社会发展总体规划、产业发展规划、控制性详规和促进经济开发区发展政策措施，按程序报批后组织实施。</w:t>
      </w:r>
    </w:p>
    <w:p w14:paraId="6AFE4788">
      <w:pPr>
        <w:spacing w:line="600" w:lineRule="exact"/>
        <w:ind w:firstLine="630"/>
        <w:rPr>
          <w:rFonts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(三)统筹协调经济开发区经济建设发展服务，打造与工业发展相适应的产业承载平台，全面推进“管委会+平台公司”运营模式，加快园区建设、管理、运营的市场化改革步伐。</w:t>
      </w:r>
    </w:p>
    <w:p w14:paraId="66015AFD">
      <w:pPr>
        <w:spacing w:line="600" w:lineRule="exact"/>
        <w:ind w:firstLine="630"/>
        <w:rPr>
          <w:rFonts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(四)负责规划、设计、建设和管理经济开发区园区内各项基础设施、配套设施和公共设施，</w:t>
      </w:r>
    </w:p>
    <w:p w14:paraId="33A05D01">
      <w:pPr>
        <w:spacing w:line="600" w:lineRule="exact"/>
        <w:ind w:firstLine="630"/>
        <w:rPr>
          <w:rFonts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五)负责经济开发区招商引资、企业服务、营商环境、创新创业工作;积极做好入园企业和项目投产前、中、后全过程服务;参与企业和产业项目入园的审核、报批等工作，推进项目落地建设的协调服务，配合有关部门对入园项目规划建设情况进行监督管理。负责园区企业在科技创新、品牌创建、专利保护、节能减排等方面的引导和服务工作。</w:t>
      </w:r>
    </w:p>
    <w:p w14:paraId="37D042DC">
      <w:pPr>
        <w:spacing w:line="600" w:lineRule="exact"/>
        <w:ind w:firstLine="630"/>
        <w:rPr>
          <w:rFonts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(六)负责园区安全生产工作，履行安全生产属地管理职责，协助有关部门履行应急管理职责;协助推进园区经济统计和分析;负责入园企业生态环境保护指导、帮扶和服务工作。</w:t>
      </w:r>
    </w:p>
    <w:p w14:paraId="38FB8313">
      <w:pPr>
        <w:spacing w:line="600" w:lineRule="exact"/>
        <w:ind w:firstLine="630"/>
        <w:rPr>
          <w:rFonts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(七)根据国家有关法律、法规和县委、县政府的授权，承接办理上级有关部门下放园区的行政审批事项。</w:t>
      </w:r>
    </w:p>
    <w:p w14:paraId="649AE39D">
      <w:pPr>
        <w:spacing w:line="600" w:lineRule="exact"/>
        <w:ind w:firstLine="630"/>
        <w:rPr>
          <w:rFonts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(八)负责经济开发区党的建设、意识形态、综治维稳、群团和精神文明建设等工作。</w:t>
      </w:r>
    </w:p>
    <w:p w14:paraId="4DFB4A28">
      <w:pPr>
        <w:spacing w:line="600" w:lineRule="exact"/>
        <w:ind w:firstLine="630"/>
        <w:rPr>
          <w:rFonts w:ascii="仿宋_GB2312" w:hAnsi="仿宋_GB2312" w:eastAsia="仿宋_GB2312" w:cs="仿宋_GB2312"/>
          <w:sz w:val="32"/>
          <w:szCs w:val="32"/>
          <w:u w:val="none"/>
        </w:rPr>
      </w:pPr>
      <w:r>
        <w:rPr>
          <w:rFonts w:hint="eastAsia" w:ascii="仿宋_GB2312" w:hAnsi="仿宋_GB2312" w:eastAsia="仿宋_GB2312"/>
          <w:sz w:val="32"/>
          <w:szCs w:val="32"/>
          <w:u w:val="none"/>
        </w:rPr>
        <w:t>(九)承办县委、县政府交办的其他工作。</w:t>
      </w:r>
    </w:p>
    <w:p w14:paraId="57BA7EB9">
      <w:pPr>
        <w:spacing w:line="600" w:lineRule="exact"/>
        <w:ind w:left="10" w:leftChars="5" w:firstLine="643" w:firstLineChars="200"/>
        <w:rPr>
          <w:rFonts w:ascii="楷体" w:hAnsi="楷体" w:eastAsia="楷体" w:cs="楷体"/>
          <w:b/>
          <w:bCs/>
          <w:sz w:val="32"/>
          <w:szCs w:val="32"/>
          <w:u w:val="none"/>
        </w:rPr>
      </w:pPr>
      <w:r>
        <w:rPr>
          <w:rFonts w:hint="eastAsia" w:ascii="楷体" w:hAnsi="楷体" w:eastAsia="楷体" w:cs="楷体"/>
          <w:b/>
          <w:bCs/>
          <w:sz w:val="32"/>
          <w:szCs w:val="32"/>
          <w:u w:val="none"/>
        </w:rPr>
        <w:t>二、部门（单位）基本情况</w:t>
      </w:r>
    </w:p>
    <w:p w14:paraId="208983BA">
      <w:pPr>
        <w:spacing w:line="600" w:lineRule="exact"/>
        <w:ind w:firstLine="630"/>
        <w:rPr>
          <w:rFonts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2025年本部门共有单位2个，包括：本级机关单位、单位、兴国经开区企业综合服务中心。各单位于机关单位进行财务核算，均未独立核算。</w:t>
      </w:r>
    </w:p>
    <w:p w14:paraId="4596815D">
      <w:pPr>
        <w:spacing w:line="600" w:lineRule="exact"/>
        <w:ind w:firstLine="630"/>
        <w:rPr>
          <w:rFonts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2025年本部门机关单位内设处室4个，分别为：党政办公室、产业发展规划部（规划建设部）、客商投资服务部（招商部）、企业运行服务部。</w:t>
      </w:r>
    </w:p>
    <w:p w14:paraId="68DAC1F2">
      <w:pPr>
        <w:spacing w:line="600" w:lineRule="exact"/>
        <w:ind w:firstLine="630"/>
        <w:rPr>
          <w:rFonts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2025年本部门编制人数小计52人,其中：行政编制人数0人,参照公务员管理的事业编制人数20人,全部补助事业编制人数32人,自收自支编制人数0人。实有人数小计40人,其中：在职人数小计35人（行政在职人数0人,参照公务员管理的事业单位在职人数18人,全部补助事业在职人数17人）；离休人数小计0人；退休人数小计5人。</w:t>
      </w:r>
    </w:p>
    <w:p w14:paraId="6C5F3372">
      <w:pPr>
        <w:spacing w:line="600" w:lineRule="exact"/>
        <w:jc w:val="center"/>
        <w:rPr>
          <w:rFonts w:ascii="黑体" w:hAnsi="黑体" w:eastAsia="黑体" w:cs="黑体"/>
          <w:sz w:val="32"/>
          <w:szCs w:val="32"/>
          <w:u w:val="none"/>
        </w:rPr>
      </w:pPr>
      <w:r>
        <w:rPr>
          <w:rFonts w:hint="eastAsia" w:ascii="黑体" w:hAnsi="黑体" w:eastAsia="黑体" w:cs="黑体"/>
          <w:sz w:val="32"/>
          <w:szCs w:val="32"/>
          <w:u w:val="none"/>
        </w:rPr>
        <w:t>第二部分2025年部门预算情况说明</w:t>
      </w:r>
    </w:p>
    <w:p w14:paraId="42A31781">
      <w:pPr>
        <w:spacing w:line="600" w:lineRule="exact"/>
        <w:ind w:left="10" w:leftChars="5" w:firstLine="643" w:firstLineChars="200"/>
        <w:rPr>
          <w:rFonts w:ascii="楷体" w:hAnsi="楷体" w:eastAsia="楷体" w:cs="楷体"/>
          <w:b/>
          <w:bCs/>
          <w:sz w:val="32"/>
          <w:szCs w:val="32"/>
          <w:u w:val="none"/>
        </w:rPr>
      </w:pPr>
      <w:r>
        <w:rPr>
          <w:rFonts w:hint="eastAsia" w:ascii="楷体" w:hAnsi="楷体" w:eastAsia="楷体" w:cs="楷体"/>
          <w:b/>
          <w:bCs/>
          <w:sz w:val="32"/>
          <w:szCs w:val="32"/>
          <w:u w:val="none"/>
        </w:rPr>
        <w:t>一、部门（单位）预算收支情况说明</w:t>
      </w:r>
    </w:p>
    <w:p w14:paraId="12F3D1BF">
      <w:pPr>
        <w:spacing w:line="600" w:lineRule="exact"/>
        <w:ind w:firstLine="643" w:firstLineChars="200"/>
        <w:rPr>
          <w:rFonts w:ascii="仿宋" w:hAnsi="仿宋" w:eastAsia="仿宋" w:cs="仿宋"/>
          <w:b/>
          <w:bCs/>
          <w:sz w:val="32"/>
          <w:szCs w:val="32"/>
          <w:u w:val="none"/>
        </w:rPr>
      </w:pPr>
      <w:r>
        <w:rPr>
          <w:rFonts w:hint="eastAsia" w:ascii="仿宋" w:hAnsi="仿宋" w:eastAsia="仿宋" w:cs="仿宋"/>
          <w:b/>
          <w:bCs/>
          <w:sz w:val="32"/>
          <w:szCs w:val="32"/>
          <w:u w:val="none"/>
        </w:rPr>
        <w:t>（一）收入预算情况</w:t>
      </w:r>
    </w:p>
    <w:p w14:paraId="4606DC7D">
      <w:pPr>
        <w:spacing w:line="600" w:lineRule="exact"/>
        <w:ind w:firstLine="630"/>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2025年本部门（单位）收入预算总额8287.79万元，较上年预算安排增786.51万元，增10.49%。增减变化主要原因是：基础设施建设项目增加。</w:t>
      </w:r>
    </w:p>
    <w:p w14:paraId="793D9389">
      <w:pPr>
        <w:spacing w:line="600" w:lineRule="exact"/>
        <w:ind w:firstLine="630"/>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其中：一般公共预算收入2379.79万元,较上年预算安排（减少）121.49万元;教育收费资金收入0万元,较上年预算安排增加（减少）0万元;事业收入0万元,较上年预算安排增加（减少）0万元;；其他收入5000万元，较上年预算安排增加（减少）0万元；财政拨款结转（结余）908万元,较上年预算安排增加908万元。</w:t>
      </w:r>
    </w:p>
    <w:p w14:paraId="0DD99F3C">
      <w:pPr>
        <w:spacing w:line="600" w:lineRule="exact"/>
        <w:ind w:firstLine="630"/>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（二）支出预算情况</w:t>
      </w:r>
    </w:p>
    <w:p w14:paraId="48450D94">
      <w:pPr>
        <w:spacing w:line="600" w:lineRule="exact"/>
        <w:ind w:firstLine="630"/>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2025年本部门（单位）支出预算总额8287.79万元，较上年预算安排增786.51万元，增10.49%。增减变化主要原因是：基础设施建设项目增加。具体为：</w:t>
      </w:r>
    </w:p>
    <w:p w14:paraId="16B8DF3A">
      <w:pPr>
        <w:spacing w:line="600" w:lineRule="exact"/>
        <w:ind w:firstLine="630"/>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按支出功能分类科目划分：一般公共服务支出7250.18万元,较上年预算安排增加4870.31万元;社会保障和就业支出51.52万元,较上年预算安排减少8.34万元;卫生健康支出34.24万元,较上年预算安排增加17.79万元;住房保障支出43.85万元,较上年预算安排减少1.25万元;其他支出908万元,较上年预算安排（减少）4092万元。</w:t>
      </w:r>
    </w:p>
    <w:p w14:paraId="517B976F">
      <w:pPr>
        <w:spacing w:line="600" w:lineRule="exact"/>
        <w:ind w:firstLine="630"/>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按支出项目类别划分：1、基本支出900.12万元，较上年预算安排增2.47万元，其中：工资福利支出854.79万元，商品和服务支出36.09万元，对个人和家庭的补助3.24万元，资本性支出6万元。2、项目支出7387.67万元，较上年预算安排增784.04万元，其中：工资福利支出45.6万元，商品和服务支出229.4万元，对个人和家庭的补助0万元，资本性支出（基本建设支出）0万元，资本性支出1083.91万元，其他相关支出6028.76万元。</w:t>
      </w:r>
    </w:p>
    <w:p w14:paraId="0C444421">
      <w:pPr>
        <w:spacing w:line="600" w:lineRule="exact"/>
        <w:ind w:firstLine="630"/>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按支出经济分类科目划分：工资福利支出900.39万元，较上年预算安排增</w:t>
      </w:r>
      <w:r>
        <w:rPr>
          <w:rFonts w:hint="eastAsia" w:ascii="仿宋_GB2312" w:hAnsi="仿宋_GB2312" w:eastAsia="仿宋_GB2312" w:cs="仿宋_GB2312"/>
          <w:sz w:val="32"/>
          <w:szCs w:val="32"/>
          <w:u w:val="none"/>
          <w:lang w:val="en-US" w:eastAsia="zh-CN"/>
        </w:rPr>
        <w:t>0.33</w:t>
      </w:r>
      <w:r>
        <w:rPr>
          <w:rFonts w:hint="eastAsia" w:ascii="仿宋_GB2312" w:hAnsi="仿宋_GB2312" w:eastAsia="仿宋_GB2312" w:cs="仿宋_GB2312"/>
          <w:sz w:val="32"/>
          <w:szCs w:val="32"/>
          <w:u w:val="none"/>
        </w:rPr>
        <w:t>万元；商品和服务支出265.49万元，较上年预算安排减</w:t>
      </w:r>
      <w:r>
        <w:rPr>
          <w:rFonts w:hint="eastAsia" w:ascii="仿宋_GB2312" w:hAnsi="仿宋_GB2312" w:eastAsia="仿宋_GB2312" w:cs="仿宋_GB2312"/>
          <w:sz w:val="32"/>
          <w:szCs w:val="32"/>
          <w:u w:val="none"/>
          <w:lang w:val="en-US" w:eastAsia="zh-CN"/>
        </w:rPr>
        <w:t>1330.34</w:t>
      </w:r>
      <w:r>
        <w:rPr>
          <w:rFonts w:hint="eastAsia" w:ascii="仿宋_GB2312" w:hAnsi="仿宋_GB2312" w:eastAsia="仿宋_GB2312" w:cs="仿宋_GB2312"/>
          <w:sz w:val="32"/>
          <w:szCs w:val="32"/>
          <w:u w:val="none"/>
        </w:rPr>
        <w:t>万元；对个人和家庭的补助3.24万元，较上年预算安排增3万元；资本性支出（基本建设支出）0万元，较上年预算安排增（减）0万元；资本性支出1089.91万元，较上年预算安排增1084.76万元；其他相关支出6028.76万元，较上年预算安排增1028.76万元。</w:t>
      </w:r>
    </w:p>
    <w:p w14:paraId="2894B1B1">
      <w:pPr>
        <w:spacing w:line="600" w:lineRule="exact"/>
        <w:ind w:firstLine="643" w:firstLineChars="200"/>
        <w:rPr>
          <w:rFonts w:ascii="仿宋" w:hAnsi="仿宋" w:eastAsia="仿宋" w:cs="仿宋"/>
          <w:b/>
          <w:bCs/>
          <w:sz w:val="32"/>
          <w:szCs w:val="32"/>
          <w:u w:val="none"/>
        </w:rPr>
      </w:pPr>
      <w:r>
        <w:rPr>
          <w:rFonts w:hint="eastAsia" w:ascii="仿宋" w:hAnsi="仿宋" w:eastAsia="仿宋" w:cs="仿宋"/>
          <w:b/>
          <w:bCs/>
          <w:sz w:val="32"/>
          <w:szCs w:val="32"/>
          <w:u w:val="none"/>
        </w:rPr>
        <w:t>（三）财政拨款支出情况</w:t>
      </w:r>
    </w:p>
    <w:p w14:paraId="0E145D3A">
      <w:pPr>
        <w:pStyle w:val="2"/>
        <w:spacing w:line="600" w:lineRule="exact"/>
        <w:ind w:firstLine="640" w:firstLineChars="200"/>
        <w:rPr>
          <w:rFonts w:hint="eastAsia" w:ascii="仿宋_GB2312" w:hAnsi="仿宋_GB2312" w:eastAsia="仿宋_GB2312" w:cs="仿宋_GB2312"/>
          <w:kern w:val="2"/>
          <w:sz w:val="32"/>
          <w:szCs w:val="32"/>
          <w:u w:val="none"/>
          <w:lang w:val="en-US" w:eastAsia="zh-CN" w:bidi="ar-SA"/>
        </w:rPr>
      </w:pPr>
      <w:r>
        <w:rPr>
          <w:rFonts w:hint="eastAsia" w:ascii="仿宋_GB2312" w:hAnsi="仿宋_GB2312" w:eastAsia="仿宋_GB2312" w:cs="仿宋_GB2312"/>
          <w:kern w:val="2"/>
          <w:sz w:val="32"/>
          <w:szCs w:val="32"/>
          <w:u w:val="none"/>
          <w:lang w:val="en-US" w:eastAsia="zh-CN" w:bidi="ar-SA"/>
        </w:rPr>
        <w:t>2025年本部门（单位）财政拨款（补助）支出预算2379.79万元，占本年支出预算额的28.71%，较上年预算安排减121.49万元，减4.86%。增减变化主要原因是：项目减少。具体为：</w:t>
      </w:r>
    </w:p>
    <w:p w14:paraId="59AF5A5C">
      <w:pPr>
        <w:spacing w:line="600" w:lineRule="exact"/>
        <w:ind w:firstLine="640" w:firstLineChars="200"/>
        <w:rPr>
          <w:rFonts w:hint="eastAsia" w:ascii="仿宋_GB2312" w:hAnsi="仿宋_GB2312" w:eastAsia="仿宋_GB2312" w:cs="仿宋_GB2312"/>
          <w:kern w:val="2"/>
          <w:sz w:val="32"/>
          <w:szCs w:val="32"/>
          <w:u w:val="none"/>
          <w:lang w:val="en-US" w:eastAsia="zh-CN" w:bidi="ar-SA"/>
        </w:rPr>
      </w:pPr>
      <w:r>
        <w:rPr>
          <w:rFonts w:hint="eastAsia" w:ascii="仿宋_GB2312" w:hAnsi="仿宋_GB2312" w:eastAsia="仿宋_GB2312" w:cs="仿宋_GB2312"/>
          <w:kern w:val="2"/>
          <w:sz w:val="32"/>
          <w:szCs w:val="32"/>
          <w:u w:val="none"/>
          <w:lang w:val="en-US" w:eastAsia="zh-CN" w:bidi="ar-SA"/>
        </w:rPr>
        <w:t>按支出功能分类科目划分：一般公共预算支出2250.18万元,较上年预算安排减129.69万元;社会保障和就业支出51.52万元,较上年预算安排减8.34万元;卫生健康支出34.24万元,较上年预算安排增17.79万元;住房保障支出43.85万元,较上年预算安排减1.25万元;其他支出0万元,较上年预算安排增（减）0万元。</w:t>
      </w:r>
    </w:p>
    <w:p w14:paraId="2EC5D71D">
      <w:pPr>
        <w:spacing w:line="600" w:lineRule="exact"/>
        <w:ind w:firstLine="640" w:firstLineChars="200"/>
        <w:rPr>
          <w:rFonts w:hint="eastAsia" w:ascii="仿宋_GB2312" w:hAnsi="仿宋_GB2312" w:eastAsia="仿宋_GB2312" w:cs="仿宋_GB2312"/>
          <w:kern w:val="2"/>
          <w:sz w:val="32"/>
          <w:szCs w:val="32"/>
          <w:u w:val="none"/>
          <w:lang w:val="en-US" w:eastAsia="zh-CN" w:bidi="ar-SA"/>
        </w:rPr>
      </w:pPr>
      <w:r>
        <w:rPr>
          <w:rFonts w:hint="eastAsia" w:ascii="仿宋_GB2312" w:hAnsi="仿宋_GB2312" w:eastAsia="仿宋_GB2312" w:cs="仿宋_GB2312"/>
          <w:kern w:val="2"/>
          <w:sz w:val="32"/>
          <w:szCs w:val="32"/>
          <w:u w:val="none"/>
          <w:lang w:val="en-US" w:eastAsia="zh-CN" w:bidi="ar-SA"/>
        </w:rPr>
        <w:t>按支出项目类别划分：1、基本支出900.12万元，较上年预算安排增2.47万元，其中：工资福利支出854.79万元，商品和服务支出36.09万元，对个人和家庭的补助3.24万元，资本性支出6万元。2、项目支出1479.67万元，较上年预算安排减123.96万元，其中：工资福利支出45.6万元，商品和服务支出229.4万元，对个人和家庭的补助0万元，资本性支出175.91万元，其他相关支出1028.76万元。</w:t>
      </w:r>
    </w:p>
    <w:p w14:paraId="6F5B3E21">
      <w:pPr>
        <w:spacing w:line="600" w:lineRule="exact"/>
        <w:ind w:firstLine="643" w:firstLineChars="200"/>
        <w:rPr>
          <w:rFonts w:ascii="仿宋" w:hAnsi="仿宋" w:eastAsia="仿宋" w:cs="仿宋"/>
          <w:b/>
          <w:bCs/>
          <w:sz w:val="32"/>
          <w:szCs w:val="32"/>
          <w:u w:val="none"/>
        </w:rPr>
      </w:pPr>
      <w:r>
        <w:rPr>
          <w:rFonts w:hint="eastAsia" w:ascii="仿宋" w:hAnsi="仿宋" w:eastAsia="仿宋" w:cs="仿宋"/>
          <w:b/>
          <w:bCs/>
          <w:sz w:val="32"/>
          <w:szCs w:val="32"/>
          <w:u w:val="none"/>
        </w:rPr>
        <w:t>（四）政府性基金情况</w:t>
      </w:r>
    </w:p>
    <w:p w14:paraId="4A8FCFBA">
      <w:pPr>
        <w:spacing w:line="600" w:lineRule="exact"/>
        <w:ind w:firstLine="640" w:firstLineChars="200"/>
        <w:rPr>
          <w:rFonts w:ascii="仿宋_GB2312" w:hAnsi="仿宋_GB2312" w:eastAsia="仿宋_GB2312" w:cs="仿宋_GB2312"/>
          <w:sz w:val="30"/>
          <w:szCs w:val="30"/>
          <w:u w:val="none"/>
        </w:rPr>
      </w:pPr>
      <w:r>
        <w:rPr>
          <w:rFonts w:hint="eastAsia" w:ascii="仿宋_GB2312" w:hAnsi="仿宋_GB2312" w:eastAsia="仿宋_GB2312" w:cs="仿宋_GB2312"/>
          <w:sz w:val="32"/>
          <w:szCs w:val="32"/>
          <w:u w:val="none"/>
        </w:rPr>
        <w:t>2025年</w:t>
      </w:r>
      <w:r>
        <w:rPr>
          <w:rFonts w:hint="eastAsia" w:ascii="仿宋_GB2312" w:hAnsi="仿宋_GB2312" w:eastAsia="仿宋_GB2312" w:cs="仿宋_GB2312"/>
          <w:sz w:val="30"/>
          <w:szCs w:val="30"/>
          <w:u w:val="none"/>
        </w:rPr>
        <w:t>本部门（单位）</w:t>
      </w:r>
      <w:r>
        <w:rPr>
          <w:rFonts w:hint="eastAsia" w:ascii="仿宋_GB2312" w:hAnsi="仿宋_GB2312" w:eastAsia="仿宋_GB2312" w:cs="仿宋_GB2312"/>
          <w:sz w:val="32"/>
          <w:szCs w:val="32"/>
          <w:u w:val="none"/>
        </w:rPr>
        <w:t>政府性基金</w:t>
      </w:r>
      <w:r>
        <w:rPr>
          <w:rFonts w:hint="eastAsia" w:ascii="仿宋_GB2312" w:hAnsi="仿宋_GB2312" w:eastAsia="仿宋_GB2312" w:cs="仿宋_GB2312"/>
          <w:sz w:val="30"/>
          <w:szCs w:val="30"/>
          <w:u w:val="none"/>
        </w:rPr>
        <w:t>无使用政府性基金预算拨款安排的支出。</w:t>
      </w:r>
    </w:p>
    <w:p w14:paraId="7B73628B">
      <w:pPr>
        <w:numPr>
          <w:ilvl w:val="0"/>
          <w:numId w:val="1"/>
        </w:numPr>
        <w:spacing w:line="600" w:lineRule="exact"/>
        <w:ind w:firstLine="643" w:firstLineChars="200"/>
        <w:rPr>
          <w:rFonts w:ascii="仿宋" w:hAnsi="仿宋" w:eastAsia="仿宋" w:cs="仿宋"/>
          <w:b/>
          <w:bCs/>
          <w:sz w:val="32"/>
          <w:szCs w:val="32"/>
          <w:u w:val="none"/>
        </w:rPr>
      </w:pPr>
      <w:r>
        <w:rPr>
          <w:rFonts w:hint="eastAsia" w:ascii="仿宋" w:hAnsi="仿宋" w:eastAsia="仿宋" w:cs="仿宋"/>
          <w:b/>
          <w:bCs/>
          <w:sz w:val="32"/>
          <w:szCs w:val="32"/>
          <w:u w:val="none"/>
        </w:rPr>
        <w:t>国有资本经营情况</w:t>
      </w:r>
    </w:p>
    <w:p w14:paraId="3AF54D09">
      <w:pPr>
        <w:spacing w:line="600" w:lineRule="exact"/>
        <w:ind w:firstLine="640" w:firstLineChars="200"/>
        <w:rPr>
          <w:rFonts w:ascii="仿宋_GB2312" w:hAnsi="仿宋_GB2312" w:eastAsia="仿宋_GB2312" w:cs="仿宋_GB2312"/>
          <w:color w:val="FF0000"/>
          <w:sz w:val="28"/>
          <w:szCs w:val="28"/>
          <w:u w:val="none"/>
        </w:rPr>
      </w:pPr>
      <w:r>
        <w:rPr>
          <w:rFonts w:hint="eastAsia" w:ascii="仿宋_GB2312" w:hAnsi="仿宋_GB2312" w:eastAsia="仿宋_GB2312" w:cs="仿宋_GB2312"/>
          <w:sz w:val="32"/>
          <w:szCs w:val="32"/>
          <w:u w:val="none"/>
        </w:rPr>
        <w:t>2025年</w:t>
      </w:r>
      <w:r>
        <w:rPr>
          <w:rFonts w:hint="eastAsia" w:ascii="仿宋_GB2312" w:hAnsi="仿宋_GB2312" w:eastAsia="仿宋_GB2312" w:cs="仿宋_GB2312"/>
          <w:sz w:val="30"/>
          <w:szCs w:val="30"/>
          <w:u w:val="none"/>
        </w:rPr>
        <w:t>本部门（单位）</w:t>
      </w:r>
      <w:r>
        <w:rPr>
          <w:rFonts w:hint="eastAsia" w:ascii="仿宋_GB2312" w:hAnsi="仿宋_GB2312" w:eastAsia="仿宋_GB2312" w:cs="仿宋_GB2312"/>
          <w:sz w:val="32"/>
          <w:szCs w:val="32"/>
          <w:u w:val="none"/>
        </w:rPr>
        <w:t>无使用国有资本经营预算拨款安排的支出。</w:t>
      </w:r>
    </w:p>
    <w:p w14:paraId="67039B91">
      <w:pPr>
        <w:spacing w:line="600" w:lineRule="exact"/>
        <w:ind w:firstLine="643" w:firstLineChars="200"/>
        <w:rPr>
          <w:rFonts w:ascii="仿宋" w:hAnsi="仿宋" w:eastAsia="仿宋" w:cs="仿宋"/>
          <w:b/>
          <w:bCs/>
          <w:sz w:val="32"/>
          <w:szCs w:val="32"/>
          <w:u w:val="none"/>
        </w:rPr>
      </w:pPr>
      <w:r>
        <w:rPr>
          <w:rFonts w:hint="eastAsia" w:ascii="仿宋" w:hAnsi="仿宋" w:eastAsia="仿宋" w:cs="仿宋"/>
          <w:b/>
          <w:bCs/>
          <w:sz w:val="32"/>
          <w:szCs w:val="32"/>
          <w:u w:val="none"/>
        </w:rPr>
        <w:t>（六）机关运行经费等重要事项的说明</w:t>
      </w:r>
    </w:p>
    <w:p w14:paraId="142F3BE1">
      <w:pPr>
        <w:spacing w:line="600" w:lineRule="exact"/>
        <w:ind w:firstLine="640" w:firstLineChars="200"/>
        <w:rPr>
          <w:rFonts w:hint="eastAsia" w:ascii="仿宋_GB2312" w:hAnsi="仿宋_GB2312" w:eastAsia="仿宋_GB2312" w:cs="仿宋_GB2312"/>
          <w:sz w:val="24"/>
          <w:szCs w:val="24"/>
          <w:u w:val="none"/>
        </w:rPr>
      </w:pPr>
      <w:r>
        <w:rPr>
          <w:rFonts w:hint="eastAsia" w:ascii="仿宋_GB2312" w:hAnsi="仿宋_GB2312" w:eastAsia="仿宋_GB2312" w:cs="仿宋_GB2312"/>
          <w:sz w:val="32"/>
          <w:szCs w:val="32"/>
          <w:u w:val="none"/>
        </w:rPr>
        <w:t>2025年</w:t>
      </w:r>
      <w:r>
        <w:rPr>
          <w:rFonts w:hint="eastAsia" w:ascii="仿宋_GB2312" w:hAnsi="仿宋_GB2312" w:eastAsia="仿宋_GB2312" w:cs="仿宋_GB2312"/>
          <w:sz w:val="30"/>
          <w:szCs w:val="30"/>
          <w:u w:val="none"/>
        </w:rPr>
        <w:t>本部门（单位）</w:t>
      </w:r>
      <w:r>
        <w:rPr>
          <w:rFonts w:hint="eastAsia" w:ascii="仿宋_GB2312" w:hAnsi="仿宋_GB2312" w:eastAsia="仿宋_GB2312" w:cs="仿宋_GB2312"/>
          <w:sz w:val="32"/>
          <w:szCs w:val="32"/>
          <w:u w:val="none"/>
        </w:rPr>
        <w:t>机关运行费预算36.09万元较上年预算安排增7.29万元，增长</w:t>
      </w:r>
      <w:r>
        <w:rPr>
          <w:rFonts w:hint="eastAsia" w:ascii="仿宋_GB2312" w:hAnsi="仿宋_GB2312" w:eastAsia="仿宋_GB2312" w:cs="仿宋_GB2312"/>
          <w:sz w:val="30"/>
          <w:szCs w:val="30"/>
          <w:u w:val="none"/>
        </w:rPr>
        <w:t>25.31%，</w:t>
      </w:r>
      <w:r>
        <w:rPr>
          <w:rFonts w:hint="eastAsia" w:ascii="仿宋_GB2312" w:hAnsi="仿宋_GB2312" w:eastAsia="仿宋_GB2312" w:cs="仿宋_GB2312"/>
          <w:sz w:val="32"/>
          <w:szCs w:val="32"/>
          <w:u w:val="none"/>
        </w:rPr>
        <w:t>主要原因是：人员增加。</w:t>
      </w:r>
    </w:p>
    <w:p w14:paraId="55D4FCA5">
      <w:pPr>
        <w:spacing w:line="600" w:lineRule="exact"/>
        <w:ind w:firstLine="643" w:firstLineChars="200"/>
        <w:rPr>
          <w:rFonts w:ascii="仿宋" w:hAnsi="仿宋" w:eastAsia="仿宋" w:cs="仿宋"/>
          <w:b/>
          <w:bCs/>
          <w:sz w:val="32"/>
          <w:szCs w:val="32"/>
          <w:u w:val="none"/>
        </w:rPr>
      </w:pPr>
      <w:r>
        <w:rPr>
          <w:rFonts w:hint="eastAsia" w:ascii="仿宋" w:hAnsi="仿宋" w:eastAsia="仿宋" w:cs="仿宋"/>
          <w:b/>
          <w:bCs/>
          <w:sz w:val="32"/>
          <w:szCs w:val="32"/>
          <w:u w:val="none"/>
        </w:rPr>
        <w:t>（七）政府采购情况</w:t>
      </w:r>
    </w:p>
    <w:p w14:paraId="2F06C5B9">
      <w:pPr>
        <w:spacing w:line="600" w:lineRule="exact"/>
        <w:ind w:firstLine="640" w:firstLineChars="200"/>
        <w:rPr>
          <w:rFonts w:hint="eastAsia" w:ascii="仿宋_GB2312" w:hAnsi="仿宋_GB2312" w:eastAsia="仿宋_GB2312" w:cs="仿宋_GB2312"/>
          <w:color w:val="FF0000"/>
          <w:sz w:val="32"/>
          <w:szCs w:val="32"/>
          <w:u w:val="none"/>
        </w:rPr>
      </w:pPr>
      <w:r>
        <w:rPr>
          <w:rFonts w:hint="eastAsia" w:ascii="仿宋_GB2312" w:hAnsi="仿宋_GB2312" w:eastAsia="仿宋_GB2312" w:cs="仿宋_GB2312"/>
          <w:sz w:val="32"/>
          <w:szCs w:val="32"/>
          <w:u w:val="none"/>
        </w:rPr>
        <w:t>2025年</w:t>
      </w:r>
      <w:r>
        <w:rPr>
          <w:rFonts w:hint="eastAsia" w:ascii="仿宋_GB2312" w:hAnsi="仿宋_GB2312" w:eastAsia="仿宋_GB2312" w:cs="仿宋_GB2312"/>
          <w:sz w:val="30"/>
          <w:szCs w:val="30"/>
          <w:u w:val="none"/>
        </w:rPr>
        <w:t>本部门（单位）</w:t>
      </w:r>
      <w:r>
        <w:rPr>
          <w:rFonts w:hint="eastAsia" w:ascii="仿宋_GB2312" w:hAnsi="仿宋_GB2312" w:eastAsia="仿宋_GB2312" w:cs="仿宋_GB2312"/>
          <w:sz w:val="32"/>
          <w:szCs w:val="32"/>
          <w:u w:val="none"/>
        </w:rPr>
        <w:t>政府采购总额24.10万元，其中：政府采购货物预算24.10万元、政府采购工程预算0万元、政府采购服务预算0万元。</w:t>
      </w:r>
    </w:p>
    <w:p w14:paraId="591EA6C6">
      <w:pPr>
        <w:spacing w:line="600" w:lineRule="exact"/>
        <w:ind w:firstLine="643" w:firstLineChars="200"/>
        <w:rPr>
          <w:rFonts w:ascii="仿宋" w:hAnsi="仿宋" w:eastAsia="仿宋" w:cs="仿宋"/>
          <w:b/>
          <w:bCs/>
          <w:sz w:val="32"/>
          <w:szCs w:val="32"/>
          <w:u w:val="none"/>
        </w:rPr>
      </w:pPr>
      <w:r>
        <w:rPr>
          <w:rFonts w:hint="eastAsia" w:ascii="仿宋" w:hAnsi="仿宋" w:eastAsia="仿宋" w:cs="仿宋"/>
          <w:b/>
          <w:bCs/>
          <w:sz w:val="32"/>
          <w:szCs w:val="32"/>
          <w:u w:val="none"/>
        </w:rPr>
        <w:t>（八）国有资产占有使用情况</w:t>
      </w:r>
    </w:p>
    <w:p w14:paraId="11E1B8DE">
      <w:pPr>
        <w:spacing w:line="600" w:lineRule="exact"/>
        <w:ind w:firstLine="640" w:firstLineChars="200"/>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截至2024年12月31日</w:t>
      </w:r>
      <w:r>
        <w:rPr>
          <w:rFonts w:hint="eastAsia" w:ascii="仿宋_GB2312" w:hAnsi="仿宋_GB2312" w:eastAsia="仿宋_GB2312" w:cs="仿宋_GB2312"/>
          <w:sz w:val="30"/>
          <w:szCs w:val="30"/>
          <w:u w:val="none"/>
        </w:rPr>
        <w:t>本部门（单位）</w:t>
      </w:r>
      <w:r>
        <w:rPr>
          <w:rFonts w:hint="eastAsia" w:ascii="仿宋_GB2312" w:hAnsi="仿宋_GB2312" w:eastAsia="仿宋_GB2312" w:cs="仿宋_GB2312"/>
          <w:sz w:val="32"/>
          <w:szCs w:val="32"/>
          <w:u w:val="none"/>
        </w:rPr>
        <w:t>共有车辆0辆，其中：一般公务用车0辆、执法执勤用车0辆。</w:t>
      </w:r>
    </w:p>
    <w:p w14:paraId="0ADE34CD">
      <w:pPr>
        <w:spacing w:line="600" w:lineRule="exact"/>
        <w:ind w:firstLine="640" w:firstLineChars="200"/>
        <w:jc w:val="left"/>
        <w:rPr>
          <w:rFonts w:hint="eastAsia" w:ascii="仿宋_GB2312" w:hAnsi="仿宋_GB2312" w:eastAsia="仿宋_GB2312" w:cs="仿宋_GB2312"/>
          <w:color w:val="FF0000"/>
          <w:sz w:val="32"/>
          <w:szCs w:val="32"/>
          <w:u w:val="none"/>
        </w:rPr>
      </w:pPr>
      <w:r>
        <w:rPr>
          <w:rFonts w:hint="eastAsia" w:ascii="仿宋_GB2312" w:hAnsi="仿宋_GB2312" w:eastAsia="仿宋_GB2312" w:cs="仿宋_GB2312"/>
          <w:sz w:val="32"/>
          <w:szCs w:val="32"/>
          <w:u w:val="none"/>
        </w:rPr>
        <w:t>2025年</w:t>
      </w:r>
      <w:r>
        <w:rPr>
          <w:rFonts w:hint="eastAsia" w:ascii="仿宋_GB2312" w:hAnsi="仿宋_GB2312" w:eastAsia="仿宋_GB2312" w:cs="仿宋_GB2312"/>
          <w:sz w:val="30"/>
          <w:szCs w:val="30"/>
          <w:u w:val="none"/>
        </w:rPr>
        <w:t>本部门（单位）</w:t>
      </w:r>
      <w:r>
        <w:rPr>
          <w:rFonts w:hint="eastAsia" w:ascii="仿宋_GB2312" w:hAnsi="仿宋_GB2312" w:eastAsia="仿宋_GB2312" w:cs="仿宋_GB2312"/>
          <w:sz w:val="32"/>
          <w:szCs w:val="32"/>
          <w:u w:val="none"/>
        </w:rPr>
        <w:t>预算安排购置车辆0辆，安排购置单位价值200万元以上大型设备具体为：0。</w:t>
      </w:r>
    </w:p>
    <w:p w14:paraId="323E8CF1">
      <w:pPr>
        <w:numPr>
          <w:ilvl w:val="0"/>
          <w:numId w:val="2"/>
        </w:numPr>
        <w:spacing w:line="600" w:lineRule="exact"/>
        <w:ind w:firstLine="643" w:firstLineChars="200"/>
        <w:rPr>
          <w:rFonts w:ascii="仿宋" w:hAnsi="仿宋" w:eastAsia="仿宋" w:cs="仿宋"/>
          <w:b/>
          <w:bCs/>
          <w:sz w:val="32"/>
          <w:szCs w:val="32"/>
          <w:u w:val="none"/>
        </w:rPr>
      </w:pPr>
      <w:r>
        <w:rPr>
          <w:rFonts w:hint="eastAsia" w:ascii="仿宋" w:hAnsi="仿宋" w:eastAsia="仿宋" w:cs="仿宋"/>
          <w:b/>
          <w:bCs/>
          <w:sz w:val="32"/>
          <w:szCs w:val="32"/>
          <w:u w:val="none"/>
        </w:rPr>
        <w:t>整体绩效目标设置情况</w:t>
      </w:r>
    </w:p>
    <w:p w14:paraId="7DCF669B">
      <w:pPr>
        <w:pStyle w:val="2"/>
        <w:spacing w:line="600" w:lineRule="exact"/>
        <w:ind w:firstLine="640"/>
        <w:rPr>
          <w:rFonts w:hint="eastAsia" w:ascii="仿宋_GB2312" w:hAnsi="仿宋_GB2312" w:eastAsia="仿宋_GB2312" w:cs="仿宋_GB2312"/>
          <w:u w:val="none"/>
          <w:lang w:val="en-US"/>
        </w:rPr>
      </w:pPr>
      <w:r>
        <w:rPr>
          <w:rFonts w:hint="eastAsia" w:ascii="仿宋_GB2312" w:hAnsi="仿宋_GB2312" w:eastAsia="仿宋_GB2312" w:cs="仿宋_GB2312"/>
          <w:u w:val="none"/>
          <w:lang w:val="en-US" w:bidi="ar-SA"/>
        </w:rPr>
        <w:t>2025年本部门整体支出和项目支出全面实施绩效目标管理，部门整体支出预算金额</w:t>
      </w:r>
      <w:r>
        <w:rPr>
          <w:rFonts w:hint="eastAsia" w:ascii="仿宋_GB2312" w:hAnsi="仿宋_GB2312" w:eastAsia="仿宋_GB2312" w:cs="仿宋_GB2312"/>
          <w:u w:val="none"/>
        </w:rPr>
        <w:t>8287.79</w:t>
      </w:r>
      <w:r>
        <w:rPr>
          <w:rFonts w:hint="eastAsia" w:ascii="仿宋_GB2312" w:hAnsi="仿宋_GB2312" w:eastAsia="仿宋_GB2312" w:cs="仿宋_GB2312"/>
          <w:u w:val="none"/>
          <w:lang w:val="en-US" w:bidi="ar-SA"/>
        </w:rPr>
        <w:t>万元。根据以前年度绩效评价结果，优化2025年预算安排,并进一步改进管理、完善政策。</w:t>
      </w:r>
    </w:p>
    <w:p w14:paraId="5DB9B1E4">
      <w:pPr>
        <w:pStyle w:val="2"/>
        <w:spacing w:line="600" w:lineRule="exact"/>
        <w:ind w:firstLine="640"/>
        <w:rPr>
          <w:rFonts w:hint="eastAsia" w:ascii="仿宋_GB2312" w:hAnsi="仿宋_GB2312" w:eastAsia="仿宋_GB2312" w:cs="仿宋_GB2312"/>
          <w:u w:val="none"/>
          <w:lang w:val="en-US" w:bidi="ar-SA"/>
        </w:rPr>
      </w:pPr>
      <w:r>
        <w:rPr>
          <w:rFonts w:hint="eastAsia" w:ascii="仿宋_GB2312" w:hAnsi="仿宋_GB2312" w:eastAsia="仿宋_GB2312" w:cs="仿宋_GB2312"/>
          <w:u w:val="none"/>
          <w:lang w:val="en-US" w:bidi="ar-SA"/>
        </w:rPr>
        <w:t>2025年本部门（单位）预算安排项目</w:t>
      </w:r>
      <w:r>
        <w:rPr>
          <w:rFonts w:hint="eastAsia" w:ascii="仿宋_GB2312" w:hAnsi="仿宋_GB2312" w:eastAsia="仿宋_GB2312" w:cs="仿宋_GB2312"/>
          <w:u w:val="none"/>
        </w:rPr>
        <w:t>6</w:t>
      </w:r>
      <w:r>
        <w:rPr>
          <w:rFonts w:hint="eastAsia" w:ascii="仿宋_GB2312" w:hAnsi="仿宋_GB2312" w:eastAsia="仿宋_GB2312" w:cs="仿宋_GB2312"/>
          <w:u w:val="none"/>
          <w:lang w:val="en-US" w:bidi="ar-SA"/>
        </w:rPr>
        <w:t>个，项目预算金额合计</w:t>
      </w:r>
      <w:r>
        <w:rPr>
          <w:rFonts w:hint="eastAsia" w:ascii="仿宋_GB2312" w:hAnsi="仿宋_GB2312" w:eastAsia="仿宋_GB2312" w:cs="仿宋_GB2312"/>
          <w:u w:val="none"/>
        </w:rPr>
        <w:t>6479.67</w:t>
      </w:r>
      <w:r>
        <w:rPr>
          <w:rFonts w:hint="eastAsia" w:ascii="仿宋_GB2312" w:hAnsi="仿宋_GB2312" w:eastAsia="仿宋_GB2312" w:cs="仿宋_GB2312"/>
          <w:u w:val="none"/>
          <w:lang w:val="en-US" w:bidi="ar-SA"/>
        </w:rPr>
        <w:t>万元</w:t>
      </w:r>
      <w:r>
        <w:rPr>
          <w:rFonts w:hint="eastAsia" w:cs="仿宋_GB2312"/>
          <w:u w:val="none"/>
          <w:lang w:val="en-US" w:eastAsia="zh-CN" w:bidi="ar-SA"/>
        </w:rPr>
        <w:t>（不含上年结转结余项目）</w:t>
      </w:r>
      <w:r>
        <w:rPr>
          <w:rFonts w:hint="eastAsia" w:ascii="仿宋_GB2312" w:hAnsi="仿宋_GB2312" w:eastAsia="仿宋_GB2312" w:cs="仿宋_GB2312"/>
          <w:u w:val="none"/>
          <w:lang w:val="en-US" w:bidi="ar-SA"/>
        </w:rPr>
        <w:t>。</w:t>
      </w:r>
    </w:p>
    <w:p w14:paraId="362D8F40">
      <w:pPr>
        <w:numPr>
          <w:ilvl w:val="0"/>
          <w:numId w:val="2"/>
        </w:numPr>
        <w:spacing w:line="600" w:lineRule="exact"/>
        <w:ind w:firstLine="643" w:firstLineChars="200"/>
        <w:rPr>
          <w:rFonts w:ascii="仿宋" w:hAnsi="仿宋" w:eastAsia="仿宋" w:cs="仿宋"/>
          <w:b/>
          <w:bCs/>
          <w:sz w:val="32"/>
          <w:szCs w:val="32"/>
          <w:u w:val="none"/>
        </w:rPr>
      </w:pPr>
      <w:r>
        <w:rPr>
          <w:rFonts w:hint="eastAsia" w:ascii="仿宋" w:hAnsi="仿宋" w:eastAsia="仿宋" w:cs="仿宋"/>
          <w:b/>
          <w:bCs/>
          <w:sz w:val="32"/>
          <w:szCs w:val="32"/>
          <w:u w:val="none"/>
        </w:rPr>
        <w:t>项目绩效目标设置情况</w:t>
      </w:r>
    </w:p>
    <w:p w14:paraId="0AE55025">
      <w:pPr>
        <w:spacing w:line="600" w:lineRule="exact"/>
        <w:ind w:firstLine="643" w:firstLineChars="200"/>
        <w:rPr>
          <w:rFonts w:hint="eastAsia" w:ascii="仿宋_GB2312" w:hAnsi="仿宋_GB2312" w:eastAsia="仿宋_GB2312" w:cs="仿宋_GB2312"/>
          <w:b/>
          <w:bCs/>
          <w:sz w:val="28"/>
          <w:szCs w:val="28"/>
          <w:u w:val="none"/>
        </w:rPr>
      </w:pPr>
      <w:r>
        <w:rPr>
          <w:rFonts w:hint="eastAsia" w:ascii="仿宋_GB2312" w:hAnsi="仿宋_GB2312" w:eastAsia="仿宋_GB2312" w:cs="仿宋_GB2312"/>
          <w:b/>
          <w:bCs/>
          <w:sz w:val="32"/>
          <w:szCs w:val="32"/>
          <w:u w:val="none"/>
        </w:rPr>
        <w:t>项目一：2025年工业污水处理服务费用项目</w:t>
      </w:r>
    </w:p>
    <w:p w14:paraId="5442F7F0">
      <w:pPr>
        <w:spacing w:line="600" w:lineRule="exact"/>
        <w:ind w:firstLine="640" w:firstLineChars="200"/>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1.项目概述：2025年工业污水处理服务费用</w:t>
      </w:r>
    </w:p>
    <w:p w14:paraId="497BC006">
      <w:pPr>
        <w:spacing w:line="600" w:lineRule="exact"/>
        <w:ind w:firstLine="640" w:firstLineChars="200"/>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2.立项依据：兴府办抄字[2019]330号</w:t>
      </w:r>
    </w:p>
    <w:p w14:paraId="042B9112">
      <w:pPr>
        <w:spacing w:line="600" w:lineRule="exact"/>
        <w:ind w:firstLine="640" w:firstLineChars="200"/>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3.实施主体：江西兴国经济开发区管理委员会</w:t>
      </w:r>
    </w:p>
    <w:p w14:paraId="54CA6476">
      <w:pPr>
        <w:spacing w:line="600" w:lineRule="exact"/>
        <w:ind w:firstLine="640" w:firstLineChars="200"/>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4.实施方案：日处理工业污水一万吨</w:t>
      </w:r>
    </w:p>
    <w:p w14:paraId="0EAD88BE">
      <w:pPr>
        <w:spacing w:line="600" w:lineRule="exact"/>
        <w:ind w:firstLine="640" w:firstLineChars="200"/>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5.实施周期：一年</w:t>
      </w:r>
    </w:p>
    <w:p w14:paraId="5C1AF256">
      <w:pPr>
        <w:spacing w:line="600" w:lineRule="exact"/>
        <w:ind w:firstLine="640" w:firstLineChars="200"/>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6.年度预算安排：项目库申报金额1011.60万元；预算批复金额1011.6</w:t>
      </w:r>
      <w:r>
        <w:rPr>
          <w:rFonts w:hint="eastAsia" w:ascii="仿宋_GB2312" w:hAnsi="仿宋_GB2312" w:eastAsia="仿宋_GB2312" w:cs="仿宋_GB2312"/>
          <w:sz w:val="32"/>
          <w:szCs w:val="32"/>
          <w:u w:val="none"/>
          <w:lang w:val="en-US" w:eastAsia="zh-CN"/>
        </w:rPr>
        <w:t>0</w:t>
      </w:r>
      <w:r>
        <w:rPr>
          <w:rFonts w:hint="eastAsia" w:ascii="仿宋_GB2312" w:hAnsi="仿宋_GB2312" w:eastAsia="仿宋_GB2312" w:cs="仿宋_GB2312"/>
          <w:sz w:val="32"/>
          <w:szCs w:val="32"/>
          <w:u w:val="none"/>
        </w:rPr>
        <w:t>万元</w:t>
      </w:r>
    </w:p>
    <w:p w14:paraId="68F95196">
      <w:pPr>
        <w:spacing w:line="600" w:lineRule="exact"/>
        <w:ind w:firstLine="640" w:firstLineChars="200"/>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7.年度绩效目标：日处理工业污水一万吨，污水处理符合国家标准。</w:t>
      </w:r>
    </w:p>
    <w:p w14:paraId="686F910E">
      <w:pPr>
        <w:spacing w:line="600" w:lineRule="exact"/>
        <w:ind w:firstLine="643" w:firstLineChars="200"/>
        <w:rPr>
          <w:rFonts w:hint="eastAsia" w:ascii="仿宋_GB2312" w:hAnsi="仿宋_GB2312" w:eastAsia="仿宋_GB2312" w:cs="仿宋_GB2312"/>
          <w:b/>
          <w:bCs/>
          <w:sz w:val="28"/>
          <w:szCs w:val="28"/>
          <w:u w:val="none"/>
        </w:rPr>
      </w:pPr>
      <w:r>
        <w:rPr>
          <w:rFonts w:hint="eastAsia" w:ascii="仿宋_GB2312" w:hAnsi="仿宋_GB2312" w:eastAsia="仿宋_GB2312" w:cs="仿宋_GB2312"/>
          <w:b/>
          <w:bCs/>
          <w:sz w:val="32"/>
          <w:szCs w:val="32"/>
          <w:u w:val="none"/>
        </w:rPr>
        <w:t>项目二：2025年工业污水处理厂污泥第三方处置费用项目</w:t>
      </w:r>
    </w:p>
    <w:p w14:paraId="1B0C832C">
      <w:pPr>
        <w:spacing w:line="600" w:lineRule="exact"/>
        <w:ind w:firstLine="640" w:firstLineChars="200"/>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1.项目概述：</w:t>
      </w:r>
      <w:r>
        <w:rPr>
          <w:rFonts w:hint="eastAsia" w:ascii="仿宋_GB2312" w:hAnsi="仿宋_GB2312" w:eastAsia="仿宋_GB2312" w:cs="仿宋_GB2312"/>
          <w:b/>
          <w:bCs/>
          <w:sz w:val="32"/>
          <w:szCs w:val="32"/>
          <w:u w:val="none"/>
        </w:rPr>
        <w:t>2025年工业污水处理厂污泥第三方处置费用</w:t>
      </w:r>
    </w:p>
    <w:p w14:paraId="447EB376">
      <w:pPr>
        <w:spacing w:line="600" w:lineRule="exact"/>
        <w:ind w:firstLine="640" w:firstLineChars="200"/>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2.立项依据：兴府办抄字[2022]482号</w:t>
      </w:r>
    </w:p>
    <w:p w14:paraId="780915F5">
      <w:pPr>
        <w:spacing w:line="600" w:lineRule="exact"/>
        <w:ind w:firstLine="640" w:firstLineChars="200"/>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3.实施主体：江西兴国经济开发区管理委员会</w:t>
      </w:r>
    </w:p>
    <w:p w14:paraId="0454F665">
      <w:pPr>
        <w:spacing w:line="600" w:lineRule="exact"/>
        <w:ind w:firstLine="640" w:firstLineChars="200"/>
        <w:rPr>
          <w:rFonts w:hint="eastAsia" w:ascii="仿宋_GB2312" w:hAnsi="仿宋_GB2312" w:eastAsia="仿宋_GB2312" w:cs="仿宋_GB2312"/>
          <w:b w:val="0"/>
          <w:bCs w:val="0"/>
          <w:sz w:val="32"/>
          <w:szCs w:val="32"/>
          <w:u w:val="none"/>
        </w:rPr>
      </w:pPr>
      <w:r>
        <w:rPr>
          <w:rFonts w:hint="eastAsia" w:ascii="仿宋_GB2312" w:hAnsi="仿宋_GB2312" w:eastAsia="仿宋_GB2312" w:cs="仿宋_GB2312"/>
          <w:sz w:val="32"/>
          <w:szCs w:val="32"/>
          <w:u w:val="none"/>
        </w:rPr>
        <w:t>4.实施方案</w:t>
      </w:r>
      <w:r>
        <w:rPr>
          <w:rFonts w:hint="eastAsia" w:ascii="仿宋_GB2312" w:hAnsi="仿宋_GB2312" w:eastAsia="仿宋_GB2312" w:cs="仿宋_GB2312"/>
          <w:b w:val="0"/>
          <w:bCs w:val="0"/>
          <w:sz w:val="32"/>
          <w:szCs w:val="32"/>
          <w:u w:val="none"/>
        </w:rPr>
        <w:t>：及时清理工业污水处理厂污泥</w:t>
      </w:r>
    </w:p>
    <w:p w14:paraId="043511C8">
      <w:pPr>
        <w:spacing w:line="600" w:lineRule="exact"/>
        <w:ind w:firstLine="640" w:firstLineChars="200"/>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5.实施周期：一年</w:t>
      </w:r>
    </w:p>
    <w:p w14:paraId="1EE461EA">
      <w:pPr>
        <w:spacing w:line="600" w:lineRule="exact"/>
        <w:ind w:firstLine="640" w:firstLineChars="200"/>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6.年度预算安排：项目库申报金额17.16万元；预算批复金额17.16万元</w:t>
      </w:r>
    </w:p>
    <w:p w14:paraId="11D6A56D">
      <w:pPr>
        <w:spacing w:line="600" w:lineRule="exact"/>
        <w:ind w:firstLine="640" w:firstLineChars="200"/>
        <w:rPr>
          <w:rFonts w:hint="eastAsia" w:ascii="仿宋_GB2312" w:hAnsi="仿宋_GB2312" w:eastAsia="仿宋_GB2312" w:cs="仿宋_GB2312"/>
          <w:b w:val="0"/>
          <w:bCs w:val="0"/>
          <w:sz w:val="32"/>
          <w:szCs w:val="32"/>
          <w:u w:val="none"/>
        </w:rPr>
      </w:pPr>
      <w:r>
        <w:rPr>
          <w:rFonts w:hint="eastAsia" w:ascii="仿宋_GB2312" w:hAnsi="仿宋_GB2312" w:eastAsia="仿宋_GB2312" w:cs="仿宋_GB2312"/>
          <w:sz w:val="32"/>
          <w:szCs w:val="32"/>
          <w:u w:val="none"/>
        </w:rPr>
        <w:t>7.年度绩效目标：及时清</w:t>
      </w:r>
      <w:r>
        <w:rPr>
          <w:rFonts w:hint="eastAsia" w:ascii="仿宋_GB2312" w:hAnsi="仿宋_GB2312" w:eastAsia="仿宋_GB2312" w:cs="仿宋_GB2312"/>
          <w:b w:val="0"/>
          <w:bCs w:val="0"/>
          <w:sz w:val="32"/>
          <w:szCs w:val="32"/>
          <w:u w:val="none"/>
        </w:rPr>
        <w:t>理工业污水处理厂污泥</w:t>
      </w:r>
    </w:p>
    <w:p w14:paraId="04ED3FDC">
      <w:pPr>
        <w:spacing w:line="600" w:lineRule="exact"/>
        <w:ind w:firstLine="643" w:firstLineChars="200"/>
        <w:rPr>
          <w:rFonts w:hint="eastAsia" w:ascii="仿宋_GB2312" w:hAnsi="仿宋_GB2312" w:eastAsia="仿宋_GB2312" w:cs="仿宋_GB2312"/>
          <w:b/>
          <w:bCs/>
          <w:sz w:val="28"/>
          <w:szCs w:val="28"/>
          <w:u w:val="none"/>
        </w:rPr>
      </w:pPr>
      <w:r>
        <w:rPr>
          <w:rFonts w:hint="eastAsia" w:ascii="仿宋_GB2312" w:hAnsi="仿宋_GB2312" w:eastAsia="仿宋_GB2312" w:cs="仿宋_GB2312"/>
          <w:b/>
          <w:bCs/>
          <w:sz w:val="32"/>
          <w:szCs w:val="32"/>
          <w:u w:val="none"/>
        </w:rPr>
        <w:t>项目三：2025年村土地租赁项目</w:t>
      </w:r>
    </w:p>
    <w:p w14:paraId="488A9BB0">
      <w:pPr>
        <w:spacing w:line="600" w:lineRule="exact"/>
        <w:ind w:firstLine="640" w:firstLineChars="200"/>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1.项目概述：2025年村土地租赁</w:t>
      </w:r>
    </w:p>
    <w:p w14:paraId="6A547542">
      <w:pPr>
        <w:spacing w:line="600" w:lineRule="exact"/>
        <w:ind w:firstLine="640" w:firstLineChars="200"/>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2.立项依据：兴办字[2002]133号</w:t>
      </w:r>
    </w:p>
    <w:p w14:paraId="6434BA3C">
      <w:pPr>
        <w:spacing w:line="600" w:lineRule="exact"/>
        <w:ind w:firstLine="640" w:firstLineChars="200"/>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3.实施主体：江西兴国经济开发区管理委员会</w:t>
      </w:r>
    </w:p>
    <w:p w14:paraId="3CDF3140">
      <w:pPr>
        <w:spacing w:line="600" w:lineRule="exact"/>
        <w:ind w:firstLine="640" w:firstLineChars="200"/>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4.实施方案：支付四个村的土地租赁费用</w:t>
      </w:r>
    </w:p>
    <w:p w14:paraId="0E555293">
      <w:pPr>
        <w:spacing w:line="600" w:lineRule="exact"/>
        <w:ind w:firstLine="640" w:firstLineChars="200"/>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5.实施周期：一年</w:t>
      </w:r>
    </w:p>
    <w:p w14:paraId="7E390093">
      <w:pPr>
        <w:spacing w:line="600" w:lineRule="exact"/>
        <w:ind w:firstLine="640" w:firstLineChars="200"/>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6.年度预算安排：项目库申报金额157.81万元；预算批复金额157.81万元</w:t>
      </w:r>
    </w:p>
    <w:p w14:paraId="310B8AFD">
      <w:pPr>
        <w:spacing w:line="600" w:lineRule="exact"/>
        <w:ind w:firstLine="640" w:firstLineChars="200"/>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7.年度绩效目标：按时支付四个村的土地租赁费用</w:t>
      </w:r>
    </w:p>
    <w:p w14:paraId="1BB314B5">
      <w:pPr>
        <w:spacing w:line="600" w:lineRule="exact"/>
        <w:ind w:firstLine="643" w:firstLineChars="200"/>
        <w:rPr>
          <w:rFonts w:hint="eastAsia" w:ascii="仿宋_GB2312" w:hAnsi="仿宋_GB2312" w:eastAsia="仿宋_GB2312" w:cs="仿宋_GB2312"/>
          <w:b/>
          <w:bCs/>
          <w:sz w:val="28"/>
          <w:szCs w:val="28"/>
          <w:u w:val="none"/>
        </w:rPr>
      </w:pPr>
      <w:r>
        <w:rPr>
          <w:rFonts w:hint="eastAsia" w:ascii="仿宋_GB2312" w:hAnsi="仿宋_GB2312" w:eastAsia="仿宋_GB2312" w:cs="仿宋_GB2312"/>
          <w:b/>
          <w:bCs/>
          <w:sz w:val="32"/>
          <w:szCs w:val="32"/>
          <w:u w:val="none"/>
        </w:rPr>
        <w:t>项目四：2025年聘用人员薪酬项目</w:t>
      </w:r>
    </w:p>
    <w:p w14:paraId="0F80112C">
      <w:pPr>
        <w:spacing w:line="600" w:lineRule="exact"/>
        <w:ind w:firstLine="640" w:firstLineChars="200"/>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1.项目概述：2025年聘用人员薪酬</w:t>
      </w:r>
    </w:p>
    <w:p w14:paraId="7BA9BB3E">
      <w:pPr>
        <w:spacing w:line="600" w:lineRule="exact"/>
        <w:ind w:firstLine="640" w:firstLineChars="200"/>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2.立项依据：兴办字[2022]88号，兴办字[2024]9号</w:t>
      </w:r>
    </w:p>
    <w:p w14:paraId="5A63A0FF">
      <w:pPr>
        <w:spacing w:line="600" w:lineRule="exact"/>
        <w:ind w:firstLine="640" w:firstLineChars="200"/>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3.实施主体：江西兴国经济开发区管理委员会</w:t>
      </w:r>
    </w:p>
    <w:p w14:paraId="3371F9FF">
      <w:pPr>
        <w:spacing w:line="600" w:lineRule="exact"/>
        <w:ind w:firstLine="640" w:firstLineChars="200"/>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4.实施方案：保障机关正常运转，配齐队伍，更好</w:t>
      </w:r>
      <w:r>
        <w:rPr>
          <w:rFonts w:hint="eastAsia" w:ascii="仿宋_GB2312" w:hAnsi="仿宋_GB2312" w:eastAsia="仿宋_GB2312" w:cs="仿宋_GB2312"/>
          <w:sz w:val="32"/>
          <w:szCs w:val="32"/>
          <w:u w:val="none"/>
          <w:lang w:eastAsia="zh-CN"/>
        </w:rPr>
        <w:t>地</w:t>
      </w:r>
      <w:r>
        <w:rPr>
          <w:rFonts w:hint="eastAsia" w:ascii="仿宋_GB2312" w:hAnsi="仿宋_GB2312" w:eastAsia="仿宋_GB2312" w:cs="仿宋_GB2312"/>
          <w:sz w:val="32"/>
          <w:szCs w:val="32"/>
          <w:u w:val="none"/>
        </w:rPr>
        <w:t>为企业服务，建设一流的营商环境。</w:t>
      </w:r>
    </w:p>
    <w:p w14:paraId="2541E173">
      <w:pPr>
        <w:spacing w:line="600" w:lineRule="exact"/>
        <w:ind w:firstLine="640" w:firstLineChars="200"/>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5.实施周期：一年</w:t>
      </w:r>
    </w:p>
    <w:p w14:paraId="7F08F039">
      <w:pPr>
        <w:spacing w:line="600" w:lineRule="exact"/>
        <w:ind w:firstLine="640" w:firstLineChars="200"/>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6.年度预算安排：项目库申报金额45.6</w:t>
      </w:r>
      <w:r>
        <w:rPr>
          <w:rFonts w:hint="eastAsia" w:ascii="仿宋_GB2312" w:hAnsi="仿宋_GB2312" w:eastAsia="仿宋_GB2312" w:cs="仿宋_GB2312"/>
          <w:sz w:val="32"/>
          <w:szCs w:val="32"/>
          <w:u w:val="none"/>
          <w:lang w:val="en-US" w:eastAsia="zh-CN"/>
        </w:rPr>
        <w:t>0</w:t>
      </w:r>
      <w:r>
        <w:rPr>
          <w:rFonts w:hint="eastAsia" w:ascii="仿宋_GB2312" w:hAnsi="仿宋_GB2312" w:eastAsia="仿宋_GB2312" w:cs="仿宋_GB2312"/>
          <w:sz w:val="32"/>
          <w:szCs w:val="32"/>
          <w:u w:val="none"/>
        </w:rPr>
        <w:t>万元；预算批复金额45.6</w:t>
      </w:r>
      <w:r>
        <w:rPr>
          <w:rFonts w:hint="eastAsia" w:ascii="仿宋_GB2312" w:hAnsi="仿宋_GB2312" w:eastAsia="仿宋_GB2312" w:cs="仿宋_GB2312"/>
          <w:sz w:val="32"/>
          <w:szCs w:val="32"/>
          <w:u w:val="none"/>
          <w:lang w:val="en-US" w:eastAsia="zh-CN"/>
        </w:rPr>
        <w:t>0</w:t>
      </w:r>
      <w:r>
        <w:rPr>
          <w:rFonts w:hint="eastAsia" w:ascii="仿宋_GB2312" w:hAnsi="仿宋_GB2312" w:eastAsia="仿宋_GB2312" w:cs="仿宋_GB2312"/>
          <w:sz w:val="32"/>
          <w:szCs w:val="32"/>
          <w:u w:val="none"/>
        </w:rPr>
        <w:t>万元</w:t>
      </w:r>
    </w:p>
    <w:p w14:paraId="03223516">
      <w:pPr>
        <w:spacing w:line="600" w:lineRule="exact"/>
        <w:ind w:firstLine="640" w:firstLineChars="200"/>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7.年度绩效目标：保障机关正常运转，配齐队伍，更好</w:t>
      </w:r>
      <w:r>
        <w:rPr>
          <w:rFonts w:hint="eastAsia" w:ascii="仿宋_GB2312" w:hAnsi="仿宋_GB2312" w:eastAsia="仿宋_GB2312" w:cs="仿宋_GB2312"/>
          <w:sz w:val="32"/>
          <w:szCs w:val="32"/>
          <w:u w:val="none"/>
          <w:lang w:eastAsia="zh-CN"/>
        </w:rPr>
        <w:t>地</w:t>
      </w:r>
      <w:r>
        <w:rPr>
          <w:rFonts w:hint="eastAsia" w:ascii="仿宋_GB2312" w:hAnsi="仿宋_GB2312" w:eastAsia="仿宋_GB2312" w:cs="仿宋_GB2312"/>
          <w:sz w:val="32"/>
          <w:szCs w:val="32"/>
          <w:u w:val="none"/>
        </w:rPr>
        <w:t>为企业服务，建设一流的营商环境。</w:t>
      </w:r>
    </w:p>
    <w:p w14:paraId="416503AB">
      <w:pPr>
        <w:spacing w:line="600" w:lineRule="exact"/>
        <w:ind w:firstLine="643" w:firstLineChars="200"/>
        <w:rPr>
          <w:rFonts w:hint="eastAsia" w:ascii="仿宋_GB2312" w:hAnsi="仿宋_GB2312" w:eastAsia="仿宋_GB2312" w:cs="仿宋_GB2312"/>
          <w:b/>
          <w:bCs/>
          <w:sz w:val="28"/>
          <w:szCs w:val="28"/>
          <w:u w:val="none"/>
        </w:rPr>
      </w:pPr>
      <w:r>
        <w:rPr>
          <w:rFonts w:hint="eastAsia" w:ascii="仿宋_GB2312" w:hAnsi="仿宋_GB2312" w:eastAsia="仿宋_GB2312" w:cs="仿宋_GB2312"/>
          <w:b/>
          <w:bCs/>
          <w:sz w:val="32"/>
          <w:szCs w:val="32"/>
          <w:u w:val="none"/>
        </w:rPr>
        <w:t>项目五：2025年园区业务费项目</w:t>
      </w:r>
    </w:p>
    <w:p w14:paraId="51659A85">
      <w:pPr>
        <w:spacing w:line="600" w:lineRule="exact"/>
        <w:ind w:firstLine="640" w:firstLineChars="200"/>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1.项目概述：2025年园区业务费</w:t>
      </w:r>
    </w:p>
    <w:p w14:paraId="4FA90946">
      <w:pPr>
        <w:spacing w:line="600" w:lineRule="exact"/>
        <w:ind w:firstLine="640" w:firstLineChars="200"/>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2.立项依据：兴办字[2022]88号，兴办字[2024]9号</w:t>
      </w:r>
    </w:p>
    <w:p w14:paraId="64A58A48">
      <w:pPr>
        <w:spacing w:line="600" w:lineRule="exact"/>
        <w:ind w:firstLine="640" w:firstLineChars="200"/>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3.实施主体：江西兴国经济开发区管理委员会</w:t>
      </w:r>
    </w:p>
    <w:p w14:paraId="1A3B5B48">
      <w:pPr>
        <w:spacing w:line="600" w:lineRule="exact"/>
        <w:ind w:firstLine="640" w:firstLineChars="200"/>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4.实施方案：保障机关正常运转</w:t>
      </w:r>
    </w:p>
    <w:p w14:paraId="2740D6FF">
      <w:pPr>
        <w:spacing w:line="600" w:lineRule="exact"/>
        <w:ind w:firstLine="640" w:firstLineChars="200"/>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5.实施周期：一年</w:t>
      </w:r>
    </w:p>
    <w:p w14:paraId="1E1B7B38">
      <w:pPr>
        <w:spacing w:line="600" w:lineRule="exact"/>
        <w:ind w:firstLine="640" w:firstLineChars="200"/>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6.年度预算安排：项目库申报金额247.5</w:t>
      </w:r>
      <w:r>
        <w:rPr>
          <w:rFonts w:hint="eastAsia" w:ascii="仿宋_GB2312" w:hAnsi="仿宋_GB2312" w:eastAsia="仿宋_GB2312" w:cs="仿宋_GB2312"/>
          <w:sz w:val="32"/>
          <w:szCs w:val="32"/>
          <w:u w:val="none"/>
          <w:lang w:val="en-US" w:eastAsia="zh-CN"/>
        </w:rPr>
        <w:t>0</w:t>
      </w:r>
      <w:r>
        <w:rPr>
          <w:rFonts w:hint="eastAsia" w:ascii="仿宋_GB2312" w:hAnsi="仿宋_GB2312" w:eastAsia="仿宋_GB2312" w:cs="仿宋_GB2312"/>
          <w:sz w:val="32"/>
          <w:szCs w:val="32"/>
          <w:u w:val="none"/>
        </w:rPr>
        <w:t>万元；预算批复金额247.5</w:t>
      </w:r>
      <w:r>
        <w:rPr>
          <w:rFonts w:hint="eastAsia" w:ascii="仿宋_GB2312" w:hAnsi="仿宋_GB2312" w:eastAsia="仿宋_GB2312" w:cs="仿宋_GB2312"/>
          <w:sz w:val="32"/>
          <w:szCs w:val="32"/>
          <w:u w:val="none"/>
          <w:lang w:val="en-US" w:eastAsia="zh-CN"/>
        </w:rPr>
        <w:t>0</w:t>
      </w:r>
      <w:r>
        <w:rPr>
          <w:rFonts w:hint="eastAsia" w:ascii="仿宋_GB2312" w:hAnsi="仿宋_GB2312" w:eastAsia="仿宋_GB2312" w:cs="仿宋_GB2312"/>
          <w:sz w:val="32"/>
          <w:szCs w:val="32"/>
          <w:u w:val="none"/>
        </w:rPr>
        <w:t>万元</w:t>
      </w:r>
    </w:p>
    <w:p w14:paraId="03D40A87">
      <w:pPr>
        <w:spacing w:line="600" w:lineRule="exact"/>
        <w:ind w:firstLine="640" w:firstLineChars="200"/>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7.年度绩效目标：保障机关整体运转，聚力推进开发区管理制度改革，勇于担当，攻坚克难，转型发展态势强劲，体制改革持续深化，安全防线不断巩固，高质量发展迈向强健步伐，各项事业迈向新进展、新成效。</w:t>
      </w:r>
    </w:p>
    <w:p w14:paraId="1312CB34">
      <w:pPr>
        <w:spacing w:line="600" w:lineRule="exact"/>
        <w:ind w:firstLine="643" w:firstLineChars="200"/>
        <w:rPr>
          <w:rFonts w:hint="eastAsia" w:ascii="仿宋_GB2312" w:hAnsi="仿宋_GB2312" w:eastAsia="仿宋_GB2312" w:cs="仿宋_GB2312"/>
          <w:b/>
          <w:bCs/>
          <w:sz w:val="28"/>
          <w:szCs w:val="28"/>
          <w:u w:val="none"/>
        </w:rPr>
      </w:pPr>
      <w:r>
        <w:rPr>
          <w:rFonts w:hint="eastAsia" w:ascii="仿宋_GB2312" w:hAnsi="仿宋_GB2312" w:eastAsia="仿宋_GB2312" w:cs="仿宋_GB2312"/>
          <w:b/>
          <w:bCs/>
          <w:sz w:val="32"/>
          <w:szCs w:val="32"/>
          <w:u w:val="none"/>
        </w:rPr>
        <w:t>项目六：2025年其他资金项目</w:t>
      </w:r>
    </w:p>
    <w:p w14:paraId="6BF098C3">
      <w:pPr>
        <w:spacing w:line="600" w:lineRule="exact"/>
        <w:ind w:firstLine="640" w:firstLineChars="200"/>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1.项目概述：2025年其他资金</w:t>
      </w:r>
    </w:p>
    <w:p w14:paraId="2A5DAA65">
      <w:pPr>
        <w:spacing w:line="600" w:lineRule="exact"/>
        <w:ind w:firstLine="640" w:firstLineChars="200"/>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2.立项依据：文件要求，保障园区其他资金运转</w:t>
      </w:r>
    </w:p>
    <w:p w14:paraId="6EA8D312">
      <w:pPr>
        <w:spacing w:line="600" w:lineRule="exact"/>
        <w:ind w:firstLine="640" w:firstLineChars="200"/>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3.实施主体：江西兴国经济开发区管理委员会</w:t>
      </w:r>
    </w:p>
    <w:p w14:paraId="1FC63A9C">
      <w:pPr>
        <w:spacing w:line="600" w:lineRule="exact"/>
        <w:ind w:firstLine="640" w:firstLineChars="200"/>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4.实施方案：保障园区正常运转，完善园区基础设施建，更好</w:t>
      </w:r>
      <w:r>
        <w:rPr>
          <w:rFonts w:hint="eastAsia" w:ascii="仿宋_GB2312" w:hAnsi="仿宋_GB2312" w:eastAsia="仿宋_GB2312" w:cs="仿宋_GB2312"/>
          <w:sz w:val="32"/>
          <w:szCs w:val="32"/>
          <w:u w:val="none"/>
          <w:lang w:eastAsia="zh-CN"/>
        </w:rPr>
        <w:t>地</w:t>
      </w:r>
      <w:r>
        <w:rPr>
          <w:rFonts w:hint="eastAsia" w:ascii="仿宋_GB2312" w:hAnsi="仿宋_GB2312" w:eastAsia="仿宋_GB2312" w:cs="仿宋_GB2312"/>
          <w:sz w:val="32"/>
          <w:szCs w:val="32"/>
          <w:u w:val="none"/>
        </w:rPr>
        <w:t>招商，安商，稳商</w:t>
      </w:r>
    </w:p>
    <w:p w14:paraId="145E1E06">
      <w:pPr>
        <w:spacing w:line="600" w:lineRule="exact"/>
        <w:ind w:firstLine="640" w:firstLineChars="200"/>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5.实施周期：一年</w:t>
      </w:r>
    </w:p>
    <w:p w14:paraId="4CBFF041">
      <w:pPr>
        <w:spacing w:line="600" w:lineRule="exact"/>
        <w:ind w:firstLine="640" w:firstLineChars="200"/>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6.年度预算安排：项目库申报金额9000万元；预算批复金额5000万元</w:t>
      </w:r>
    </w:p>
    <w:p w14:paraId="2706854E">
      <w:pPr>
        <w:spacing w:line="600" w:lineRule="exact"/>
        <w:ind w:firstLine="640" w:firstLineChars="200"/>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7.年度绩效目标：：保障园区正常运转，完善园区基础设施建，</w:t>
      </w:r>
      <w:bookmarkStart w:id="0" w:name="_GoBack"/>
      <w:bookmarkEnd w:id="0"/>
      <w:r>
        <w:rPr>
          <w:rFonts w:hint="eastAsia" w:ascii="仿宋_GB2312" w:hAnsi="仿宋_GB2312" w:eastAsia="仿宋_GB2312" w:cs="仿宋_GB2312"/>
          <w:sz w:val="32"/>
          <w:szCs w:val="32"/>
          <w:u w:val="none"/>
        </w:rPr>
        <w:t>更好</w:t>
      </w:r>
      <w:r>
        <w:rPr>
          <w:rFonts w:hint="eastAsia" w:ascii="仿宋_GB2312" w:hAnsi="仿宋_GB2312" w:eastAsia="仿宋_GB2312" w:cs="仿宋_GB2312"/>
          <w:sz w:val="32"/>
          <w:szCs w:val="32"/>
          <w:u w:val="none"/>
          <w:lang w:eastAsia="zh-CN"/>
        </w:rPr>
        <w:t>地</w:t>
      </w:r>
      <w:r>
        <w:rPr>
          <w:rFonts w:hint="eastAsia" w:ascii="仿宋_GB2312" w:hAnsi="仿宋_GB2312" w:eastAsia="仿宋_GB2312" w:cs="仿宋_GB2312"/>
          <w:sz w:val="32"/>
          <w:szCs w:val="32"/>
          <w:u w:val="none"/>
        </w:rPr>
        <w:t>招商，安商，稳商</w:t>
      </w:r>
    </w:p>
    <w:p w14:paraId="0F64FFC9">
      <w:pPr>
        <w:spacing w:line="600" w:lineRule="exact"/>
        <w:ind w:left="10" w:leftChars="5" w:firstLine="643" w:firstLineChars="200"/>
        <w:rPr>
          <w:rFonts w:hint="eastAsia" w:ascii="仿宋_GB2312" w:hAnsi="仿宋_GB2312" w:eastAsia="仿宋_GB2312" w:cs="仿宋_GB2312"/>
          <w:b/>
          <w:bCs/>
          <w:sz w:val="32"/>
          <w:szCs w:val="32"/>
          <w:u w:val="none"/>
        </w:rPr>
      </w:pPr>
      <w:r>
        <w:rPr>
          <w:rFonts w:hint="eastAsia" w:ascii="仿宋_GB2312" w:hAnsi="仿宋_GB2312" w:eastAsia="仿宋_GB2312" w:cs="仿宋_GB2312"/>
          <w:b/>
          <w:bCs/>
          <w:sz w:val="32"/>
          <w:szCs w:val="32"/>
          <w:u w:val="none"/>
        </w:rPr>
        <w:t>二、2025年“三公”经费预算情况说明</w:t>
      </w:r>
    </w:p>
    <w:p w14:paraId="2F0DE2CC">
      <w:pPr>
        <w:spacing w:line="600" w:lineRule="exact"/>
        <w:ind w:firstLine="640" w:firstLineChars="200"/>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2025年本部门“三公”经费一般公共预算安排27.38万元。其中：</w:t>
      </w:r>
    </w:p>
    <w:p w14:paraId="67E0D4D9">
      <w:pPr>
        <w:spacing w:line="600" w:lineRule="exact"/>
        <w:ind w:firstLine="640" w:firstLineChars="200"/>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因公出国（境）费0万元，比上年增（减）0万元，主要原因是：无相关业务，不安排相关资金。</w:t>
      </w:r>
    </w:p>
    <w:p w14:paraId="64CE9B41">
      <w:pPr>
        <w:spacing w:line="600" w:lineRule="exact"/>
        <w:ind w:firstLine="640" w:firstLineChars="200"/>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公务接待费27.38万元，比上年减1.5万元，主要原因是：严控接待支出。</w:t>
      </w:r>
    </w:p>
    <w:p w14:paraId="7B3F84A6">
      <w:pPr>
        <w:spacing w:line="600" w:lineRule="exact"/>
        <w:ind w:firstLine="640" w:firstLineChars="200"/>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公务用车运行维护费0万元，比上年增（减）0万元，主要原因是：无相关业务，不安排相关资金。</w:t>
      </w:r>
    </w:p>
    <w:p w14:paraId="2AD01CC3">
      <w:pPr>
        <w:spacing w:line="600" w:lineRule="exact"/>
        <w:ind w:firstLine="640" w:firstLineChars="200"/>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公务用车购置费0万元，比上年增（减）0万元，主要原因是：无相关业务，不安排相关资金。</w:t>
      </w:r>
    </w:p>
    <w:p w14:paraId="02C1E9DC">
      <w:pPr>
        <w:spacing w:line="600" w:lineRule="exact"/>
        <w:jc w:val="center"/>
        <w:rPr>
          <w:rFonts w:hint="eastAsia" w:ascii="仿宋_GB2312" w:hAnsi="仿宋_GB2312" w:eastAsia="仿宋_GB2312" w:cs="仿宋_GB2312"/>
          <w:sz w:val="32"/>
          <w:szCs w:val="32"/>
          <w:u w:val="none"/>
        </w:rPr>
      </w:pPr>
    </w:p>
    <w:p w14:paraId="0487309E">
      <w:pPr>
        <w:spacing w:line="600" w:lineRule="exact"/>
        <w:jc w:val="center"/>
        <w:rPr>
          <w:rFonts w:hint="eastAsia" w:ascii="仿宋_GB2312" w:hAnsi="仿宋_GB2312" w:eastAsia="仿宋_GB2312" w:cs="仿宋_GB2312"/>
          <w:sz w:val="32"/>
          <w:szCs w:val="32"/>
          <w:u w:val="none"/>
        </w:rPr>
      </w:pPr>
    </w:p>
    <w:p w14:paraId="491A69A6">
      <w:pPr>
        <w:spacing w:line="600" w:lineRule="exact"/>
        <w:jc w:val="center"/>
        <w:rPr>
          <w:rFonts w:ascii="黑体" w:hAnsi="黑体" w:eastAsia="黑体" w:cs="黑体"/>
          <w:sz w:val="32"/>
          <w:szCs w:val="32"/>
          <w:u w:val="none"/>
        </w:rPr>
      </w:pPr>
      <w:r>
        <w:rPr>
          <w:rFonts w:hint="eastAsia" w:ascii="黑体" w:hAnsi="黑体" w:eastAsia="黑体" w:cs="黑体"/>
          <w:sz w:val="32"/>
          <w:szCs w:val="32"/>
          <w:u w:val="none"/>
        </w:rPr>
        <w:t>第三部分2025年部门（单位）预算表</w:t>
      </w:r>
    </w:p>
    <w:p w14:paraId="57A867C4">
      <w:pPr>
        <w:pStyle w:val="2"/>
        <w:spacing w:line="600" w:lineRule="exact"/>
        <w:jc w:val="center"/>
        <w:rPr>
          <w:rFonts w:eastAsia="仿宋"/>
          <w:u w:val="none"/>
        </w:rPr>
      </w:pPr>
      <w:r>
        <w:rPr>
          <w:rFonts w:hint="eastAsia" w:eastAsia="仿宋"/>
          <w:u w:val="none"/>
        </w:rPr>
        <w:t>（详见附表）</w:t>
      </w:r>
    </w:p>
    <w:p w14:paraId="3F1969B1">
      <w:pPr>
        <w:pStyle w:val="2"/>
        <w:spacing w:line="600" w:lineRule="exact"/>
        <w:jc w:val="center"/>
        <w:rPr>
          <w:rFonts w:eastAsia="仿宋"/>
          <w:u w:val="none"/>
        </w:rPr>
      </w:pPr>
    </w:p>
    <w:p w14:paraId="5B1DA8FB">
      <w:pPr>
        <w:spacing w:line="600" w:lineRule="exact"/>
        <w:rPr>
          <w:rFonts w:ascii="仿宋" w:hAnsi="仿宋" w:eastAsia="仿宋" w:cs="仿宋"/>
          <w:sz w:val="32"/>
          <w:szCs w:val="32"/>
          <w:u w:val="none"/>
        </w:rPr>
      </w:pPr>
    </w:p>
    <w:p w14:paraId="13FB0726">
      <w:pPr>
        <w:pStyle w:val="2"/>
        <w:spacing w:line="600" w:lineRule="exact"/>
        <w:rPr>
          <w:u w:val="none"/>
        </w:rPr>
      </w:pPr>
    </w:p>
    <w:p w14:paraId="7893A99B">
      <w:pPr>
        <w:spacing w:line="600" w:lineRule="exact"/>
        <w:jc w:val="center"/>
        <w:rPr>
          <w:rFonts w:ascii="黑体" w:hAnsi="黑体" w:eastAsia="黑体" w:cs="黑体"/>
          <w:sz w:val="32"/>
          <w:szCs w:val="32"/>
          <w:u w:val="none"/>
        </w:rPr>
      </w:pPr>
      <w:r>
        <w:rPr>
          <w:rFonts w:hint="eastAsia" w:ascii="黑体" w:hAnsi="黑体" w:eastAsia="黑体" w:cs="黑体"/>
          <w:sz w:val="32"/>
          <w:szCs w:val="32"/>
          <w:u w:val="none"/>
        </w:rPr>
        <w:t>第四部分名词解释</w:t>
      </w:r>
    </w:p>
    <w:p w14:paraId="6FC40479">
      <w:pPr>
        <w:spacing w:line="600" w:lineRule="exact"/>
        <w:ind w:firstLine="604" w:firstLineChars="189"/>
        <w:jc w:val="center"/>
        <w:rPr>
          <w:rFonts w:ascii="仿宋" w:hAnsi="仿宋" w:eastAsia="仿宋" w:cs="仿宋"/>
          <w:sz w:val="32"/>
          <w:szCs w:val="32"/>
          <w:u w:val="none"/>
        </w:rPr>
      </w:pPr>
    </w:p>
    <w:p w14:paraId="2E8DBC1C">
      <w:pPr>
        <w:spacing w:line="600" w:lineRule="exact"/>
        <w:ind w:firstLine="643" w:firstLineChars="200"/>
        <w:rPr>
          <w:rFonts w:ascii="楷体" w:hAnsi="楷体" w:eastAsia="楷体" w:cs="楷体"/>
          <w:b/>
          <w:bCs/>
          <w:sz w:val="32"/>
          <w:szCs w:val="32"/>
          <w:u w:val="none"/>
        </w:rPr>
      </w:pPr>
      <w:r>
        <w:rPr>
          <w:rFonts w:hint="eastAsia" w:ascii="楷体" w:hAnsi="楷体" w:eastAsia="楷体" w:cs="楷体"/>
          <w:b/>
          <w:bCs/>
          <w:sz w:val="32"/>
          <w:szCs w:val="32"/>
          <w:u w:val="none"/>
        </w:rPr>
        <w:t>一、收入科目</w:t>
      </w:r>
    </w:p>
    <w:p w14:paraId="4CCA7FF7">
      <w:pPr>
        <w:spacing w:line="600" w:lineRule="exact"/>
        <w:ind w:firstLine="640" w:firstLineChars="200"/>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各部门结合实际进行解释。</w:t>
      </w:r>
    </w:p>
    <w:p w14:paraId="0345F8AE">
      <w:pPr>
        <w:spacing w:line="600" w:lineRule="exact"/>
        <w:ind w:firstLine="640" w:firstLineChars="200"/>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（一）财政拨款：指县本级财政当年拨付的资金。</w:t>
      </w:r>
    </w:p>
    <w:p w14:paraId="18DC5FA3">
      <w:pPr>
        <w:spacing w:line="600" w:lineRule="exact"/>
        <w:ind w:firstLine="640" w:firstLineChars="200"/>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（二）事业收入：指事业单位开展专业业务活动及辅助活动取得的收入。</w:t>
      </w:r>
    </w:p>
    <w:p w14:paraId="33C3CCD2">
      <w:pPr>
        <w:spacing w:line="600" w:lineRule="exact"/>
        <w:ind w:firstLine="640" w:firstLineChars="200"/>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（三）事业单位经营收入：指事业单位在专业业务活动及辅助活动之外开展非独立核算经营活动取得的收入。</w:t>
      </w:r>
    </w:p>
    <w:p w14:paraId="39B4697D">
      <w:pPr>
        <w:spacing w:line="600" w:lineRule="exact"/>
        <w:ind w:firstLine="640" w:firstLineChars="200"/>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（四）其他收入：指除财政拨款、事业收入、事业单位经营收入等以外的各项收入。</w:t>
      </w:r>
    </w:p>
    <w:p w14:paraId="424267B3">
      <w:pPr>
        <w:spacing w:line="600" w:lineRule="exact"/>
        <w:ind w:firstLine="640" w:firstLineChars="200"/>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（五）附属单位上缴收入：反映事业单位附属的独立核算单位按规定标准或比例缴纳的各项收入。包括附属的事业单位上缴的收入和附属的企业上缴的利润等。</w:t>
      </w:r>
    </w:p>
    <w:p w14:paraId="3B47E65C">
      <w:pPr>
        <w:spacing w:line="600" w:lineRule="exact"/>
        <w:ind w:firstLine="640" w:firstLineChars="200"/>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（六）上级补助收入：反映事业单位从主管部门和上级单位取得的非财政补助收入。</w:t>
      </w:r>
    </w:p>
    <w:p w14:paraId="3D37884F">
      <w:pPr>
        <w:spacing w:line="600" w:lineRule="exact"/>
        <w:ind w:firstLine="640" w:firstLineChars="200"/>
        <w:jc w:val="left"/>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（七）使用非财政拨款结余：填列历年滚存的非限定用途的非统计财政拨款结余弥补2025年收支差额的数额。</w:t>
      </w:r>
    </w:p>
    <w:p w14:paraId="044A12CE">
      <w:pPr>
        <w:spacing w:line="600" w:lineRule="exact"/>
        <w:ind w:firstLine="640" w:firstLineChars="200"/>
        <w:jc w:val="left"/>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（八）上年结转和结余：填列2023年全部结转和结余的资金数，包括当年结转结余资金和历年滚存结转结余资金。</w:t>
      </w:r>
    </w:p>
    <w:p w14:paraId="2E12C423">
      <w:pPr>
        <w:spacing w:line="600" w:lineRule="exact"/>
        <w:ind w:firstLine="607" w:firstLineChars="189"/>
        <w:rPr>
          <w:rFonts w:hint="eastAsia" w:ascii="仿宋_GB2312" w:hAnsi="仿宋_GB2312" w:eastAsia="仿宋_GB2312" w:cs="仿宋_GB2312"/>
          <w:b/>
          <w:bCs/>
          <w:sz w:val="32"/>
          <w:szCs w:val="32"/>
          <w:u w:val="none"/>
        </w:rPr>
      </w:pPr>
      <w:r>
        <w:rPr>
          <w:rFonts w:hint="eastAsia" w:ascii="仿宋_GB2312" w:hAnsi="仿宋_GB2312" w:eastAsia="仿宋_GB2312" w:cs="仿宋_GB2312"/>
          <w:b/>
          <w:bCs/>
          <w:sz w:val="32"/>
          <w:szCs w:val="32"/>
          <w:u w:val="none"/>
        </w:rPr>
        <w:t>二、支出科目</w:t>
      </w:r>
    </w:p>
    <w:p w14:paraId="1099CB5A">
      <w:pPr>
        <w:spacing w:line="600" w:lineRule="exact"/>
        <w:ind w:firstLine="640" w:firstLineChars="200"/>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对部门或单位预算中涉及的支出功能分类科目（明细到项级），结合部门实际，参照《2025年政府收支分类科目》的规范说明行解释。</w:t>
      </w:r>
    </w:p>
    <w:p w14:paraId="4028C19F">
      <w:pPr>
        <w:spacing w:line="600" w:lineRule="exact"/>
        <w:ind w:firstLine="640" w:firstLineChars="200"/>
        <w:jc w:val="left"/>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（一）行政运行：反映行政单位（事业单位）的基本支出。</w:t>
      </w:r>
    </w:p>
    <w:p w14:paraId="3A52C1F8">
      <w:pPr>
        <w:spacing w:line="600" w:lineRule="exact"/>
        <w:ind w:firstLine="640" w:firstLineChars="200"/>
        <w:jc w:val="left"/>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（二）一般行政管理事务：反映行政单位（包括事业单位）未单独设置项级科目的其他项目支出。</w:t>
      </w:r>
    </w:p>
    <w:p w14:paraId="35EBCFD6">
      <w:pPr>
        <w:spacing w:line="600" w:lineRule="exact"/>
        <w:ind w:firstLine="640" w:firstLineChars="200"/>
        <w:jc w:val="left"/>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（三）机关事业单位基本养老保险缴费支出：反映机关事业单位实施养老保险制度由单位缴纳的基本养老保险费的支出。</w:t>
      </w:r>
    </w:p>
    <w:p w14:paraId="6FEA5B76">
      <w:pPr>
        <w:spacing w:line="600" w:lineRule="exact"/>
        <w:ind w:firstLine="681" w:firstLineChars="213"/>
        <w:jc w:val="left"/>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（四）行政单位医疗：反映行政事业单位基本医疗保险缴费经费。</w:t>
      </w:r>
    </w:p>
    <w:p w14:paraId="18238CF7">
      <w:pPr>
        <w:spacing w:line="600" w:lineRule="exact"/>
        <w:ind w:firstLine="681" w:firstLineChars="213"/>
        <w:jc w:val="left"/>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（五）事业单位医疗：反映财政部门集中安排的事业单位基本医疗保险缴费经费。</w:t>
      </w:r>
    </w:p>
    <w:p w14:paraId="01B424DA">
      <w:pPr>
        <w:spacing w:line="600" w:lineRule="exact"/>
        <w:ind w:firstLine="640" w:firstLineChars="200"/>
        <w:rPr>
          <w:rFonts w:hint="eastAsia" w:ascii="仿宋_GB2312" w:hAnsi="仿宋_GB2312" w:eastAsia="仿宋_GB2312" w:cs="仿宋_GB2312"/>
          <w:b/>
          <w:bCs/>
          <w:color w:val="000000" w:themeColor="text1"/>
          <w:sz w:val="32"/>
          <w:szCs w:val="32"/>
          <w:u w:val="none"/>
        </w:rPr>
      </w:pPr>
      <w:r>
        <w:rPr>
          <w:rFonts w:hint="eastAsia" w:ascii="仿宋_GB2312" w:hAnsi="仿宋_GB2312" w:eastAsia="仿宋_GB2312" w:cs="仿宋_GB2312"/>
          <w:sz w:val="32"/>
          <w:szCs w:val="32"/>
          <w:u w:val="none"/>
        </w:rPr>
        <w:t>（六）死亡抚恤：反映单位遗属人员生活补助。</w:t>
      </w:r>
    </w:p>
    <w:p w14:paraId="134385E5">
      <w:pPr>
        <w:spacing w:line="600" w:lineRule="exact"/>
        <w:ind w:firstLine="607" w:firstLineChars="189"/>
        <w:rPr>
          <w:rFonts w:hint="eastAsia" w:ascii="仿宋_GB2312" w:hAnsi="仿宋_GB2312" w:eastAsia="仿宋_GB2312" w:cs="仿宋_GB2312"/>
          <w:b/>
          <w:bCs/>
          <w:sz w:val="32"/>
          <w:szCs w:val="32"/>
          <w:u w:val="none"/>
        </w:rPr>
      </w:pPr>
      <w:r>
        <w:rPr>
          <w:rFonts w:hint="eastAsia" w:ascii="仿宋_GB2312" w:hAnsi="仿宋_GB2312" w:eastAsia="仿宋_GB2312" w:cs="仿宋_GB2312"/>
          <w:b/>
          <w:bCs/>
          <w:sz w:val="32"/>
          <w:szCs w:val="32"/>
          <w:u w:val="none"/>
        </w:rPr>
        <w:t>三、相关专业名词</w:t>
      </w:r>
    </w:p>
    <w:p w14:paraId="685768EF">
      <w:pPr>
        <w:spacing w:line="600" w:lineRule="exact"/>
        <w:ind w:firstLine="640" w:firstLineChars="200"/>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各部门结合实际进行解释。</w:t>
      </w:r>
    </w:p>
    <w:p w14:paraId="01C8CAAC">
      <w:pPr>
        <w:spacing w:line="600" w:lineRule="exact"/>
        <w:ind w:firstLine="640" w:firstLineChars="200"/>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一）机关运行费：指用财政拨款安排的为保障行政单位（含参照公务员法管理的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14:paraId="6CB6D5BE">
      <w:pPr>
        <w:spacing w:line="600" w:lineRule="exact"/>
        <w:ind w:firstLine="640" w:firstLineChars="200"/>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二）“三公”经费：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维修费、过桥过路费、保险费、安全奖励费用等支出；公务接待费反映单位按规定开支的各类公务接待(含外宾接待)支出。</w:t>
      </w:r>
    </w:p>
    <w:p w14:paraId="5450CFF1">
      <w:pPr>
        <w:spacing w:line="600" w:lineRule="exact"/>
        <w:ind w:firstLine="640" w:firstLineChars="200"/>
        <w:rPr>
          <w:rFonts w:hint="eastAsia" w:ascii="仿宋_GB2312" w:hAnsi="仿宋_GB2312" w:eastAsia="仿宋_GB2312" w:cs="仿宋_GB2312"/>
          <w:sz w:val="32"/>
          <w:szCs w:val="32"/>
          <w:u w:val="none"/>
        </w:rPr>
      </w:pPr>
    </w:p>
    <w:sectPr>
      <w:footerReference r:id="rId5" w:type="default"/>
      <w:pgSz w:w="11906" w:h="16838"/>
      <w:pgMar w:top="1587" w:right="1587" w:bottom="1587" w:left="1587" w:header="851" w:footer="992" w:gutter="0"/>
      <w:cols w:space="0" w:num="1"/>
      <w:docGrid w:type="lines" w:linePitch="32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Wingdings 2"/>
    <w:panose1 w:val="05050102010706020507"/>
    <w:charset w:val="02"/>
    <w:family w:val="roman"/>
    <w:pitch w:val="default"/>
    <w:sig w:usb0="00000000" w:usb1="00000000" w:usb2="00000000" w:usb3="00000000" w:csb0="80000000" w:csb1="00000000"/>
  </w:font>
  <w:font w:name="Calibri">
    <w:altName w:val="Times New Roman"/>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DejaVu Sans">
    <w:panose1 w:val="020B0603030804020204"/>
    <w:charset w:val="00"/>
    <w:family w:val="auto"/>
    <w:pitch w:val="default"/>
    <w:sig w:usb0="E7006EFF" w:usb1="D200FDFF" w:usb2="0A246029" w:usb3="0400200C" w:csb0="600001FF" w:csb1="DFFF0000"/>
  </w:font>
  <w:font w:name="Wingdings 2">
    <w:panose1 w:val="05020102010507070707"/>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14BB91">
    <w:pPr>
      <w:pStyle w:val="3"/>
    </w:pPr>
    <w:r>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BrF8jICAABjBAAADgAAAAAAAAABACAAAAAfAQAAZHJzL2Uyb0RvYy54bWxQSwUG&#10;AAAAAAYABgBZAQAAwwUAAAAA&#10;">
          <v:path/>
          <v:fill on="f" focussize="0,0"/>
          <v:stroke on="f" weight="0.5pt" joinstyle="miter"/>
          <v:imagedata o:title=""/>
          <o:lock v:ext="edit"/>
          <v:textbox inset="0mm,0mm,0mm,0mm" style="mso-fit-shape-to-text:t;">
            <w:txbxContent>
              <w:p w14:paraId="169B6672">
                <w:pPr>
                  <w:pStyle w:val="3"/>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6</w:t>
                </w:r>
                <w:r>
                  <w:rPr>
                    <w:rFonts w:hint="eastAsia" w:asciiTheme="minorEastAsia" w:hAnsiTheme="minorEastAsia" w:eastAsiaTheme="minorEastAsia" w:cstheme="minorEastAsia"/>
                    <w:sz w:val="28"/>
                    <w:szCs w:val="28"/>
                  </w:rPr>
                  <w:fldChar w:fldCharType="end"/>
                </w:r>
              </w:p>
            </w:txbxContent>
          </v:textbox>
        </v:shape>
      </w:pict>
    </w:r>
    <w:r>
      <w:pict>
        <v:shape id="文本框 1025" o:spid="_x0000_s1027"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DOqXm5zwAAAAUBAAAPAAAAAAAAAAEAIAAAACIAAABkcnMvZG93&#10;bnJldi54bWxQSwECFAAUAAAACACHTuJAeN1sfdABAACnAwAADgAAAAAAAAABACAAAAAeAQAAZHJz&#10;L2Uyb0RvYy54bWxQSwUGAAAAAAYABgBZAQAAYAUAAAAA&#10;">
          <v:path/>
          <v:fill on="f" focussize="0,0"/>
          <v:stroke on="f" joinstyle="miter"/>
          <v:imagedata o:title=""/>
          <o:lock v:ext="edit"/>
          <v:textbox inset="0mm,0mm,0mm,0mm" style="mso-fit-shape-to-text:t;">
            <w:txbxContent>
              <w:p w14:paraId="116CFB22">
                <w:pPr>
                  <w:pStyle w:val="3"/>
                </w:pP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8" w:lineRule="auto"/>
      </w:pPr>
      <w:r>
        <w:separator/>
      </w:r>
    </w:p>
  </w:footnote>
  <w:footnote w:type="continuationSeparator" w:id="1">
    <w:p>
      <w:pPr>
        <w:spacing w:before="0" w:after="0" w:line="278"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6095FC0"/>
    <w:multiLevelType w:val="singleLevel"/>
    <w:tmpl w:val="36095FC0"/>
    <w:lvl w:ilvl="0" w:tentative="0">
      <w:start w:val="5"/>
      <w:numFmt w:val="chineseCounting"/>
      <w:suff w:val="nothing"/>
      <w:lvlText w:val="（%1）"/>
      <w:lvlJc w:val="left"/>
      <w:rPr>
        <w:rFonts w:hint="eastAsia"/>
      </w:rPr>
    </w:lvl>
  </w:abstractNum>
  <w:abstractNum w:abstractNumId="1">
    <w:nsid w:val="79A49182"/>
    <w:multiLevelType w:val="singleLevel"/>
    <w:tmpl w:val="79A49182"/>
    <w:lvl w:ilvl="0" w:tentative="0">
      <w:start w:val="9"/>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3"/>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mUxM2RmNGFhYmMzMGE2NTQ3MWFlYjQzZmZlMTkyZjkifQ=="/>
  </w:docVars>
  <w:rsids>
    <w:rsidRoot w:val="445E02C8"/>
    <w:rsid w:val="000332EB"/>
    <w:rsid w:val="00051A02"/>
    <w:rsid w:val="00075AF9"/>
    <w:rsid w:val="000B2094"/>
    <w:rsid w:val="000D5E21"/>
    <w:rsid w:val="000F59AA"/>
    <w:rsid w:val="00107CF4"/>
    <w:rsid w:val="001275B7"/>
    <w:rsid w:val="0013198F"/>
    <w:rsid w:val="00145904"/>
    <w:rsid w:val="00166874"/>
    <w:rsid w:val="001A39E0"/>
    <w:rsid w:val="001E349C"/>
    <w:rsid w:val="002C2922"/>
    <w:rsid w:val="002D0BFA"/>
    <w:rsid w:val="00345EC3"/>
    <w:rsid w:val="00360A09"/>
    <w:rsid w:val="003738A3"/>
    <w:rsid w:val="003931D8"/>
    <w:rsid w:val="00467393"/>
    <w:rsid w:val="004762AA"/>
    <w:rsid w:val="00485708"/>
    <w:rsid w:val="00492556"/>
    <w:rsid w:val="004B5F6F"/>
    <w:rsid w:val="005C15F6"/>
    <w:rsid w:val="006578A4"/>
    <w:rsid w:val="006742C2"/>
    <w:rsid w:val="006C37BA"/>
    <w:rsid w:val="0071447F"/>
    <w:rsid w:val="00717715"/>
    <w:rsid w:val="007359CF"/>
    <w:rsid w:val="00777832"/>
    <w:rsid w:val="00793016"/>
    <w:rsid w:val="007F6D11"/>
    <w:rsid w:val="00835C0E"/>
    <w:rsid w:val="008B71C8"/>
    <w:rsid w:val="008C03C7"/>
    <w:rsid w:val="008F57C4"/>
    <w:rsid w:val="009078D4"/>
    <w:rsid w:val="00910493"/>
    <w:rsid w:val="00950F10"/>
    <w:rsid w:val="0096179A"/>
    <w:rsid w:val="00964ED9"/>
    <w:rsid w:val="00966D51"/>
    <w:rsid w:val="009A2141"/>
    <w:rsid w:val="009A4312"/>
    <w:rsid w:val="009B6E22"/>
    <w:rsid w:val="009C6C49"/>
    <w:rsid w:val="009C7F92"/>
    <w:rsid w:val="009D05E5"/>
    <w:rsid w:val="009F48F4"/>
    <w:rsid w:val="009F4D9D"/>
    <w:rsid w:val="00A224B2"/>
    <w:rsid w:val="00A54787"/>
    <w:rsid w:val="00B104C1"/>
    <w:rsid w:val="00B3445C"/>
    <w:rsid w:val="00B868E5"/>
    <w:rsid w:val="00BE5062"/>
    <w:rsid w:val="00C92CFA"/>
    <w:rsid w:val="00C968FC"/>
    <w:rsid w:val="00CC46A8"/>
    <w:rsid w:val="00CD78C5"/>
    <w:rsid w:val="00D10BBF"/>
    <w:rsid w:val="00D12D67"/>
    <w:rsid w:val="00DC5E38"/>
    <w:rsid w:val="00DF5B7D"/>
    <w:rsid w:val="00E4470F"/>
    <w:rsid w:val="00E5509D"/>
    <w:rsid w:val="00EE4573"/>
    <w:rsid w:val="00F022A0"/>
    <w:rsid w:val="00FC2CEA"/>
    <w:rsid w:val="01966305"/>
    <w:rsid w:val="01AC44A8"/>
    <w:rsid w:val="02044904"/>
    <w:rsid w:val="0249370E"/>
    <w:rsid w:val="029C1412"/>
    <w:rsid w:val="02D4328D"/>
    <w:rsid w:val="02DE02B4"/>
    <w:rsid w:val="0306446A"/>
    <w:rsid w:val="036A79E4"/>
    <w:rsid w:val="03A76D38"/>
    <w:rsid w:val="045A5FF1"/>
    <w:rsid w:val="049B2EDD"/>
    <w:rsid w:val="04BE37F2"/>
    <w:rsid w:val="04EE7A30"/>
    <w:rsid w:val="05331B0F"/>
    <w:rsid w:val="053A1B98"/>
    <w:rsid w:val="05F53986"/>
    <w:rsid w:val="05F63270"/>
    <w:rsid w:val="05FD6618"/>
    <w:rsid w:val="06241147"/>
    <w:rsid w:val="067B5413"/>
    <w:rsid w:val="06900E78"/>
    <w:rsid w:val="06A76233"/>
    <w:rsid w:val="06AE7774"/>
    <w:rsid w:val="06E02CDB"/>
    <w:rsid w:val="06E0719A"/>
    <w:rsid w:val="08142F09"/>
    <w:rsid w:val="082D2866"/>
    <w:rsid w:val="085634D1"/>
    <w:rsid w:val="08B24FFA"/>
    <w:rsid w:val="09CA3333"/>
    <w:rsid w:val="09E85DB7"/>
    <w:rsid w:val="0B522021"/>
    <w:rsid w:val="0B680E75"/>
    <w:rsid w:val="0B8752E6"/>
    <w:rsid w:val="0C28695E"/>
    <w:rsid w:val="0CA80D47"/>
    <w:rsid w:val="0CDA0CFC"/>
    <w:rsid w:val="0DFB3D39"/>
    <w:rsid w:val="0E0C0ED5"/>
    <w:rsid w:val="0EA7766B"/>
    <w:rsid w:val="0EA821C2"/>
    <w:rsid w:val="0F26051E"/>
    <w:rsid w:val="0F2B00AD"/>
    <w:rsid w:val="0F371D51"/>
    <w:rsid w:val="0FBD4466"/>
    <w:rsid w:val="1086417F"/>
    <w:rsid w:val="10AD23F8"/>
    <w:rsid w:val="110A12F2"/>
    <w:rsid w:val="110A64AE"/>
    <w:rsid w:val="110F00FE"/>
    <w:rsid w:val="115D09A3"/>
    <w:rsid w:val="11842C5F"/>
    <w:rsid w:val="11DD4607"/>
    <w:rsid w:val="120432CE"/>
    <w:rsid w:val="1247283B"/>
    <w:rsid w:val="12851569"/>
    <w:rsid w:val="131B65C3"/>
    <w:rsid w:val="133E2072"/>
    <w:rsid w:val="134040FB"/>
    <w:rsid w:val="13875155"/>
    <w:rsid w:val="13AF751C"/>
    <w:rsid w:val="146305CC"/>
    <w:rsid w:val="149D3304"/>
    <w:rsid w:val="14FB2E02"/>
    <w:rsid w:val="14FE56EE"/>
    <w:rsid w:val="150775E9"/>
    <w:rsid w:val="159B1738"/>
    <w:rsid w:val="15D239E6"/>
    <w:rsid w:val="16846FD4"/>
    <w:rsid w:val="16857719"/>
    <w:rsid w:val="16AA4364"/>
    <w:rsid w:val="1711132B"/>
    <w:rsid w:val="171E1BB8"/>
    <w:rsid w:val="17ED74BC"/>
    <w:rsid w:val="17F060E9"/>
    <w:rsid w:val="187E6C86"/>
    <w:rsid w:val="192D2166"/>
    <w:rsid w:val="1946282D"/>
    <w:rsid w:val="1946526B"/>
    <w:rsid w:val="195D3455"/>
    <w:rsid w:val="19601EB7"/>
    <w:rsid w:val="19CF11C0"/>
    <w:rsid w:val="1A1B1F43"/>
    <w:rsid w:val="1A6A259D"/>
    <w:rsid w:val="1AC0724F"/>
    <w:rsid w:val="1B395124"/>
    <w:rsid w:val="1BAB06D5"/>
    <w:rsid w:val="1BF624B4"/>
    <w:rsid w:val="1C215462"/>
    <w:rsid w:val="1C2E1720"/>
    <w:rsid w:val="1C33298F"/>
    <w:rsid w:val="1CC32BBB"/>
    <w:rsid w:val="1D42299E"/>
    <w:rsid w:val="1DBC23B6"/>
    <w:rsid w:val="1DE32862"/>
    <w:rsid w:val="1E3E2B40"/>
    <w:rsid w:val="1EA8395A"/>
    <w:rsid w:val="1F226863"/>
    <w:rsid w:val="1FB478AC"/>
    <w:rsid w:val="1FEA015B"/>
    <w:rsid w:val="20257F35"/>
    <w:rsid w:val="20574553"/>
    <w:rsid w:val="205D3E91"/>
    <w:rsid w:val="207531C1"/>
    <w:rsid w:val="208C1E7D"/>
    <w:rsid w:val="20B841DB"/>
    <w:rsid w:val="20DD3524"/>
    <w:rsid w:val="20EB4ECB"/>
    <w:rsid w:val="21E85FCA"/>
    <w:rsid w:val="22DA19B4"/>
    <w:rsid w:val="22F87204"/>
    <w:rsid w:val="238C4E71"/>
    <w:rsid w:val="238C5DE6"/>
    <w:rsid w:val="23A04632"/>
    <w:rsid w:val="23B94E52"/>
    <w:rsid w:val="248E762B"/>
    <w:rsid w:val="249F7525"/>
    <w:rsid w:val="25016808"/>
    <w:rsid w:val="25264F0C"/>
    <w:rsid w:val="25FC157E"/>
    <w:rsid w:val="26047367"/>
    <w:rsid w:val="26487D75"/>
    <w:rsid w:val="26906C19"/>
    <w:rsid w:val="269F4AAC"/>
    <w:rsid w:val="26A17A33"/>
    <w:rsid w:val="26AA48C2"/>
    <w:rsid w:val="273E3838"/>
    <w:rsid w:val="277817D7"/>
    <w:rsid w:val="281C6CE0"/>
    <w:rsid w:val="28F14BCD"/>
    <w:rsid w:val="2A217DB8"/>
    <w:rsid w:val="2ABE2954"/>
    <w:rsid w:val="2B1D3225"/>
    <w:rsid w:val="2B257D06"/>
    <w:rsid w:val="2B850660"/>
    <w:rsid w:val="2B9A7B84"/>
    <w:rsid w:val="2BA73B04"/>
    <w:rsid w:val="2C8E5424"/>
    <w:rsid w:val="2C95120B"/>
    <w:rsid w:val="2CAD6894"/>
    <w:rsid w:val="2D0B21FB"/>
    <w:rsid w:val="2D1B30CD"/>
    <w:rsid w:val="2D442F0C"/>
    <w:rsid w:val="2DC20550"/>
    <w:rsid w:val="2DCE67BE"/>
    <w:rsid w:val="2DE61B7E"/>
    <w:rsid w:val="2E50674B"/>
    <w:rsid w:val="2E7C1021"/>
    <w:rsid w:val="2EAA45AD"/>
    <w:rsid w:val="2EEA756D"/>
    <w:rsid w:val="2F4E6013"/>
    <w:rsid w:val="2F56509F"/>
    <w:rsid w:val="2F5876FF"/>
    <w:rsid w:val="2F671EE7"/>
    <w:rsid w:val="2F7C0FE2"/>
    <w:rsid w:val="2F987688"/>
    <w:rsid w:val="2FD4475E"/>
    <w:rsid w:val="304B498A"/>
    <w:rsid w:val="30531E6C"/>
    <w:rsid w:val="305A751D"/>
    <w:rsid w:val="306051A7"/>
    <w:rsid w:val="30865918"/>
    <w:rsid w:val="30EF5591"/>
    <w:rsid w:val="31024210"/>
    <w:rsid w:val="31467FDA"/>
    <w:rsid w:val="31634718"/>
    <w:rsid w:val="319B12B8"/>
    <w:rsid w:val="31C77277"/>
    <w:rsid w:val="323D364A"/>
    <w:rsid w:val="325778CF"/>
    <w:rsid w:val="326D79FF"/>
    <w:rsid w:val="326F585D"/>
    <w:rsid w:val="32990C1B"/>
    <w:rsid w:val="32E94932"/>
    <w:rsid w:val="32ED3344"/>
    <w:rsid w:val="33497AAA"/>
    <w:rsid w:val="33717C56"/>
    <w:rsid w:val="33E82635"/>
    <w:rsid w:val="343473A4"/>
    <w:rsid w:val="349D271D"/>
    <w:rsid w:val="34DB5800"/>
    <w:rsid w:val="34F31DD6"/>
    <w:rsid w:val="351D44C5"/>
    <w:rsid w:val="35265E19"/>
    <w:rsid w:val="352A6ADB"/>
    <w:rsid w:val="35440FE0"/>
    <w:rsid w:val="354B6C35"/>
    <w:rsid w:val="35EE410D"/>
    <w:rsid w:val="360526AC"/>
    <w:rsid w:val="363E6CD9"/>
    <w:rsid w:val="3653256C"/>
    <w:rsid w:val="36DB742C"/>
    <w:rsid w:val="37567433"/>
    <w:rsid w:val="379E77EB"/>
    <w:rsid w:val="37B35F31"/>
    <w:rsid w:val="37D624D1"/>
    <w:rsid w:val="37EE582C"/>
    <w:rsid w:val="381F576C"/>
    <w:rsid w:val="38295DF1"/>
    <w:rsid w:val="38AE3672"/>
    <w:rsid w:val="38D70A03"/>
    <w:rsid w:val="38DD5FD9"/>
    <w:rsid w:val="390F0F46"/>
    <w:rsid w:val="39864708"/>
    <w:rsid w:val="3A4013F4"/>
    <w:rsid w:val="3B033A50"/>
    <w:rsid w:val="3B3B627A"/>
    <w:rsid w:val="3B6A1A55"/>
    <w:rsid w:val="3B87704A"/>
    <w:rsid w:val="3BC02307"/>
    <w:rsid w:val="3C215F09"/>
    <w:rsid w:val="3C7324DC"/>
    <w:rsid w:val="3D1E43A5"/>
    <w:rsid w:val="3D2B59E9"/>
    <w:rsid w:val="3D973A0D"/>
    <w:rsid w:val="3E1817B3"/>
    <w:rsid w:val="3EFF4F37"/>
    <w:rsid w:val="3F054CD9"/>
    <w:rsid w:val="3F21083F"/>
    <w:rsid w:val="3F38471C"/>
    <w:rsid w:val="3F5F2902"/>
    <w:rsid w:val="3FEB4740"/>
    <w:rsid w:val="3FFE2FA6"/>
    <w:rsid w:val="40BA59A2"/>
    <w:rsid w:val="41BA21E5"/>
    <w:rsid w:val="41C37C7B"/>
    <w:rsid w:val="42011791"/>
    <w:rsid w:val="422D4E61"/>
    <w:rsid w:val="424543B2"/>
    <w:rsid w:val="42A93457"/>
    <w:rsid w:val="42BC45C1"/>
    <w:rsid w:val="430270CA"/>
    <w:rsid w:val="43281035"/>
    <w:rsid w:val="43470700"/>
    <w:rsid w:val="43962683"/>
    <w:rsid w:val="445E02C8"/>
    <w:rsid w:val="44A14ECC"/>
    <w:rsid w:val="45397F44"/>
    <w:rsid w:val="45555E85"/>
    <w:rsid w:val="45A45379"/>
    <w:rsid w:val="463D612C"/>
    <w:rsid w:val="469304B3"/>
    <w:rsid w:val="46C3471E"/>
    <w:rsid w:val="46FD131F"/>
    <w:rsid w:val="47826F28"/>
    <w:rsid w:val="48E85D71"/>
    <w:rsid w:val="494D7D2A"/>
    <w:rsid w:val="4A160637"/>
    <w:rsid w:val="4A2B0450"/>
    <w:rsid w:val="4A6C6DBE"/>
    <w:rsid w:val="4ABA3C3D"/>
    <w:rsid w:val="4AFC1E83"/>
    <w:rsid w:val="4CA03344"/>
    <w:rsid w:val="4CEB52F9"/>
    <w:rsid w:val="4D054CFC"/>
    <w:rsid w:val="4D05605F"/>
    <w:rsid w:val="4D3D5122"/>
    <w:rsid w:val="4E6158A2"/>
    <w:rsid w:val="4E765F18"/>
    <w:rsid w:val="4E8E4CB7"/>
    <w:rsid w:val="4ECD3F05"/>
    <w:rsid w:val="4ED86E2B"/>
    <w:rsid w:val="4F04386E"/>
    <w:rsid w:val="50290BC3"/>
    <w:rsid w:val="504E287F"/>
    <w:rsid w:val="505C1A51"/>
    <w:rsid w:val="510B533E"/>
    <w:rsid w:val="511E441C"/>
    <w:rsid w:val="51A501BC"/>
    <w:rsid w:val="51B4173E"/>
    <w:rsid w:val="522D2F1B"/>
    <w:rsid w:val="5292442D"/>
    <w:rsid w:val="52BC0E62"/>
    <w:rsid w:val="52CA5371"/>
    <w:rsid w:val="53184666"/>
    <w:rsid w:val="53C24115"/>
    <w:rsid w:val="53EA0E7E"/>
    <w:rsid w:val="54370568"/>
    <w:rsid w:val="544E0BE6"/>
    <w:rsid w:val="5539020C"/>
    <w:rsid w:val="558B21AC"/>
    <w:rsid w:val="55922960"/>
    <w:rsid w:val="56115D44"/>
    <w:rsid w:val="564B190C"/>
    <w:rsid w:val="56853244"/>
    <w:rsid w:val="56A65E27"/>
    <w:rsid w:val="57947A7F"/>
    <w:rsid w:val="57A15066"/>
    <w:rsid w:val="57F52F90"/>
    <w:rsid w:val="58701434"/>
    <w:rsid w:val="598633F7"/>
    <w:rsid w:val="59CF63C0"/>
    <w:rsid w:val="5A06456E"/>
    <w:rsid w:val="5A296BA4"/>
    <w:rsid w:val="5AAB2F38"/>
    <w:rsid w:val="5ACA5FAD"/>
    <w:rsid w:val="5ADA6855"/>
    <w:rsid w:val="5AFB4CB9"/>
    <w:rsid w:val="5B595501"/>
    <w:rsid w:val="5BEE2430"/>
    <w:rsid w:val="5BF53797"/>
    <w:rsid w:val="5C421058"/>
    <w:rsid w:val="5CA25255"/>
    <w:rsid w:val="5CA76B60"/>
    <w:rsid w:val="5D1F5095"/>
    <w:rsid w:val="5DA56BE3"/>
    <w:rsid w:val="5DD97402"/>
    <w:rsid w:val="5E6F2C53"/>
    <w:rsid w:val="5E7436E8"/>
    <w:rsid w:val="5EB670BB"/>
    <w:rsid w:val="5ECD62D5"/>
    <w:rsid w:val="5EE21126"/>
    <w:rsid w:val="5F0814D7"/>
    <w:rsid w:val="5F35547B"/>
    <w:rsid w:val="5F3A6B63"/>
    <w:rsid w:val="5F66486D"/>
    <w:rsid w:val="5FC4243C"/>
    <w:rsid w:val="60002EAC"/>
    <w:rsid w:val="60063F73"/>
    <w:rsid w:val="603C16CD"/>
    <w:rsid w:val="608718A9"/>
    <w:rsid w:val="6098706D"/>
    <w:rsid w:val="60D716CB"/>
    <w:rsid w:val="60F67755"/>
    <w:rsid w:val="612D0E25"/>
    <w:rsid w:val="61751D88"/>
    <w:rsid w:val="61933C1D"/>
    <w:rsid w:val="621C1E75"/>
    <w:rsid w:val="6229155C"/>
    <w:rsid w:val="626D28CD"/>
    <w:rsid w:val="62740BD9"/>
    <w:rsid w:val="62830A47"/>
    <w:rsid w:val="62991083"/>
    <w:rsid w:val="629C1F1F"/>
    <w:rsid w:val="63472A03"/>
    <w:rsid w:val="637A4666"/>
    <w:rsid w:val="63B212D7"/>
    <w:rsid w:val="63DA660A"/>
    <w:rsid w:val="64067D9B"/>
    <w:rsid w:val="64247045"/>
    <w:rsid w:val="64C00BC8"/>
    <w:rsid w:val="64C8226B"/>
    <w:rsid w:val="652371AC"/>
    <w:rsid w:val="65462054"/>
    <w:rsid w:val="65566DE4"/>
    <w:rsid w:val="6588195D"/>
    <w:rsid w:val="659B5F7C"/>
    <w:rsid w:val="665B3F00"/>
    <w:rsid w:val="66681B78"/>
    <w:rsid w:val="667722E2"/>
    <w:rsid w:val="66EC613C"/>
    <w:rsid w:val="66FA07AD"/>
    <w:rsid w:val="67164326"/>
    <w:rsid w:val="672F63DE"/>
    <w:rsid w:val="6792295E"/>
    <w:rsid w:val="67D4078B"/>
    <w:rsid w:val="69BF0D80"/>
    <w:rsid w:val="6A1F3F7B"/>
    <w:rsid w:val="6A5D2EAB"/>
    <w:rsid w:val="6A863D19"/>
    <w:rsid w:val="6A8F362A"/>
    <w:rsid w:val="6ADB0A7F"/>
    <w:rsid w:val="6B864B54"/>
    <w:rsid w:val="6B915DDE"/>
    <w:rsid w:val="6C2C5CB9"/>
    <w:rsid w:val="6C421D25"/>
    <w:rsid w:val="6CB3737B"/>
    <w:rsid w:val="6CC517D0"/>
    <w:rsid w:val="6CF26062"/>
    <w:rsid w:val="6D6C5FB1"/>
    <w:rsid w:val="6D837945"/>
    <w:rsid w:val="6DAA550E"/>
    <w:rsid w:val="6DD32C57"/>
    <w:rsid w:val="6DF75CCF"/>
    <w:rsid w:val="6E01554F"/>
    <w:rsid w:val="6E492869"/>
    <w:rsid w:val="6E602180"/>
    <w:rsid w:val="6EAC6630"/>
    <w:rsid w:val="6ECD03A1"/>
    <w:rsid w:val="6F2D65B0"/>
    <w:rsid w:val="6F6F18C9"/>
    <w:rsid w:val="6FAA3DD9"/>
    <w:rsid w:val="6FB93621"/>
    <w:rsid w:val="6FBC5C49"/>
    <w:rsid w:val="6FFE7BC8"/>
    <w:rsid w:val="704834E4"/>
    <w:rsid w:val="70961D1F"/>
    <w:rsid w:val="70CA5426"/>
    <w:rsid w:val="70D5665A"/>
    <w:rsid w:val="71724DA6"/>
    <w:rsid w:val="719A0F61"/>
    <w:rsid w:val="728769E1"/>
    <w:rsid w:val="72A56135"/>
    <w:rsid w:val="73467A28"/>
    <w:rsid w:val="73484C58"/>
    <w:rsid w:val="73764EA1"/>
    <w:rsid w:val="73A27F4A"/>
    <w:rsid w:val="73AB2D9F"/>
    <w:rsid w:val="73E27A8B"/>
    <w:rsid w:val="74260D39"/>
    <w:rsid w:val="747369BC"/>
    <w:rsid w:val="75525E1F"/>
    <w:rsid w:val="75765E10"/>
    <w:rsid w:val="75B26AE5"/>
    <w:rsid w:val="75BA7E0B"/>
    <w:rsid w:val="75C31388"/>
    <w:rsid w:val="76051E1C"/>
    <w:rsid w:val="761F2496"/>
    <w:rsid w:val="762406AF"/>
    <w:rsid w:val="764209EB"/>
    <w:rsid w:val="766128F6"/>
    <w:rsid w:val="76FA5D81"/>
    <w:rsid w:val="772705B7"/>
    <w:rsid w:val="77524F45"/>
    <w:rsid w:val="77DB5A8F"/>
    <w:rsid w:val="783C56F6"/>
    <w:rsid w:val="789223DD"/>
    <w:rsid w:val="79322ECD"/>
    <w:rsid w:val="79874FE5"/>
    <w:rsid w:val="79DE6A26"/>
    <w:rsid w:val="7A6C0A5E"/>
    <w:rsid w:val="7A6D54B4"/>
    <w:rsid w:val="7AA0450D"/>
    <w:rsid w:val="7B1B22EF"/>
    <w:rsid w:val="7BA17B73"/>
    <w:rsid w:val="7C5064D6"/>
    <w:rsid w:val="7CA54E37"/>
    <w:rsid w:val="7D0130DA"/>
    <w:rsid w:val="7D664C1D"/>
    <w:rsid w:val="7D6A5A71"/>
    <w:rsid w:val="7DA50C86"/>
    <w:rsid w:val="7DDB1903"/>
    <w:rsid w:val="7DDF2D31"/>
    <w:rsid w:val="7F1A0AD3"/>
    <w:rsid w:val="7F5F2BAD"/>
    <w:rsid w:val="7F74344A"/>
    <w:rsid w:val="7F8F09A8"/>
    <w:rsid w:val="7FAD758C"/>
    <w:rsid w:val="7FB118E8"/>
    <w:rsid w:val="9E063C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after="160" w:line="278" w:lineRule="auto"/>
      <w:jc w:val="both"/>
    </w:pPr>
    <w:rPr>
      <w:rFonts w:ascii="Times New Roman" w:hAnsi="Times New Roman" w:eastAsia="宋体" w:cs="Times New Roman"/>
      <w:kern w:val="2"/>
      <w:sz w:val="21"/>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仿宋_GB2312" w:hAnsi="仿宋_GB2312" w:eastAsia="仿宋_GB2312" w:cs="仿宋_GB2312"/>
      <w:sz w:val="32"/>
      <w:szCs w:val="32"/>
      <w:lang w:val="zh-CN" w:bidi="zh-CN"/>
    </w:rPr>
  </w:style>
  <w:style w:type="paragraph" w:styleId="3">
    <w:name w:val="footer"/>
    <w:basedOn w:val="1"/>
    <w:unhideWhenUsed/>
    <w:qFormat/>
    <w:uiPriority w:val="0"/>
    <w:pPr>
      <w:tabs>
        <w:tab w:val="center" w:pos="4153"/>
        <w:tab w:val="right" w:pos="8306"/>
      </w:tabs>
      <w:snapToGrid w:val="0"/>
      <w:jc w:val="left"/>
    </w:pPr>
    <w:rPr>
      <w:sz w:val="18"/>
      <w:szCs w:val="18"/>
    </w:rPr>
  </w:style>
  <w:style w:type="paragraph" w:styleId="6">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customShpInfo spid="_x0000_s1027"/>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F81C99C-DA2E-4FA8-8067-68EBB25ACAB6}">
  <ds:schemaRefs/>
</ds:datastoreItem>
</file>

<file path=docProps/app.xml><?xml version="1.0" encoding="utf-8"?>
<Properties xmlns="http://schemas.openxmlformats.org/officeDocument/2006/extended-properties" xmlns:vt="http://schemas.openxmlformats.org/officeDocument/2006/docPropsVTypes">
  <Template>Normal</Template>
  <Pages>15</Pages>
  <Words>4985</Words>
  <Characters>5583</Characters>
  <Lines>41</Lines>
  <Paragraphs>11</Paragraphs>
  <TotalTime>528</TotalTime>
  <ScaleCrop>false</ScaleCrop>
  <LinksUpToDate>false</LinksUpToDate>
  <CharactersWithSpaces>5725</CharactersWithSpaces>
  <Application>WPS Office_12.1.2.23578_F1E327BC-269C-435d-A152-05C5408002CA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2025-01-21T19:08:00Z</dcterms:created>
  <dc:creator>巫媛</dc:creator>
  <cp:lastModifiedBy>CNGC207</cp:lastModifiedBy>
  <dcterms:modified xsi:type="dcterms:W3CDTF">2026-02-26T08:52:08Z</dcterms:modified>
  <cp:revision>228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2052-12.1.2.23578</vt:lpwstr>
  </property>
  <property fmtid="{D5CDD505-2E9C-101B-9397-08002B2CF9AE}" pid="3" name="ICV">
    <vt:lpwstr>9E4F2367E05B43669312BDF4A59AFC52_13</vt:lpwstr>
  </property>
  <property fmtid="{D5CDD505-2E9C-101B-9397-08002B2CF9AE}" pid="4" name="KSOTemplateDocerSaveRecord">
    <vt:lpwstr>eyJoZGlkIjoiMmUxM2RmNGFhYmMzMGE2NTQ3MWFlYjQzZmZlMTkyZjkiLCJ1c2VySWQiOiIxNDU1NzAxMjc3In0=</vt:lpwstr>
  </property>
</Properties>
</file>