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宋体" w:hAnsi="宋体" w:eastAsia="黑体" w:cs="黑体"/>
          <w:bCs/>
          <w:color w:val="000000" w:themeColor="text1"/>
          <w:sz w:val="32"/>
          <w:szCs w:val="32"/>
          <w14:textFill>
            <w14:solidFill>
              <w14:schemeClr w14:val="tx1"/>
            </w14:solidFill>
          </w14:textFill>
        </w:rPr>
      </w:pPr>
      <w:r>
        <w:rPr>
          <w:rFonts w:hint="eastAsia" w:ascii="宋体" w:hAnsi="宋体" w:eastAsia="黑体" w:cs="黑体"/>
          <w:bCs/>
          <w:color w:val="000000" w:themeColor="text1"/>
          <w:sz w:val="32"/>
          <w:szCs w:val="32"/>
          <w14:textFill>
            <w14:solidFill>
              <w14:schemeClr w14:val="tx1"/>
            </w14:solidFill>
          </w14:textFill>
        </w:rPr>
        <w:t>附件3</w:t>
      </w:r>
    </w:p>
    <w:p>
      <w:pPr>
        <w:spacing w:line="560" w:lineRule="exact"/>
        <w:jc w:val="cente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w:t>
      </w:r>
      <w:r>
        <w:rPr>
          <w:rFonts w:hint="eastAsia" w:ascii="方正小标宋简体" w:hAnsi="方正小标宋简体" w:eastAsia="方正小标宋简体" w:cs="方正小标宋简体"/>
          <w:bCs/>
          <w:color w:val="000000"/>
          <w:sz w:val="44"/>
          <w:szCs w:val="44"/>
          <w:lang w:eastAsia="zh-CN"/>
        </w:rPr>
        <w:t>卫生健康综合监督执法局</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卫生健康综合监督执法局</w:t>
      </w:r>
      <w:r>
        <w:rPr>
          <w:rFonts w:hint="eastAsia" w:ascii="仿宋" w:hAnsi="仿宋" w:eastAsia="仿宋" w:cs="仿宋"/>
          <w:b/>
          <w:bCs/>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卫生健康综合监督执法局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卫生健康综合监督执法局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、《项目支出绩效目标表》</w:t>
      </w:r>
    </w:p>
    <w:p>
      <w:pPr>
        <w:spacing w:line="560" w:lineRule="exact"/>
        <w:ind w:left="10" w:leftChars="5" w:firstLine="623" w:firstLineChars="194"/>
        <w:rPr>
          <w:rFonts w:hint="eastAsia"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卫生健康综合监督执法局</w:t>
      </w:r>
      <w:r>
        <w:rPr>
          <w:rFonts w:hint="eastAsia" w:ascii="黑体" w:hAnsi="黑体" w:eastAsia="黑体" w:cs="黑体"/>
          <w:b w:val="0"/>
          <w:bCs w:val="0"/>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lang w:eastAsia="zh-CN"/>
        </w:rPr>
        <w:t>兴国县卫生健康综合监督执法局是县卫健委下属股级单位，</w:t>
      </w:r>
      <w:r>
        <w:rPr>
          <w:rFonts w:hint="eastAsia" w:ascii="仿宋" w:hAnsi="仿宋" w:eastAsia="仿宋" w:cs="仿宋"/>
          <w:color w:val="000000"/>
          <w:sz w:val="32"/>
          <w:szCs w:val="32"/>
        </w:rPr>
        <w:t>主要职责是：</w:t>
      </w:r>
      <w:r>
        <w:rPr>
          <w:rFonts w:hint="eastAsia" w:ascii="仿宋" w:hAnsi="仿宋" w:eastAsia="仿宋" w:cs="仿宋"/>
          <w:color w:val="000000"/>
          <w:sz w:val="32"/>
          <w:szCs w:val="32"/>
          <w:lang w:eastAsia="zh-CN"/>
        </w:rPr>
        <w:t>依法在全县范围内行使卫生计生监督执法职能，承担辖区内医疗机构、公共场所、生活饮用水、学校卫生、放射卫生、职业病卫生、母婴保健、计划生育及中医服务的卫生监督执法工作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二、部门或单位基本情况</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rPr>
        <w:t>兴国县卫生健康综合监督执法局</w:t>
      </w:r>
      <w:r>
        <w:rPr>
          <w:rFonts w:hint="eastAsia" w:ascii="仿宋" w:hAnsi="仿宋" w:eastAsia="仿宋" w:cs="仿宋"/>
          <w:color w:val="000000"/>
          <w:sz w:val="32"/>
          <w:szCs w:val="32"/>
        </w:rPr>
        <w:t>编制数</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人，其中：全额事业编制</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人；实有人数</w:t>
      </w:r>
      <w:r>
        <w:rPr>
          <w:rFonts w:hint="eastAsia" w:ascii="仿宋" w:hAnsi="仿宋" w:eastAsia="仿宋" w:cs="仿宋"/>
          <w:color w:val="000000"/>
          <w:sz w:val="32"/>
          <w:szCs w:val="32"/>
          <w:lang w:val="en-US" w:eastAsia="zh-CN"/>
        </w:rPr>
        <w:t>16</w:t>
      </w:r>
      <w:r>
        <w:rPr>
          <w:rFonts w:hint="eastAsia" w:ascii="仿宋" w:hAnsi="仿宋" w:eastAsia="仿宋" w:cs="仿宋"/>
          <w:color w:val="000000"/>
          <w:sz w:val="32"/>
          <w:szCs w:val="32"/>
        </w:rPr>
        <w:t>人，其中：在职人数</w:t>
      </w:r>
      <w:r>
        <w:rPr>
          <w:rFonts w:hint="eastAsia" w:ascii="仿宋" w:hAnsi="仿宋" w:eastAsia="仿宋" w:cs="仿宋"/>
          <w:color w:val="000000"/>
          <w:sz w:val="32"/>
          <w:szCs w:val="32"/>
          <w:lang w:val="en-US" w:eastAsia="zh-CN"/>
        </w:rPr>
        <w:t>16</w:t>
      </w:r>
      <w:r>
        <w:rPr>
          <w:rFonts w:hint="eastAsia" w:ascii="仿宋" w:hAnsi="仿宋" w:eastAsia="仿宋" w:cs="仿宋"/>
          <w:color w:val="000000"/>
          <w:sz w:val="32"/>
          <w:szCs w:val="32"/>
        </w:rPr>
        <w:t>人，包括全额事业编制</w:t>
      </w:r>
      <w:r>
        <w:rPr>
          <w:rFonts w:hint="eastAsia" w:ascii="仿宋" w:hAnsi="仿宋" w:eastAsia="仿宋" w:cs="仿宋"/>
          <w:color w:val="000000"/>
          <w:sz w:val="32"/>
          <w:szCs w:val="32"/>
          <w:lang w:val="en-US" w:eastAsia="zh-CN"/>
        </w:rPr>
        <w:t>16</w:t>
      </w:r>
      <w:r>
        <w:rPr>
          <w:rFonts w:hint="eastAsia" w:ascii="仿宋" w:hAnsi="仿宋" w:eastAsia="仿宋" w:cs="仿宋"/>
          <w:color w:val="000000"/>
          <w:sz w:val="32"/>
          <w:szCs w:val="32"/>
        </w:rPr>
        <w:t>人、退休人员</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人。</w:t>
      </w: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卫生健康综合监督执法局</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卫监</w:t>
      </w:r>
      <w:r>
        <w:rPr>
          <w:rFonts w:hint="eastAsia" w:ascii="仿宋" w:hAnsi="仿宋" w:eastAsia="仿宋" w:cs="仿宋"/>
          <w:color w:val="000000"/>
          <w:sz w:val="32"/>
          <w:szCs w:val="32"/>
        </w:rPr>
        <w:t>局收入预算总额为</w:t>
      </w:r>
      <w:r>
        <w:rPr>
          <w:rFonts w:hint="eastAsia" w:ascii="仿宋" w:hAnsi="仿宋" w:eastAsia="仿宋" w:cs="仿宋"/>
          <w:color w:val="000000"/>
          <w:sz w:val="32"/>
          <w:szCs w:val="32"/>
          <w:lang w:val="en-US" w:eastAsia="zh-CN"/>
        </w:rPr>
        <w:t>642.9</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加256.87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加66.54%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_GB2312" w:hAnsi="仿宋_GB2312" w:eastAsia="仿宋_GB2312"/>
          <w:sz w:val="32"/>
          <w:szCs w:val="32"/>
          <w:lang w:eastAsia="zh-CN"/>
        </w:rPr>
        <w:t>新冠肺炎</w:t>
      </w:r>
      <w:r>
        <w:rPr>
          <w:rFonts w:hint="eastAsia" w:ascii="仿宋_GB2312" w:hAnsi="仿宋_GB2312" w:eastAsia="仿宋_GB2312"/>
          <w:color w:val="auto"/>
          <w:sz w:val="32"/>
          <w:szCs w:val="32"/>
          <w:lang w:eastAsia="zh-CN"/>
        </w:rPr>
        <w:t>疫情防控、国家双随机监督抽检以及卫生监督协管等上级经费增加</w:t>
      </w:r>
      <w:r>
        <w:rPr>
          <w:rFonts w:hint="eastAsia" w:ascii="仿宋" w:hAnsi="仿宋" w:eastAsia="仿宋" w:cs="仿宋"/>
          <w:color w:val="auto"/>
          <w:sz w:val="32"/>
          <w:szCs w:val="32"/>
          <w:lang w:eastAsia="zh-CN"/>
        </w:rPr>
        <w:t>。</w:t>
      </w:r>
    </w:p>
    <w:p>
      <w:pPr>
        <w:spacing w:line="560" w:lineRule="exact"/>
        <w:ind w:firstLine="640" w:firstLineChars="200"/>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具体为</w:t>
      </w:r>
      <w:r>
        <w:rPr>
          <w:rFonts w:hint="eastAsia" w:ascii="仿宋" w:hAnsi="仿宋" w:eastAsia="仿宋" w:cs="仿宋"/>
          <w:color w:val="000000"/>
          <w:sz w:val="32"/>
          <w:szCs w:val="32"/>
        </w:rPr>
        <w:t>：财政拨款收入</w:t>
      </w:r>
      <w:r>
        <w:rPr>
          <w:rFonts w:hint="eastAsia" w:ascii="仿宋" w:hAnsi="仿宋" w:eastAsia="仿宋" w:cs="仿宋"/>
          <w:color w:val="000000"/>
          <w:sz w:val="32"/>
          <w:szCs w:val="32"/>
          <w:lang w:val="en-US" w:eastAsia="zh-CN"/>
        </w:rPr>
        <w:t>224.5</w:t>
      </w:r>
      <w:r>
        <w:rPr>
          <w:rFonts w:hint="eastAsia" w:ascii="仿宋" w:hAnsi="仿宋" w:eastAsia="仿宋" w:cs="仿宋"/>
          <w:color w:val="000000"/>
          <w:sz w:val="32"/>
          <w:szCs w:val="32"/>
        </w:rPr>
        <w:t>万元，占收入预算总额的</w:t>
      </w:r>
      <w:r>
        <w:rPr>
          <w:rFonts w:hint="eastAsia" w:ascii="仿宋" w:hAnsi="仿宋" w:eastAsia="仿宋" w:cs="仿宋"/>
          <w:color w:val="000000"/>
          <w:sz w:val="32"/>
          <w:szCs w:val="32"/>
          <w:lang w:val="en-US" w:eastAsia="zh-CN"/>
        </w:rPr>
        <w:t>34.92</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lang w:val="en-US" w:eastAsia="zh-CN"/>
        </w:rPr>
        <w:t>较上年预算安排增加76.76万元；</w:t>
      </w:r>
      <w:r>
        <w:rPr>
          <w:rFonts w:hint="eastAsia" w:ascii="仿宋" w:hAnsi="仿宋" w:eastAsia="仿宋" w:cs="仿宋"/>
          <w:color w:val="000000"/>
          <w:sz w:val="32"/>
          <w:szCs w:val="32"/>
        </w:rPr>
        <w:t>事业收入</w:t>
      </w:r>
      <w:r>
        <w:rPr>
          <w:rFonts w:hint="eastAsia" w:ascii="仿宋" w:hAnsi="仿宋" w:eastAsia="仿宋" w:cs="仿宋"/>
          <w:color w:val="000000"/>
          <w:sz w:val="32"/>
          <w:szCs w:val="32"/>
          <w:lang w:val="en-US" w:eastAsia="zh-CN"/>
        </w:rPr>
        <w:t>416.9</w:t>
      </w:r>
      <w:r>
        <w:rPr>
          <w:rFonts w:hint="eastAsia" w:ascii="仿宋" w:hAnsi="仿宋" w:eastAsia="仿宋" w:cs="仿宋"/>
          <w:color w:val="000000"/>
          <w:sz w:val="32"/>
          <w:szCs w:val="32"/>
        </w:rPr>
        <w:t>万元，占收入预算总额的</w:t>
      </w:r>
      <w:r>
        <w:rPr>
          <w:rFonts w:hint="eastAsia" w:ascii="仿宋" w:hAnsi="仿宋" w:eastAsia="仿宋" w:cs="仿宋"/>
          <w:color w:val="000000"/>
          <w:sz w:val="32"/>
          <w:szCs w:val="32"/>
          <w:lang w:val="en-US" w:eastAsia="zh-CN"/>
        </w:rPr>
        <w:t>64.85</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lang w:val="en-US" w:eastAsia="zh-CN"/>
        </w:rPr>
        <w:t>较上年预算安排增加208.61万元；</w:t>
      </w:r>
      <w:r>
        <w:rPr>
          <w:rFonts w:hint="eastAsia" w:ascii="仿宋" w:hAnsi="仿宋" w:eastAsia="仿宋" w:cs="仿宋"/>
          <w:color w:val="auto"/>
          <w:sz w:val="32"/>
          <w:szCs w:val="32"/>
          <w:lang w:eastAsia="zh-CN"/>
        </w:rPr>
        <w:t>上年结转（结余）</w:t>
      </w:r>
      <w:r>
        <w:rPr>
          <w:rFonts w:hint="eastAsia" w:ascii="仿宋" w:hAnsi="仿宋" w:eastAsia="仿宋" w:cs="仿宋"/>
          <w:color w:val="auto"/>
          <w:sz w:val="32"/>
          <w:szCs w:val="32"/>
          <w:lang w:val="en-US" w:eastAsia="zh-CN"/>
        </w:rPr>
        <w:t>1.5万元，</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0.23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卫监</w:t>
      </w:r>
      <w:r>
        <w:rPr>
          <w:rFonts w:hint="eastAsia" w:ascii="仿宋" w:hAnsi="仿宋" w:eastAsia="仿宋" w:cs="仿宋"/>
          <w:color w:val="auto"/>
          <w:sz w:val="32"/>
          <w:szCs w:val="32"/>
        </w:rPr>
        <w:t>局支出预算总额为</w:t>
      </w:r>
      <w:r>
        <w:rPr>
          <w:rFonts w:hint="eastAsia" w:ascii="仿宋" w:hAnsi="仿宋" w:eastAsia="仿宋" w:cs="仿宋"/>
          <w:color w:val="auto"/>
          <w:sz w:val="32"/>
          <w:szCs w:val="32"/>
          <w:lang w:val="en-US" w:eastAsia="zh-CN"/>
        </w:rPr>
        <w:t>642.9</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加256.87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加66.54%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_GB2312" w:hAnsi="仿宋_GB2312" w:eastAsia="仿宋_GB2312"/>
          <w:color w:val="auto"/>
          <w:sz w:val="32"/>
          <w:szCs w:val="32"/>
          <w:lang w:eastAsia="zh-CN"/>
        </w:rPr>
        <w:t>新冠肺炎疫情防控、国家双随机抽检等</w:t>
      </w:r>
      <w:r>
        <w:rPr>
          <w:rFonts w:hint="eastAsia" w:ascii="仿宋" w:hAnsi="仿宋" w:eastAsia="仿宋"/>
          <w:color w:val="auto"/>
          <w:sz w:val="30"/>
          <w:szCs w:val="30"/>
          <w:lang w:eastAsia="zh-CN"/>
        </w:rPr>
        <w:t>工作量加大，</w:t>
      </w:r>
      <w:r>
        <w:rPr>
          <w:rFonts w:hint="eastAsia" w:ascii="仿宋" w:hAnsi="仿宋" w:eastAsia="仿宋"/>
          <w:sz w:val="30"/>
          <w:szCs w:val="30"/>
          <w:lang w:eastAsia="zh-CN"/>
        </w:rPr>
        <w:t>车辆使用费用、下乡费费用等费用支出增加</w:t>
      </w:r>
      <w:r>
        <w:rPr>
          <w:rFonts w:hint="eastAsia" w:ascii="仿宋" w:hAnsi="仿宋" w:eastAsia="仿宋" w:cs="仿宋"/>
          <w:color w:val="auto"/>
          <w:sz w:val="32"/>
          <w:szCs w:val="32"/>
          <w:lang w:eastAsia="zh-CN"/>
        </w:rPr>
        <w:t>。</w:t>
      </w:r>
      <w:r>
        <w:rPr>
          <w:rFonts w:hint="eastAsia" w:ascii="仿宋" w:hAnsi="仿宋" w:eastAsia="仿宋" w:cs="仿宋"/>
          <w:color w:val="000000"/>
          <w:sz w:val="32"/>
          <w:szCs w:val="32"/>
          <w:lang w:eastAsia="zh-CN"/>
        </w:rPr>
        <w:t>具体为</w:t>
      </w:r>
      <w:r>
        <w:rPr>
          <w:rFonts w:hint="eastAsia" w:ascii="仿宋" w:hAnsi="仿宋" w:eastAsia="仿宋" w:cs="仿宋"/>
          <w:color w:val="000000"/>
          <w:sz w:val="32"/>
          <w:szCs w:val="32"/>
        </w:rPr>
        <w:t>：</w:t>
      </w:r>
    </w:p>
    <w:p>
      <w:pPr>
        <w:spacing w:line="56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auto"/>
          <w:sz w:val="32"/>
          <w:szCs w:val="32"/>
          <w:lang w:eastAsia="zh-CN"/>
        </w:rPr>
        <w:t>按支出项目类别及经济分类科目划分</w:t>
      </w:r>
      <w:r>
        <w:rPr>
          <w:rFonts w:hint="eastAsia" w:ascii="仿宋" w:hAnsi="仿宋" w:eastAsia="仿宋" w:cs="仿宋"/>
          <w:b/>
          <w:bCs/>
          <w:color w:val="000000"/>
          <w:sz w:val="32"/>
          <w:szCs w:val="32"/>
        </w:rPr>
        <w:t>：</w:t>
      </w:r>
      <w:r>
        <w:rPr>
          <w:rFonts w:hint="eastAsia" w:ascii="仿宋" w:hAnsi="仿宋" w:eastAsia="仿宋" w:cs="仿宋"/>
          <w:color w:val="000000"/>
          <w:sz w:val="32"/>
          <w:szCs w:val="32"/>
        </w:rPr>
        <w:t>基本支出</w:t>
      </w:r>
      <w:r>
        <w:rPr>
          <w:rFonts w:hint="eastAsia" w:ascii="仿宋" w:hAnsi="仿宋" w:eastAsia="仿宋" w:cs="仿宋"/>
          <w:color w:val="000000"/>
          <w:sz w:val="32"/>
          <w:szCs w:val="32"/>
          <w:lang w:val="en-US" w:eastAsia="zh-CN"/>
        </w:rPr>
        <w:t>376.4</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58.55</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9.63</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auto"/>
          <w:sz w:val="32"/>
          <w:szCs w:val="32"/>
          <w:lang w:val="en-US" w:eastAsia="zh-CN"/>
        </w:rPr>
        <w:t>249.3</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66.23</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63.78</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商品和服务支出</w:t>
      </w:r>
      <w:r>
        <w:rPr>
          <w:rFonts w:hint="eastAsia" w:ascii="仿宋" w:hAnsi="仿宋" w:eastAsia="仿宋" w:cs="仿宋"/>
          <w:color w:val="auto"/>
          <w:sz w:val="32"/>
          <w:szCs w:val="32"/>
          <w:lang w:val="en-US" w:eastAsia="zh-CN"/>
        </w:rPr>
        <w:t>107.1</w:t>
      </w:r>
      <w:r>
        <w:rPr>
          <w:rFonts w:hint="eastAsia" w:ascii="仿宋" w:hAnsi="仿宋" w:eastAsia="仿宋" w:cs="仿宋"/>
          <w:color w:val="000000"/>
          <w:sz w:val="32"/>
          <w:szCs w:val="32"/>
        </w:rPr>
        <w:t>万</w:t>
      </w:r>
      <w:r>
        <w:rPr>
          <w:rFonts w:hint="eastAsia" w:ascii="仿宋" w:hAnsi="仿宋" w:eastAsia="仿宋" w:cs="仿宋"/>
          <w:color w:val="000000"/>
          <w:sz w:val="32"/>
          <w:szCs w:val="32"/>
          <w:lang w:eastAsia="zh-CN"/>
        </w:rPr>
        <w:t>元，</w:t>
      </w:r>
      <w:r>
        <w:rPr>
          <w:rFonts w:hint="eastAsia" w:ascii="仿宋" w:hAnsi="仿宋" w:eastAsia="仿宋" w:cs="仿宋"/>
          <w:color w:val="000000"/>
          <w:sz w:val="32"/>
          <w:szCs w:val="32"/>
        </w:rPr>
        <w:t>占支出预算总额的</w:t>
      </w:r>
      <w:r>
        <w:rPr>
          <w:rFonts w:hint="eastAsia" w:ascii="仿宋" w:hAnsi="仿宋" w:eastAsia="仿宋" w:cs="仿宋"/>
          <w:color w:val="000000"/>
          <w:sz w:val="32"/>
          <w:szCs w:val="32"/>
          <w:lang w:val="en-US" w:eastAsia="zh-CN"/>
        </w:rPr>
        <w:t>28.45</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3.97</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lang w:eastAsia="zh-CN"/>
        </w:rPr>
        <w:t>对个人和家庭的补助支出</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82.30</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lang w:eastAsia="zh-CN"/>
        </w:rPr>
        <w:t>资本性支出</w:t>
      </w:r>
      <w:r>
        <w:rPr>
          <w:rFonts w:hint="eastAsia" w:ascii="仿宋" w:hAnsi="仿宋" w:eastAsia="仿宋" w:cs="仿宋"/>
          <w:color w:val="auto"/>
          <w:sz w:val="32"/>
          <w:szCs w:val="32"/>
          <w:lang w:val="en-US" w:eastAsia="zh-CN"/>
        </w:rPr>
        <w:t>20</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5.32%，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4.92</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lang w:eastAsia="zh-CN"/>
        </w:rPr>
        <w:t>项目支出</w:t>
      </w:r>
      <w:r>
        <w:rPr>
          <w:rFonts w:hint="eastAsia" w:ascii="仿宋" w:hAnsi="仿宋" w:eastAsia="仿宋" w:cs="仿宋"/>
          <w:color w:val="000000"/>
          <w:sz w:val="32"/>
          <w:szCs w:val="32"/>
          <w:lang w:val="en-US" w:eastAsia="zh-CN"/>
        </w:rPr>
        <w:t>266.5</w:t>
      </w:r>
      <w:r>
        <w:rPr>
          <w:rFonts w:hint="eastAsia" w:ascii="仿宋" w:hAnsi="仿宋" w:eastAsia="仿宋" w:cs="仿宋"/>
          <w:color w:val="000000"/>
          <w:sz w:val="32"/>
          <w:szCs w:val="32"/>
          <w:lang w:eastAsia="zh-CN"/>
        </w:rPr>
        <w:t>万元，</w:t>
      </w:r>
      <w:r>
        <w:rPr>
          <w:rFonts w:hint="eastAsia" w:ascii="仿宋" w:hAnsi="仿宋" w:eastAsia="仿宋" w:cs="仿宋"/>
          <w:color w:val="000000"/>
          <w:sz w:val="32"/>
          <w:szCs w:val="32"/>
        </w:rPr>
        <w:t>占支出预算总额的</w:t>
      </w:r>
      <w:r>
        <w:rPr>
          <w:rFonts w:hint="eastAsia" w:ascii="仿宋" w:hAnsi="仿宋" w:eastAsia="仿宋" w:cs="仿宋"/>
          <w:color w:val="000000"/>
          <w:sz w:val="32"/>
          <w:szCs w:val="32"/>
          <w:lang w:val="en-US" w:eastAsia="zh-CN"/>
        </w:rPr>
        <w:t>41.45</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266.5</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FF0000"/>
          <w:sz w:val="32"/>
          <w:szCs w:val="32"/>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color w:val="auto"/>
          <w:sz w:val="32"/>
          <w:szCs w:val="32"/>
          <w:lang w:val="en-US" w:eastAsia="zh-CN"/>
        </w:rPr>
        <w:t>社会保障和就业</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27.38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占预算总额的4.26%，</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减少52.28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卫生健康</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334.8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占预算总额的52.07%，</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增加39.05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住房保障</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15.72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占预算总额的2.45%，</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减少5.1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其他</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265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占预算总额的41.22%，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加265</w:t>
      </w:r>
      <w:r>
        <w:rPr>
          <w:rFonts w:hint="eastAsia" w:ascii="仿宋" w:hAnsi="仿宋" w:eastAsia="仿宋" w:cs="仿宋"/>
          <w:color w:val="auto"/>
          <w:sz w:val="32"/>
          <w:szCs w:val="32"/>
          <w:lang w:eastAsia="zh-CN"/>
        </w:rPr>
        <w:t>万元。</w:t>
      </w:r>
    </w:p>
    <w:p>
      <w:pPr>
        <w:pStyle w:val="2"/>
        <w:rPr>
          <w:rFonts w:hint="eastAsia"/>
          <w:lang w:val="en-US" w:eastAsia="zh-CN"/>
        </w:rPr>
      </w:pP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卫监</w:t>
      </w:r>
      <w:r>
        <w:rPr>
          <w:rFonts w:hint="eastAsia" w:ascii="仿宋" w:hAnsi="仿宋" w:eastAsia="仿宋" w:cs="仿宋"/>
          <w:color w:val="auto"/>
          <w:sz w:val="32"/>
          <w:szCs w:val="32"/>
        </w:rPr>
        <w:t>局财政拨款（补助）支出预算</w:t>
      </w:r>
      <w:r>
        <w:rPr>
          <w:rFonts w:hint="eastAsia" w:ascii="仿宋" w:hAnsi="仿宋" w:eastAsia="仿宋" w:cs="仿宋"/>
          <w:color w:val="auto"/>
          <w:sz w:val="32"/>
          <w:szCs w:val="32"/>
          <w:lang w:val="en-US" w:eastAsia="zh-CN"/>
        </w:rPr>
        <w:t>224.5</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34.92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增加76.76万元。</w:t>
      </w:r>
      <w:r>
        <w:rPr>
          <w:rFonts w:hint="eastAsia" w:ascii="仿宋" w:hAnsi="仿宋" w:eastAsia="仿宋" w:cs="仿宋"/>
          <w:color w:val="auto"/>
          <w:sz w:val="32"/>
          <w:szCs w:val="32"/>
          <w:lang w:eastAsia="zh-CN"/>
        </w:rPr>
        <w:t>增减变化主要原因是：</w:t>
      </w:r>
      <w:r>
        <w:rPr>
          <w:rFonts w:hint="eastAsia" w:ascii="仿宋_GB2312" w:hAnsi="仿宋_GB2312" w:eastAsia="仿宋_GB2312"/>
          <w:color w:val="auto"/>
          <w:sz w:val="32"/>
          <w:szCs w:val="32"/>
          <w:lang w:eastAsia="zh-CN"/>
        </w:rPr>
        <w:t>新冠肺炎疫情防控、国家双随机监督抽检以及卫生监督协管等上级经费增加</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按支出经济分类科目划分：基本支出</w:t>
      </w:r>
      <w:r>
        <w:rPr>
          <w:rFonts w:hint="eastAsia" w:ascii="仿宋" w:hAnsi="仿宋" w:eastAsia="仿宋" w:cs="仿宋"/>
          <w:color w:val="auto"/>
          <w:sz w:val="32"/>
          <w:szCs w:val="32"/>
          <w:lang w:val="en-US" w:eastAsia="zh-CN"/>
        </w:rPr>
        <w:t>158.5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w:t>
      </w:r>
      <w:r>
        <w:rPr>
          <w:rFonts w:hint="eastAsia" w:ascii="仿宋" w:hAnsi="仿宋" w:eastAsia="仿宋" w:cs="仿宋"/>
          <w:color w:val="auto"/>
          <w:sz w:val="32"/>
          <w:szCs w:val="32"/>
        </w:rPr>
        <w:t>财政拨款（补助）支出的</w:t>
      </w:r>
      <w:r>
        <w:rPr>
          <w:rFonts w:hint="eastAsia" w:ascii="仿宋" w:hAnsi="仿宋" w:eastAsia="仿宋" w:cs="仿宋"/>
          <w:color w:val="auto"/>
          <w:sz w:val="32"/>
          <w:szCs w:val="32"/>
          <w:lang w:val="en-US" w:eastAsia="zh-CN"/>
        </w:rPr>
        <w:t>70.6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增加10.76</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工资福利支出147.3万元，占财政拨款总额的65.61%、商品和服务支出11.2万元，占财政拨款总额的4.99%、对个人和家庭的补助0万元，占财政拨款总额的0%</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66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增加66</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占支出预算总额的</w:t>
      </w:r>
      <w:r>
        <w:rPr>
          <w:rFonts w:hint="eastAsia" w:ascii="仿宋" w:hAnsi="仿宋" w:eastAsia="仿宋" w:cs="仿宋"/>
          <w:color w:val="auto"/>
          <w:sz w:val="32"/>
          <w:szCs w:val="32"/>
          <w:lang w:val="en-US" w:eastAsia="zh-CN"/>
        </w:rPr>
        <w:t>29.4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，其中：</w:t>
      </w:r>
      <w:r>
        <w:rPr>
          <w:rFonts w:hint="eastAsia" w:ascii="仿宋" w:hAnsi="仿宋" w:eastAsia="仿宋" w:cs="仿宋"/>
          <w:color w:val="auto"/>
          <w:sz w:val="32"/>
          <w:szCs w:val="32"/>
          <w:lang w:val="en-US" w:eastAsia="zh-CN"/>
        </w:rPr>
        <w:t>资本性支出66万元，占财政拨款总额的29.4%</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320" w:firstLineChars="100"/>
        <w:rPr>
          <w:rFonts w:hint="default" w:ascii="仿宋" w:hAnsi="仿宋" w:eastAsia="仿宋" w:cs="仿宋"/>
          <w:color w:val="FF0000"/>
          <w:sz w:val="32"/>
          <w:szCs w:val="32"/>
          <w:lang w:val="en-US"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color w:val="auto"/>
          <w:sz w:val="32"/>
          <w:szCs w:val="32"/>
          <w:lang w:val="en-US" w:eastAsia="zh-CN"/>
        </w:rPr>
        <w:t>社会保障和就业</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26.39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占财政拨款总额的11.76%，</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53.27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卫生健康</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116.39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占财政拨款总额的51.84%，</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增加58.93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住房保障</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15.72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占财政拨款总额的7%，</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加5.1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其他</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66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占财政拨款总额的29.4%，</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增加66</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年部门或单位机关运行费预算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万元，比</w:t>
      </w:r>
      <w:r>
        <w:rPr>
          <w:rFonts w:hint="eastAsia" w:ascii="仿宋" w:hAnsi="仿宋" w:eastAsia="仿宋" w:cs="仿宋"/>
          <w:sz w:val="32"/>
          <w:szCs w:val="32"/>
          <w:lang w:val="en-US" w:eastAsia="zh-CN"/>
        </w:rPr>
        <w:t>2021</w:t>
      </w:r>
      <w:r>
        <w:rPr>
          <w:rFonts w:hint="eastAsia" w:ascii="仿宋" w:hAnsi="仿宋" w:eastAsia="仿宋" w:cs="仿宋"/>
          <w:sz w:val="32"/>
          <w:szCs w:val="32"/>
        </w:rPr>
        <w:t>年(上一年度）预算减少</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万元，下降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年部门或单位所属各单位政府采购总额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20</w:t>
      </w:r>
      <w:r>
        <w:rPr>
          <w:rFonts w:hint="eastAsia" w:ascii="仿宋" w:hAnsi="仿宋" w:eastAsia="仿宋" w:cs="仿宋"/>
          <w:sz w:val="32"/>
          <w:szCs w:val="32"/>
          <w:u w:val="single"/>
        </w:rPr>
        <w:t xml:space="preserve">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20</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2021</w:t>
      </w:r>
      <w:r>
        <w:rPr>
          <w:rFonts w:hint="eastAsia" w:ascii="仿宋" w:hAnsi="仿宋" w:eastAsia="仿宋" w:cs="仿宋"/>
          <w:sz w:val="32"/>
          <w:szCs w:val="32"/>
        </w:rPr>
        <w:t>年12月31日、部门共有车辆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w:t>
      </w:r>
      <w:r>
        <w:rPr>
          <w:rFonts w:hint="eastAsia" w:ascii="仿宋" w:hAnsi="仿宋" w:eastAsia="仿宋" w:cs="仿宋"/>
          <w:sz w:val="32"/>
          <w:szCs w:val="32"/>
          <w:u w:val="single"/>
        </w:rPr>
        <w:t xml:space="preserve"> </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w:t>
      </w:r>
      <w:r>
        <w:rPr>
          <w:rFonts w:hint="eastAsia" w:ascii="仿宋" w:hAnsi="仿宋" w:eastAsia="仿宋" w:cs="仿宋"/>
          <w:sz w:val="32"/>
          <w:szCs w:val="32"/>
          <w:u w:val="single"/>
        </w:rPr>
        <w:t xml:space="preserve">  </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年部门或单位预算安排购置车辆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年实行绩效目标管理的项目</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项目名称：</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5.年度预算安排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6.年度绩效目标</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说明部门或单位“三公”经费一般公共预算总额和结构，及各项增（减）变化原因。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color w:val="000000"/>
          <w:sz w:val="32"/>
          <w:szCs w:val="32"/>
          <w:lang w:eastAsia="zh-CN"/>
        </w:rPr>
        <w:t>兴国县卫生健康综合监督执法局</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0.7</w:t>
      </w:r>
      <w:r>
        <w:rPr>
          <w:rFonts w:hint="eastAsia" w:ascii="仿宋" w:hAnsi="仿宋" w:eastAsia="仿宋" w:cs="仿宋"/>
          <w:sz w:val="32"/>
          <w:szCs w:val="32"/>
        </w:rPr>
        <w:t>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w:t>
      </w:r>
    </w:p>
    <w:p>
      <w:pPr>
        <w:spacing w:line="560" w:lineRule="exact"/>
        <w:ind w:firstLine="0" w:firstLineChars="0"/>
        <w:rPr>
          <w:rFonts w:ascii="仿宋" w:hAnsi="仿宋" w:eastAsia="仿宋" w:cs="仿宋"/>
          <w:sz w:val="32"/>
          <w:szCs w:val="32"/>
        </w:rPr>
      </w:pPr>
      <w:r>
        <w:rPr>
          <w:rFonts w:hint="eastAsia" w:ascii="仿宋" w:hAnsi="仿宋" w:eastAsia="仿宋" w:cs="仿宋"/>
          <w:sz w:val="32"/>
          <w:szCs w:val="32"/>
        </w:rPr>
        <w:t>要原因是： 。</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0.5</w:t>
      </w:r>
      <w:r>
        <w:rPr>
          <w:rFonts w:hint="eastAsia" w:ascii="仿宋" w:hAnsi="仿宋" w:eastAsia="仿宋" w:cs="仿宋"/>
          <w:sz w:val="32"/>
          <w:szCs w:val="32"/>
        </w:rPr>
        <w:t>万元，比上年减</w:t>
      </w:r>
      <w:r>
        <w:rPr>
          <w:rFonts w:hint="eastAsia" w:ascii="仿宋" w:hAnsi="仿宋" w:eastAsia="仿宋" w:cs="仿宋"/>
          <w:sz w:val="32"/>
          <w:szCs w:val="32"/>
          <w:lang w:val="en-US" w:eastAsia="zh-CN"/>
        </w:rPr>
        <w:t>3.5</w:t>
      </w:r>
      <w:r>
        <w:rPr>
          <w:rFonts w:hint="eastAsia" w:ascii="仿宋" w:hAnsi="仿宋" w:eastAsia="仿宋" w:cs="仿宋"/>
          <w:sz w:val="32"/>
          <w:szCs w:val="32"/>
        </w:rPr>
        <w:t>万元，主要原因</w:t>
      </w:r>
    </w:p>
    <w:p>
      <w:pPr>
        <w:spacing w:line="560" w:lineRule="exact"/>
        <w:ind w:firstLine="0" w:firstLineChars="0"/>
        <w:rPr>
          <w:rFonts w:ascii="仿宋" w:hAnsi="仿宋" w:eastAsia="仿宋" w:cs="仿宋"/>
          <w:sz w:val="32"/>
          <w:szCs w:val="32"/>
        </w:rPr>
      </w:pPr>
      <w:r>
        <w:rPr>
          <w:rFonts w:hint="eastAsia" w:ascii="仿宋" w:hAnsi="仿宋" w:eastAsia="仿宋" w:cs="仿宋"/>
          <w:sz w:val="32"/>
          <w:szCs w:val="32"/>
        </w:rPr>
        <w:t>是：</w:t>
      </w:r>
      <w:r>
        <w:rPr>
          <w:rFonts w:hint="eastAsia" w:ascii="仿宋" w:hAnsi="仿宋" w:eastAsia="仿宋" w:cs="仿宋"/>
          <w:sz w:val="32"/>
          <w:szCs w:val="32"/>
          <w:lang w:eastAsia="zh-CN"/>
        </w:rPr>
        <w:t>规范落实三公经费接待管理规定</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0.2</w:t>
      </w:r>
      <w:r>
        <w:rPr>
          <w:rFonts w:hint="eastAsia" w:ascii="仿宋" w:hAnsi="仿宋" w:eastAsia="仿宋" w:cs="仿宋"/>
          <w:sz w:val="32"/>
          <w:szCs w:val="32"/>
        </w:rPr>
        <w:t>万元，比上年</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5</w:t>
      </w:r>
      <w:r>
        <w:rPr>
          <w:rFonts w:hint="eastAsia" w:ascii="仿宋" w:hAnsi="仿宋" w:eastAsia="仿宋" w:cs="仿宋"/>
          <w:sz w:val="32"/>
          <w:szCs w:val="32"/>
        </w:rPr>
        <w:t>万元，</w:t>
      </w:r>
    </w:p>
    <w:p>
      <w:pPr>
        <w:spacing w:line="560" w:lineRule="exact"/>
        <w:ind w:firstLine="0" w:firstLineChars="0"/>
        <w:rPr>
          <w:rFonts w:ascii="仿宋" w:hAnsi="仿宋" w:eastAsia="仿宋" w:cs="仿宋"/>
          <w:sz w:val="32"/>
          <w:szCs w:val="32"/>
        </w:rPr>
      </w:pPr>
      <w:r>
        <w:rPr>
          <w:rFonts w:hint="eastAsia" w:ascii="仿宋" w:hAnsi="仿宋" w:eastAsia="仿宋" w:cs="仿宋"/>
          <w:sz w:val="32"/>
          <w:szCs w:val="32"/>
        </w:rPr>
        <w:t>主要原因是：</w:t>
      </w:r>
      <w:r>
        <w:rPr>
          <w:rFonts w:hint="eastAsia" w:ascii="仿宋" w:hAnsi="仿宋" w:eastAsia="仿宋" w:cs="仿宋"/>
          <w:sz w:val="32"/>
          <w:szCs w:val="32"/>
          <w:lang w:eastAsia="zh-CN"/>
        </w:rPr>
        <w:t>规范落实三公经费接待管理规定</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w:t>
      </w:r>
    </w:p>
    <w:p>
      <w:pPr>
        <w:spacing w:line="560" w:lineRule="exact"/>
        <w:ind w:firstLine="0" w:firstLineChars="0"/>
        <w:rPr>
          <w:rFonts w:ascii="仿宋" w:hAnsi="仿宋" w:eastAsia="仿宋" w:cs="仿宋"/>
          <w:sz w:val="32"/>
          <w:szCs w:val="32"/>
        </w:rPr>
      </w:pPr>
      <w:r>
        <w:rPr>
          <w:rFonts w:hint="eastAsia" w:ascii="仿宋" w:hAnsi="仿宋" w:eastAsia="仿宋" w:cs="仿宋"/>
          <w:sz w:val="32"/>
          <w:szCs w:val="32"/>
        </w:rPr>
        <w:t>原因是：。</w:t>
      </w:r>
    </w:p>
    <w:p>
      <w:pPr>
        <w:spacing w:line="560" w:lineRule="exact"/>
        <w:ind w:firstLine="640" w:firstLineChars="200"/>
        <w:rPr>
          <w:rFonts w:ascii="仿宋" w:hAnsi="仿宋" w:eastAsia="仿宋" w:cs="仿宋"/>
          <w:sz w:val="32"/>
          <w:szCs w:val="32"/>
        </w:rPr>
      </w:pPr>
    </w:p>
    <w:p>
      <w:pPr>
        <w:spacing w:line="560" w:lineRule="exact"/>
        <w:ind w:firstLine="643" w:firstLineChars="200"/>
        <w:rPr>
          <w:rFonts w:hint="eastAsia" w:ascii="宋体" w:hAnsi="宋体" w:eastAsiaTheme="minorEastAsia" w:cstheme="minorEastAsia"/>
          <w:b/>
          <w:bCs/>
          <w:color w:val="000000" w:themeColor="text1"/>
          <w:sz w:val="32"/>
          <w:szCs w:val="32"/>
          <w14:textFill>
            <w14:solidFill>
              <w14:schemeClr w14:val="tx1"/>
            </w14:solidFill>
          </w14:textFill>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第三部分 兴国县</w:t>
      </w:r>
      <w:r>
        <w:rPr>
          <w:rFonts w:hint="eastAsia" w:ascii="黑体" w:hAnsi="黑体" w:eastAsia="黑体" w:cs="黑体"/>
          <w:b w:val="0"/>
          <w:bCs w:val="0"/>
          <w:sz w:val="32"/>
          <w:szCs w:val="32"/>
          <w:lang w:eastAsia="zh-CN"/>
        </w:rPr>
        <w:t>卫生健康综合监督执法局</w:t>
      </w:r>
      <w:r>
        <w:rPr>
          <w:rFonts w:hint="eastAsia" w:ascii="黑体" w:hAnsi="黑体" w:eastAsia="黑体" w:cs="黑体"/>
          <w:b w:val="0"/>
          <w:bCs w:val="0"/>
          <w:sz w:val="32"/>
          <w:szCs w:val="32"/>
        </w:rPr>
        <w:t>预算表</w:t>
      </w:r>
    </w:p>
    <w:p>
      <w:pPr>
        <w:spacing w:line="560" w:lineRule="exact"/>
        <w:ind w:firstLine="604" w:firstLineChars="189"/>
        <w:jc w:val="center"/>
        <w:rPr>
          <w:rFonts w:ascii="仿宋" w:hAnsi="仿宋" w:eastAsia="仿宋" w:cs="仿宋"/>
          <w:sz w:val="32"/>
          <w:szCs w:val="32"/>
        </w:rPr>
      </w:pPr>
      <w:r>
        <w:rPr>
          <w:rFonts w:hint="eastAsia" w:ascii="仿宋" w:hAnsi="仿宋" w:eastAsia="仿宋" w:cs="仿宋"/>
          <w:sz w:val="32"/>
          <w:szCs w:val="32"/>
        </w:rPr>
        <w:t>（附表）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《收支预算总表》</w:t>
      </w:r>
    </w:p>
    <w:p>
      <w:pPr>
        <w:pStyle w:val="2"/>
      </w:pPr>
      <w:r>
        <w:drawing>
          <wp:inline distT="0" distB="0" distL="114300" distR="114300">
            <wp:extent cx="5539105" cy="5485130"/>
            <wp:effectExtent l="0" t="0" r="444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539105" cy="5485130"/>
                    </a:xfrm>
                    <a:prstGeom prst="rect">
                      <a:avLst/>
                    </a:prstGeom>
                    <a:noFill/>
                    <a:ln>
                      <a:noFill/>
                    </a:ln>
                  </pic:spPr>
                </pic:pic>
              </a:graphicData>
            </a:graphic>
          </wp:inline>
        </w:drawing>
      </w:r>
    </w:p>
    <w:p>
      <w:pPr>
        <w:pStyle w:val="2"/>
      </w:pPr>
    </w:p>
    <w:p>
      <w:pPr>
        <w:pStyle w:val="2"/>
      </w:pPr>
    </w:p>
    <w:p>
      <w:pPr>
        <w:pStyle w:val="2"/>
      </w:pPr>
    </w:p>
    <w:p>
      <w:pPr>
        <w:pStyle w:val="2"/>
      </w:pPr>
    </w:p>
    <w:p>
      <w:pPr>
        <w:pStyle w:val="2"/>
        <w:rPr>
          <w:rFonts w:hint="eastAsia"/>
        </w:rPr>
      </w:pPr>
    </w:p>
    <w:p>
      <w:pPr>
        <w:pStyle w:val="2"/>
        <w:numPr>
          <w:ilvl w:val="0"/>
          <w:numId w:val="1"/>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《部门收入总表》</w:t>
      </w:r>
    </w:p>
    <w:p>
      <w:pPr>
        <w:pStyle w:val="2"/>
        <w:numPr>
          <w:ilvl w:val="0"/>
          <w:numId w:val="0"/>
        </w:numPr>
        <w:ind w:leftChars="0"/>
      </w:pPr>
      <w:r>
        <w:drawing>
          <wp:inline distT="0" distB="0" distL="114300" distR="114300">
            <wp:extent cx="5539740" cy="5223510"/>
            <wp:effectExtent l="0" t="0" r="3810" b="152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5539740" cy="5223510"/>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rPr>
      </w:pPr>
    </w:p>
    <w:p>
      <w:pPr>
        <w:pStyle w:val="2"/>
        <w:numPr>
          <w:ilvl w:val="0"/>
          <w:numId w:val="1"/>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《部门支出总表》</w:t>
      </w:r>
    </w:p>
    <w:p>
      <w:pPr>
        <w:pStyle w:val="2"/>
        <w:numPr>
          <w:ilvl w:val="0"/>
          <w:numId w:val="0"/>
        </w:numPr>
        <w:ind w:leftChars="0"/>
      </w:pPr>
      <w:r>
        <w:drawing>
          <wp:inline distT="0" distB="0" distL="114300" distR="114300">
            <wp:extent cx="5538470" cy="6530340"/>
            <wp:effectExtent l="0" t="0" r="5080" b="381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7"/>
                    <a:stretch>
                      <a:fillRect/>
                    </a:stretch>
                  </pic:blipFill>
                  <pic:spPr>
                    <a:xfrm>
                      <a:off x="0" y="0"/>
                      <a:ext cx="5538470" cy="6530340"/>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rPr>
      </w:pPr>
    </w:p>
    <w:p>
      <w:pPr>
        <w:pStyle w:val="2"/>
        <w:numPr>
          <w:ilvl w:val="0"/>
          <w:numId w:val="1"/>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《财政拨款收支总表》</w:t>
      </w:r>
    </w:p>
    <w:p>
      <w:pPr>
        <w:pStyle w:val="2"/>
        <w:numPr>
          <w:ilvl w:val="0"/>
          <w:numId w:val="0"/>
        </w:numPr>
        <w:ind w:leftChars="0"/>
      </w:pPr>
      <w:r>
        <w:drawing>
          <wp:inline distT="0" distB="0" distL="114300" distR="114300">
            <wp:extent cx="5544820" cy="5452110"/>
            <wp:effectExtent l="0" t="0" r="17780" b="1524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8"/>
                    <a:stretch>
                      <a:fillRect/>
                    </a:stretch>
                  </pic:blipFill>
                  <pic:spPr>
                    <a:xfrm>
                      <a:off x="0" y="0"/>
                      <a:ext cx="5544820" cy="5452110"/>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rPr>
      </w:pPr>
    </w:p>
    <w:p>
      <w:pPr>
        <w:pStyle w:val="2"/>
        <w:numPr>
          <w:ilvl w:val="0"/>
          <w:numId w:val="1"/>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《一般公共预算支出表》</w:t>
      </w:r>
    </w:p>
    <w:p>
      <w:pPr>
        <w:pStyle w:val="2"/>
        <w:numPr>
          <w:ilvl w:val="0"/>
          <w:numId w:val="0"/>
        </w:numPr>
        <w:ind w:leftChars="0"/>
      </w:pPr>
      <w:r>
        <w:drawing>
          <wp:inline distT="0" distB="0" distL="114300" distR="114300">
            <wp:extent cx="5541010" cy="7167880"/>
            <wp:effectExtent l="0" t="0" r="2540" b="1397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9"/>
                    <a:stretch>
                      <a:fillRect/>
                    </a:stretch>
                  </pic:blipFill>
                  <pic:spPr>
                    <a:xfrm>
                      <a:off x="0" y="0"/>
                      <a:ext cx="5541010" cy="7167880"/>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rPr>
          <w:rFonts w:hint="eastAsia"/>
        </w:rPr>
      </w:pPr>
    </w:p>
    <w:p>
      <w:pPr>
        <w:pStyle w:val="2"/>
        <w:numPr>
          <w:ilvl w:val="0"/>
          <w:numId w:val="1"/>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《一般公共预算基本支出表》</w:t>
      </w:r>
    </w:p>
    <w:p>
      <w:pPr>
        <w:pStyle w:val="2"/>
        <w:numPr>
          <w:ilvl w:val="0"/>
          <w:numId w:val="0"/>
        </w:numPr>
        <w:ind w:leftChars="0"/>
      </w:pPr>
      <w:r>
        <w:drawing>
          <wp:inline distT="0" distB="0" distL="114300" distR="114300">
            <wp:extent cx="5562600" cy="6781800"/>
            <wp:effectExtent l="0" t="0" r="0" b="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0"/>
                    <a:stretch>
                      <a:fillRect/>
                    </a:stretch>
                  </pic:blipFill>
                  <pic:spPr>
                    <a:xfrm>
                      <a:off x="0" y="0"/>
                      <a:ext cx="5562600" cy="6781800"/>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rPr>
      </w:pPr>
    </w:p>
    <w:p>
      <w:pPr>
        <w:pStyle w:val="2"/>
        <w:numPr>
          <w:ilvl w:val="0"/>
          <w:numId w:val="1"/>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《一般公共预算“三公”经费支出表》</w:t>
      </w:r>
    </w:p>
    <w:p>
      <w:pPr>
        <w:pStyle w:val="2"/>
        <w:numPr>
          <w:ilvl w:val="0"/>
          <w:numId w:val="0"/>
        </w:numPr>
        <w:ind w:leftChars="0"/>
      </w:pPr>
      <w:r>
        <w:drawing>
          <wp:inline distT="0" distB="0" distL="114300" distR="114300">
            <wp:extent cx="5544820" cy="1377950"/>
            <wp:effectExtent l="0" t="0" r="17780" b="1270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1"/>
                    <a:stretch>
                      <a:fillRect/>
                    </a:stretch>
                  </pic:blipFill>
                  <pic:spPr>
                    <a:xfrm>
                      <a:off x="0" y="0"/>
                      <a:ext cx="5544820" cy="1377950"/>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rPr>
      </w:pPr>
    </w:p>
    <w:p>
      <w:pPr>
        <w:pStyle w:val="2"/>
        <w:numPr>
          <w:ilvl w:val="0"/>
          <w:numId w:val="1"/>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《政府性基金预算支出表》</w:t>
      </w:r>
    </w:p>
    <w:p>
      <w:pPr>
        <w:pStyle w:val="2"/>
        <w:numPr>
          <w:ilvl w:val="0"/>
          <w:numId w:val="0"/>
        </w:numPr>
        <w:ind w:leftChars="0"/>
        <w:rPr>
          <w:rFonts w:hint="eastAsia" w:ascii="仿宋" w:hAnsi="仿宋" w:eastAsia="仿宋" w:cs="仿宋"/>
          <w:sz w:val="32"/>
          <w:szCs w:val="32"/>
        </w:rPr>
      </w:pPr>
      <w:r>
        <w:drawing>
          <wp:inline distT="0" distB="0" distL="114300" distR="114300">
            <wp:extent cx="5537835" cy="1315085"/>
            <wp:effectExtent l="0" t="0" r="5715" b="1841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2"/>
                    <a:stretch>
                      <a:fillRect/>
                    </a:stretch>
                  </pic:blipFill>
                  <pic:spPr>
                    <a:xfrm>
                      <a:off x="0" y="0"/>
                      <a:ext cx="5537835" cy="1315085"/>
                    </a:xfrm>
                    <a:prstGeom prst="rect">
                      <a:avLst/>
                    </a:prstGeom>
                    <a:noFill/>
                    <a:ln>
                      <a:noFill/>
                    </a:ln>
                  </pic:spPr>
                </pic:pic>
              </a:graphicData>
            </a:graphic>
          </wp:inline>
        </w:drawing>
      </w:r>
    </w:p>
    <w:p>
      <w:pPr>
        <w:pStyle w:val="2"/>
        <w:numPr>
          <w:ilvl w:val="0"/>
          <w:numId w:val="0"/>
        </w:numPr>
        <w:ind w:leftChars="0"/>
        <w:rPr>
          <w:rFonts w:hint="eastAsia" w:ascii="仿宋" w:hAnsi="仿宋" w:eastAsia="仿宋" w:cs="仿宋"/>
          <w:sz w:val="32"/>
          <w:szCs w:val="32"/>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560" w:lineRule="exact"/>
        <w:ind w:firstLine="604" w:firstLineChars="189"/>
        <w:rPr>
          <w:rFonts w:ascii="仿宋" w:hAnsi="仿宋" w:eastAsia="仿宋" w:cs="仿宋"/>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bookmarkStart w:id="0" w:name="_GoBack"/>
      <w:bookmarkEnd w:id="0"/>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pStyle w:val="2"/>
        <w:rPr>
          <w:rFonts w:hint="eastAsia"/>
        </w:rPr>
      </w:pPr>
      <w:r>
        <w:rPr>
          <w:rFonts w:hint="eastAsia" w:ascii="仿宋" w:hAnsi="仿宋" w:eastAsia="仿宋" w:cs="仿宋"/>
          <w:sz w:val="32"/>
          <w:szCs w:val="32"/>
        </w:rPr>
        <w:t>（六）死亡抚恤：反映单位遗属人员生活补助。</w:t>
      </w:r>
    </w:p>
    <w:p>
      <w:pPr>
        <w:spacing w:line="560" w:lineRule="exact"/>
        <w:ind w:left="621" w:leftChars="284" w:hanging="25" w:hangingChars="12"/>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B756B"/>
    <w:multiLevelType w:val="singleLevel"/>
    <w:tmpl w:val="92EB756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xNTliOWU3M2M1YzVhYWNiMmEyMTBmMTI5MzViMzEifQ=="/>
  </w:docVars>
  <w:rsids>
    <w:rsidRoot w:val="445E02C8"/>
    <w:rsid w:val="035B6919"/>
    <w:rsid w:val="05351F00"/>
    <w:rsid w:val="097D738C"/>
    <w:rsid w:val="0B6E3B68"/>
    <w:rsid w:val="0C2C5063"/>
    <w:rsid w:val="0D4A4D53"/>
    <w:rsid w:val="0FA6321D"/>
    <w:rsid w:val="0FAB538A"/>
    <w:rsid w:val="11FA73A4"/>
    <w:rsid w:val="16E538DC"/>
    <w:rsid w:val="1EF01D06"/>
    <w:rsid w:val="20E47258"/>
    <w:rsid w:val="20EC0B7D"/>
    <w:rsid w:val="2CAD4098"/>
    <w:rsid w:val="30760C45"/>
    <w:rsid w:val="31D71BB7"/>
    <w:rsid w:val="32F760F8"/>
    <w:rsid w:val="3A724371"/>
    <w:rsid w:val="3E8115E9"/>
    <w:rsid w:val="445E02C8"/>
    <w:rsid w:val="48A01705"/>
    <w:rsid w:val="4A121587"/>
    <w:rsid w:val="4BE8259F"/>
    <w:rsid w:val="52466E64"/>
    <w:rsid w:val="531D5224"/>
    <w:rsid w:val="597F0EAD"/>
    <w:rsid w:val="5AE40F93"/>
    <w:rsid w:val="5C983B6D"/>
    <w:rsid w:val="60E263AE"/>
    <w:rsid w:val="639C03E7"/>
    <w:rsid w:val="736B49A6"/>
    <w:rsid w:val="7E8C3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3049</Words>
  <Characters>3395</Characters>
  <Lines>0</Lines>
  <Paragraphs>0</Paragraphs>
  <TotalTime>3</TotalTime>
  <ScaleCrop>false</ScaleCrop>
  <LinksUpToDate>false</LinksUpToDate>
  <CharactersWithSpaces>3457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cp:lastPrinted>2023-06-16T03:12:00Z</cp:lastPrinted>
  <dcterms:modified xsi:type="dcterms:W3CDTF">2023-06-17T02:21:41Z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70E98266381346118F3FCC06632D277A_13</vt:lpwstr>
  </property>
</Properties>
</file>