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lang w:val="en-US" w:eastAsia="zh-CN"/>
        </w:rPr>
      </w:pPr>
    </w:p>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 xml:space="preserve"> </w:t>
      </w:r>
      <w:r>
        <w:rPr>
          <w:rFonts w:hint="eastAsia" w:ascii="方正小标宋简体" w:hAnsi="方正小标宋简体" w:eastAsia="方正小标宋简体" w:cs="方正小标宋简体"/>
          <w:b w:val="0"/>
          <w:bCs/>
          <w:color w:val="auto"/>
          <w:sz w:val="44"/>
          <w:szCs w:val="44"/>
          <w:lang w:val="en-US" w:eastAsia="zh-CN"/>
        </w:rPr>
        <w:t>兴国县杰村乡卫生院2022年</w:t>
      </w:r>
      <w:r>
        <w:rPr>
          <w:rFonts w:hint="eastAsia" w:ascii="方正小标宋简体" w:hAnsi="方正小标宋简体" w:eastAsia="方正小标宋简体" w:cs="方正小标宋简体"/>
          <w:b w:val="0"/>
          <w:bCs/>
          <w:color w:val="auto"/>
          <w:sz w:val="44"/>
          <w:szCs w:val="44"/>
          <w:lang w:eastAsia="zh-CN"/>
        </w:rPr>
        <w:t>单位</w:t>
      </w:r>
      <w:r>
        <w:rPr>
          <w:rFonts w:hint="eastAsia" w:ascii="方正小标宋简体" w:hAnsi="方正小标宋简体" w:eastAsia="方正小标宋简体" w:cs="方正小标宋简体"/>
          <w:b w:val="0"/>
          <w:bCs/>
          <w:color w:val="auto"/>
          <w:sz w:val="44"/>
          <w:szCs w:val="44"/>
        </w:rPr>
        <w:t>预算</w:t>
      </w:r>
    </w:p>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编制说明</w:t>
      </w:r>
    </w:p>
    <w:p>
      <w:pPr>
        <w:spacing w:line="560" w:lineRule="exact"/>
        <w:jc w:val="center"/>
        <w:rPr>
          <w:rFonts w:hint="eastAsia" w:ascii="黑体" w:hAnsi="黑体" w:eastAsia="黑体" w:cs="黑体"/>
          <w:color w:val="auto"/>
          <w:sz w:val="36"/>
          <w:szCs w:val="36"/>
        </w:rPr>
      </w:pPr>
    </w:p>
    <w:p>
      <w:pPr>
        <w:spacing w:line="560" w:lineRule="exact"/>
        <w:jc w:val="center"/>
        <w:rPr>
          <w:rFonts w:ascii="黑体" w:hAnsi="黑体" w:eastAsia="黑体" w:cs="黑体"/>
          <w:color w:val="auto"/>
          <w:sz w:val="32"/>
          <w:szCs w:val="32"/>
        </w:rPr>
      </w:pPr>
      <w:r>
        <w:rPr>
          <w:rFonts w:hint="eastAsia" w:ascii="黑体" w:hAnsi="黑体" w:eastAsia="黑体" w:cs="黑体"/>
          <w:color w:val="auto"/>
          <w:sz w:val="32"/>
          <w:szCs w:val="32"/>
        </w:rPr>
        <w:t>目  录</w:t>
      </w:r>
    </w:p>
    <w:p>
      <w:pPr>
        <w:spacing w:line="560" w:lineRule="exact"/>
        <w:jc w:val="center"/>
        <w:rPr>
          <w:rFonts w:hint="eastAsia" w:ascii="黑体" w:hAnsi="黑体" w:eastAsia="黑体" w:cs="黑体"/>
          <w:color w:val="auto"/>
          <w:sz w:val="32"/>
          <w:szCs w:val="32"/>
        </w:rPr>
      </w:pP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第一部分 兴国县</w:t>
      </w:r>
      <w:r>
        <w:rPr>
          <w:rFonts w:hint="eastAsia" w:ascii="仿宋" w:hAnsi="仿宋" w:eastAsia="仿宋" w:cs="仿宋"/>
          <w:b/>
          <w:bCs/>
          <w:color w:val="auto"/>
          <w:sz w:val="32"/>
          <w:szCs w:val="32"/>
          <w:lang w:val="en-US" w:eastAsia="zh-CN"/>
        </w:rPr>
        <w:t>杰村乡卫生院</w:t>
      </w:r>
      <w:r>
        <w:rPr>
          <w:rFonts w:hint="eastAsia" w:ascii="仿宋" w:hAnsi="仿宋" w:eastAsia="仿宋" w:cs="仿宋"/>
          <w:b/>
          <w:bCs/>
          <w:color w:val="auto"/>
          <w:sz w:val="32"/>
          <w:szCs w:val="32"/>
          <w:lang w:eastAsia="zh-CN"/>
        </w:rPr>
        <w:t>单位</w:t>
      </w:r>
      <w:r>
        <w:rPr>
          <w:rFonts w:hint="eastAsia" w:ascii="仿宋" w:hAnsi="仿宋" w:eastAsia="仿宋" w:cs="仿宋"/>
          <w:b/>
          <w:bCs/>
          <w:color w:val="auto"/>
          <w:sz w:val="32"/>
          <w:szCs w:val="32"/>
        </w:rPr>
        <w:t>概况</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主要职责</w:t>
      </w:r>
    </w:p>
    <w:p>
      <w:pPr>
        <w:numPr>
          <w:ilvl w:val="0"/>
          <w:numId w:val="1"/>
        </w:num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基本情况</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杰村乡卫生院</w:t>
      </w:r>
      <w:r>
        <w:rPr>
          <w:rFonts w:hint="eastAsia" w:ascii="仿宋" w:hAnsi="仿宋" w:eastAsia="仿宋" w:cs="仿宋"/>
          <w:b/>
          <w:bCs/>
          <w:color w:val="auto"/>
          <w:sz w:val="32"/>
          <w:szCs w:val="32"/>
        </w:rPr>
        <w:t>单位预算情况说明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b w:val="0"/>
          <w:bCs w:val="0"/>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预算收支情况说明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年“三公”经费预算情况说明</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杰村乡卫生院</w:t>
      </w:r>
      <w:r>
        <w:rPr>
          <w:rFonts w:hint="eastAsia" w:ascii="仿宋" w:hAnsi="仿宋" w:eastAsia="仿宋" w:cs="仿宋"/>
          <w:b/>
          <w:bCs/>
          <w:color w:val="auto"/>
          <w:sz w:val="32"/>
          <w:szCs w:val="32"/>
        </w:rPr>
        <w:t>单位预算表</w:t>
      </w:r>
    </w:p>
    <w:p>
      <w:pPr>
        <w:numPr>
          <w:ilvl w:val="0"/>
          <w:numId w:val="0"/>
        </w:numPr>
        <w:spacing w:line="560" w:lineRule="exact"/>
        <w:ind w:leftChars="272"/>
      </w:pP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rPr>
        <w:t>《收支预算总表》</w:t>
      </w:r>
    </w:p>
    <w:p>
      <w:pPr>
        <w:numPr>
          <w:ilvl w:val="0"/>
          <w:numId w:val="0"/>
        </w:numPr>
        <w:spacing w:line="560" w:lineRule="exact"/>
        <w:ind w:leftChars="272"/>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rPr>
        <w:t>《部门收入总表》</w:t>
      </w:r>
    </w:p>
    <w:p>
      <w:pPr>
        <w:numPr>
          <w:ilvl w:val="0"/>
          <w:numId w:val="0"/>
        </w:num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《部门支出总表》</w:t>
      </w:r>
    </w:p>
    <w:p>
      <w:pPr>
        <w:numPr>
          <w:ilvl w:val="0"/>
          <w:numId w:val="0"/>
        </w:num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《财政拨款收支总表》</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八、《政府性基金预算支出表》</w:t>
      </w:r>
    </w:p>
    <w:p>
      <w:pPr>
        <w:numPr>
          <w:ilvl w:val="0"/>
          <w:numId w:val="0"/>
        </w:numPr>
        <w:spacing w:line="560" w:lineRule="exact"/>
        <w:ind w:firstLine="64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九、</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国有资本经营</w:t>
      </w:r>
      <w:r>
        <w:rPr>
          <w:rFonts w:hint="eastAsia" w:ascii="仿宋" w:hAnsi="仿宋" w:eastAsia="仿宋" w:cs="仿宋"/>
          <w:color w:val="auto"/>
          <w:sz w:val="32"/>
          <w:szCs w:val="32"/>
        </w:rPr>
        <w:t>预算支出表》</w:t>
      </w:r>
    </w:p>
    <w:p>
      <w:pPr>
        <w:numPr>
          <w:ilvl w:val="0"/>
          <w:numId w:val="0"/>
        </w:numPr>
        <w:spacing w:line="560" w:lineRule="exact"/>
        <w:ind w:firstLine="64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十、</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部门</w:t>
      </w:r>
      <w:bookmarkStart w:id="0" w:name="_GoBack"/>
      <w:bookmarkEnd w:id="0"/>
      <w:r>
        <w:rPr>
          <w:rFonts w:hint="eastAsia" w:ascii="仿宋" w:hAnsi="仿宋" w:eastAsia="仿宋" w:cs="仿宋"/>
          <w:color w:val="auto"/>
          <w:sz w:val="32"/>
          <w:szCs w:val="32"/>
        </w:rPr>
        <w:t>整体支出绩效目标表》</w:t>
      </w:r>
    </w:p>
    <w:p>
      <w:pPr>
        <w:pStyle w:val="2"/>
        <w:rPr>
          <w:rFonts w:hint="default" w:eastAsia="仿宋"/>
          <w:lang w:val="en-US" w:eastAsia="zh-CN"/>
        </w:rPr>
      </w:pPr>
      <w:r>
        <w:rPr>
          <w:rFonts w:hint="eastAsia" w:ascii="仿宋" w:hAnsi="仿宋" w:eastAsia="仿宋" w:cs="仿宋"/>
          <w:color w:val="auto"/>
          <w:sz w:val="32"/>
          <w:szCs w:val="32"/>
          <w:lang w:val="en-US" w:eastAsia="zh-CN"/>
        </w:rPr>
        <w:t xml:space="preserve">     十一、</w:t>
      </w:r>
      <w:r>
        <w:rPr>
          <w:rFonts w:hint="eastAsia" w:ascii="仿宋" w:hAnsi="仿宋" w:eastAsia="仿宋" w:cs="仿宋"/>
          <w:color w:val="auto"/>
          <w:sz w:val="32"/>
          <w:szCs w:val="32"/>
        </w:rPr>
        <w:t>《项目支出绩效目标表》</w:t>
      </w:r>
    </w:p>
    <w:p>
      <w:pPr>
        <w:numPr>
          <w:ilvl w:val="0"/>
          <w:numId w:val="0"/>
        </w:numPr>
        <w:spacing w:line="56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第四部分 名词解释</w:t>
      </w: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第一部分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兴国县</w:t>
      </w:r>
      <w:r>
        <w:rPr>
          <w:rFonts w:hint="eastAsia" w:ascii="仿宋" w:hAnsi="仿宋" w:eastAsia="仿宋" w:cs="仿宋"/>
          <w:b/>
          <w:bCs/>
          <w:color w:val="auto"/>
          <w:sz w:val="32"/>
          <w:szCs w:val="32"/>
          <w:lang w:val="en-US" w:eastAsia="zh-CN"/>
        </w:rPr>
        <w:t>杰村乡卫生院</w:t>
      </w:r>
      <w:r>
        <w:rPr>
          <w:rFonts w:hint="eastAsia" w:ascii="黑体" w:hAnsi="黑体" w:eastAsia="黑体" w:cs="黑体"/>
          <w:b w:val="0"/>
          <w:bCs w:val="0"/>
          <w:color w:val="auto"/>
          <w:sz w:val="32"/>
          <w:szCs w:val="32"/>
          <w:lang w:eastAsia="zh-CN"/>
        </w:rPr>
        <w:t>单位</w:t>
      </w:r>
      <w:r>
        <w:rPr>
          <w:rFonts w:hint="eastAsia" w:ascii="黑体" w:hAnsi="黑体" w:eastAsia="黑体" w:cs="黑体"/>
          <w:b w:val="0"/>
          <w:bCs w:val="0"/>
          <w:color w:val="auto"/>
          <w:sz w:val="32"/>
          <w:szCs w:val="32"/>
        </w:rPr>
        <w:t>部门概况</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一、部门主要职责</w:t>
      </w:r>
    </w:p>
    <w:p>
      <w:pPr>
        <w:spacing w:line="560" w:lineRule="exact"/>
        <w:ind w:firstLine="640" w:firstLineChars="200"/>
        <w:rPr>
          <w:rFonts w:ascii="仿宋" w:hAnsi="仿宋" w:eastAsia="仿宋" w:cs="仿宋"/>
          <w:color w:val="auto"/>
          <w:sz w:val="24"/>
          <w:szCs w:val="24"/>
        </w:rPr>
      </w:pPr>
      <w:r>
        <w:rPr>
          <w:rFonts w:hint="eastAsia" w:ascii="仿宋" w:hAnsi="仿宋" w:eastAsia="仿宋" w:cs="仿宋"/>
          <w:sz w:val="32"/>
          <w:szCs w:val="32"/>
        </w:rPr>
        <w:t>兴国县</w:t>
      </w:r>
      <w:r>
        <w:rPr>
          <w:rFonts w:hint="eastAsia" w:ascii="仿宋" w:hAnsi="仿宋" w:eastAsia="仿宋" w:cs="仿宋"/>
          <w:sz w:val="32"/>
          <w:szCs w:val="32"/>
          <w:lang w:val="en-US" w:eastAsia="zh-CN"/>
        </w:rPr>
        <w:t>杰村乡</w:t>
      </w:r>
      <w:r>
        <w:rPr>
          <w:rFonts w:hint="eastAsia" w:ascii="仿宋" w:hAnsi="仿宋" w:eastAsia="仿宋" w:cs="仿宋"/>
          <w:sz w:val="32"/>
          <w:szCs w:val="32"/>
          <w:lang w:eastAsia="zh-CN"/>
        </w:rPr>
        <w:t>卫生</w:t>
      </w:r>
      <w:r>
        <w:rPr>
          <w:rFonts w:hint="eastAsia" w:ascii="仿宋" w:hAnsi="仿宋" w:eastAsia="仿宋" w:cs="仿宋"/>
          <w:sz w:val="32"/>
          <w:szCs w:val="32"/>
        </w:rPr>
        <w:t>院是县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保健的重要任务，是直接解决农村看病难看病贵的重要一关。我</w:t>
      </w:r>
      <w:r>
        <w:rPr>
          <w:rFonts w:hint="eastAsia" w:ascii="仿宋" w:hAnsi="仿宋" w:eastAsia="仿宋" w:cs="仿宋"/>
          <w:sz w:val="32"/>
          <w:szCs w:val="32"/>
          <w:lang w:val="en-US" w:eastAsia="zh-CN"/>
        </w:rPr>
        <w:t>乡</w:t>
      </w:r>
      <w:r>
        <w:rPr>
          <w:rFonts w:hint="eastAsia" w:ascii="仿宋" w:hAnsi="仿宋" w:eastAsia="仿宋" w:cs="仿宋"/>
          <w:sz w:val="32"/>
          <w:szCs w:val="32"/>
        </w:rPr>
        <w:t>卫生院应承担本</w:t>
      </w:r>
      <w:r>
        <w:rPr>
          <w:rFonts w:hint="eastAsia" w:ascii="仿宋" w:hAnsi="仿宋" w:eastAsia="仿宋" w:cs="仿宋"/>
          <w:sz w:val="32"/>
          <w:szCs w:val="32"/>
          <w:lang w:eastAsia="zh-CN"/>
        </w:rPr>
        <w:t>乡</w:t>
      </w:r>
      <w:r>
        <w:rPr>
          <w:rFonts w:hint="eastAsia" w:ascii="仿宋" w:hAnsi="仿宋" w:eastAsia="仿宋" w:cs="仿宋"/>
          <w:sz w:val="32"/>
          <w:szCs w:val="32"/>
        </w:rPr>
        <w:t>的各项医疗卫生服务和一定的卫生行政管理工作</w:t>
      </w:r>
      <w:r>
        <w:rPr>
          <w:rFonts w:hint="eastAsia" w:ascii="仿宋" w:hAnsi="仿宋" w:eastAsia="仿宋" w:cs="仿宋"/>
          <w:color w:val="000000"/>
          <w:sz w:val="32"/>
          <w:szCs w:val="32"/>
        </w:rPr>
        <w:t>。</w:t>
      </w: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二、部门基本情况</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 w:hAnsi="仿宋" w:eastAsia="仿宋" w:cs="仿宋"/>
          <w:color w:val="auto"/>
          <w:sz w:val="24"/>
          <w:szCs w:val="24"/>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b w:val="0"/>
          <w:bCs w:val="0"/>
          <w:color w:val="auto"/>
          <w:sz w:val="32"/>
          <w:szCs w:val="32"/>
          <w:lang w:val="en-US" w:eastAsia="zh-CN"/>
        </w:rPr>
        <w:t>杰村乡卫生院</w:t>
      </w:r>
      <w:r>
        <w:rPr>
          <w:rFonts w:hint="eastAsia" w:ascii="仿宋" w:hAnsi="仿宋" w:eastAsia="仿宋"/>
          <w:color w:val="auto"/>
          <w:sz w:val="32"/>
          <w:szCs w:val="32"/>
          <w:lang w:eastAsia="zh-CN"/>
        </w:rPr>
        <w:t>单位内设</w:t>
      </w:r>
      <w:r>
        <w:rPr>
          <w:rFonts w:hint="eastAsia" w:ascii="仿宋" w:hAnsi="仿宋" w:eastAsia="仿宋"/>
          <w:color w:val="auto"/>
          <w:sz w:val="32"/>
          <w:szCs w:val="32"/>
          <w:lang w:val="en-US" w:eastAsia="zh-CN"/>
        </w:rPr>
        <w:t>科室</w:t>
      </w:r>
      <w:r>
        <w:rPr>
          <w:rFonts w:hint="eastAsia" w:ascii="仿宋" w:hAnsi="仿宋" w:eastAsia="仿宋"/>
          <w:color w:val="auto"/>
          <w:sz w:val="32"/>
          <w:szCs w:val="32"/>
          <w:u w:val="none"/>
          <w:lang w:val="en-US" w:eastAsia="zh-CN"/>
        </w:rPr>
        <w:t>10</w:t>
      </w:r>
      <w:r>
        <w:rPr>
          <w:rFonts w:ascii="仿宋" w:hAnsi="仿宋" w:eastAsia="仿宋"/>
          <w:color w:val="auto"/>
          <w:sz w:val="32"/>
          <w:szCs w:val="32"/>
        </w:rPr>
        <w:t>个，包括</w:t>
      </w:r>
      <w:r>
        <w:rPr>
          <w:rFonts w:hint="eastAsia" w:ascii="仿宋" w:hAnsi="仿宋" w:eastAsia="仿宋"/>
          <w:color w:val="auto"/>
          <w:sz w:val="32"/>
          <w:szCs w:val="32"/>
        </w:rPr>
        <w:t>：</w:t>
      </w:r>
      <w:r>
        <w:rPr>
          <w:rFonts w:hint="eastAsia" w:ascii="仿宋" w:hAnsi="仿宋" w:eastAsia="仿宋"/>
          <w:color w:val="auto"/>
          <w:sz w:val="32"/>
          <w:szCs w:val="32"/>
          <w:lang w:val="en-US" w:eastAsia="zh-CN"/>
        </w:rPr>
        <w:t>内外科、儿科、妇产科、B超室、收费室、护理组、中医馆、财务室、公卫科、办公室。</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${page400644146.ds532982397_REP_JX_BAS_AGENCY_INFO_ZYFRS_S_BZRSXJ}</w:instrText>
      </w:r>
      <w:r>
        <w:rPr>
          <w:rFonts w:ascii="仿宋" w:hAnsi="仿宋" w:eastAsia="仿宋"/>
          <w:color w:val="auto"/>
          <w:sz w:val="32"/>
          <w:szCs w:val="32"/>
        </w:rPr>
        <w:fldChar w:fldCharType="separate"/>
      </w:r>
      <w:r>
        <w:rPr>
          <w:rFonts w:ascii="仿宋" w:hAnsi="仿宋" w:eastAsia="仿宋"/>
          <w:color w:val="auto"/>
          <w:sz w:val="32"/>
          <w:szCs w:val="32"/>
        </w:rPr>
        <w:t>编制人数小计</w:t>
      </w:r>
      <w:r>
        <w:rPr>
          <w:rFonts w:hint="eastAsia" w:ascii="仿宋" w:hAnsi="仿宋" w:eastAsia="仿宋"/>
          <w:color w:val="auto"/>
          <w:sz w:val="32"/>
          <w:szCs w:val="32"/>
          <w:lang w:val="en-US" w:eastAsia="zh-CN"/>
        </w:rPr>
        <w:t>21</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${page400644146.ds532982397_REP_JX_BAS_AGENCY_INFO_ZYFRS_S_BZRSMX}</w:instrText>
      </w:r>
      <w:r>
        <w:rPr>
          <w:rFonts w:ascii="仿宋" w:hAnsi="仿宋" w:eastAsia="仿宋"/>
          <w:color w:val="auto"/>
          <w:sz w:val="32"/>
          <w:szCs w:val="32"/>
        </w:rPr>
        <w:fldChar w:fldCharType="separate"/>
      </w:r>
      <w:r>
        <w:rPr>
          <w:rFonts w:ascii="仿宋" w:hAnsi="仿宋" w:eastAsia="仿宋"/>
          <w:color w:val="auto"/>
          <w:sz w:val="32"/>
          <w:szCs w:val="32"/>
        </w:rPr>
        <w:t>行政编制人数</w:t>
      </w:r>
      <w:r>
        <w:rPr>
          <w:rFonts w:hint="eastAsia" w:ascii="仿宋" w:hAnsi="仿宋" w:eastAsia="仿宋" w:cs="Times New Roman"/>
          <w:color w:val="auto"/>
          <w:kern w:val="0"/>
          <w:sz w:val="32"/>
          <w:szCs w:val="32"/>
          <w:u w:val="none"/>
          <w:lang w:val="en-US" w:eastAsia="zh-CN"/>
        </w:rPr>
        <w:t>0</w:t>
      </w:r>
      <w:r>
        <w:rPr>
          <w:rFonts w:ascii="仿宋" w:hAnsi="仿宋" w:eastAsia="仿宋"/>
          <w:color w:val="auto"/>
          <w:sz w:val="32"/>
          <w:szCs w:val="32"/>
        </w:rPr>
        <w:t>人,参照公务员管理的事业编制人数</w:t>
      </w:r>
      <w:r>
        <w:rPr>
          <w:rFonts w:hint="eastAsia" w:ascii="仿宋" w:hAnsi="仿宋" w:eastAsia="仿宋"/>
          <w:color w:val="auto"/>
          <w:sz w:val="32"/>
          <w:szCs w:val="32"/>
          <w:lang w:val="en-US" w:eastAsia="zh-CN"/>
        </w:rPr>
        <w:t>0</w:t>
      </w:r>
      <w:r>
        <w:rPr>
          <w:rFonts w:ascii="仿宋" w:hAnsi="仿宋" w:eastAsia="仿宋"/>
          <w:color w:val="auto"/>
          <w:sz w:val="32"/>
          <w:szCs w:val="32"/>
        </w:rPr>
        <w:t>人,</w:t>
      </w:r>
      <w:r>
        <w:rPr>
          <w:rFonts w:hint="eastAsia" w:ascii="仿宋" w:hAnsi="仿宋" w:eastAsia="仿宋"/>
          <w:color w:val="auto"/>
          <w:sz w:val="32"/>
          <w:szCs w:val="32"/>
          <w:lang w:val="en-US" w:eastAsia="zh-CN"/>
        </w:rPr>
        <w:t>差额拨款</w:t>
      </w:r>
      <w:r>
        <w:rPr>
          <w:rFonts w:ascii="仿宋" w:hAnsi="仿宋" w:eastAsia="仿宋"/>
          <w:color w:val="auto"/>
          <w:sz w:val="32"/>
          <w:szCs w:val="32"/>
        </w:rPr>
        <w:t>事业编制人数</w:t>
      </w:r>
      <w:r>
        <w:rPr>
          <w:rFonts w:hint="eastAsia" w:ascii="仿宋" w:hAnsi="仿宋" w:eastAsia="仿宋"/>
          <w:color w:val="auto"/>
          <w:sz w:val="32"/>
          <w:szCs w:val="32"/>
          <w:lang w:val="en-US" w:eastAsia="zh-CN"/>
        </w:rPr>
        <w:t>21</w:t>
      </w:r>
      <w:r>
        <w:rPr>
          <w:rFonts w:ascii="仿宋" w:hAnsi="仿宋" w:eastAsia="仿宋"/>
          <w:color w:val="auto"/>
          <w:sz w:val="32"/>
          <w:szCs w:val="32"/>
        </w:rPr>
        <w:t>人,自收自支编制人数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${page400644146.ds532982397_REP_JX_BAS_AGENCY_INFO_ZYFRS_S_SYRSXJ}</w:instrText>
      </w:r>
      <w:r>
        <w:rPr>
          <w:rFonts w:ascii="仿宋" w:hAnsi="仿宋" w:eastAsia="仿宋"/>
          <w:color w:val="auto"/>
          <w:sz w:val="32"/>
          <w:szCs w:val="32"/>
        </w:rPr>
        <w:fldChar w:fldCharType="separate"/>
      </w:r>
      <w:r>
        <w:rPr>
          <w:rFonts w:ascii="仿宋" w:hAnsi="仿宋" w:eastAsia="仿宋"/>
          <w:color w:val="auto"/>
          <w:sz w:val="32"/>
          <w:szCs w:val="32"/>
        </w:rPr>
        <w:t>实有人数小计</w:t>
      </w:r>
      <w:r>
        <w:rPr>
          <w:rFonts w:hint="eastAsia" w:ascii="仿宋" w:hAnsi="仿宋" w:eastAsia="仿宋"/>
          <w:color w:val="auto"/>
          <w:sz w:val="32"/>
          <w:szCs w:val="32"/>
          <w:lang w:val="en-US" w:eastAsia="zh-CN"/>
        </w:rPr>
        <w:t>25</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${page400644146.ds532982397_REP_JX_BAS_AGENCY_INFO_ZYFRS_S_ZZRSXJ}</w:instrText>
      </w:r>
      <w:r>
        <w:rPr>
          <w:rFonts w:ascii="仿宋" w:hAnsi="仿宋" w:eastAsia="仿宋"/>
          <w:color w:val="auto"/>
          <w:sz w:val="32"/>
          <w:szCs w:val="32"/>
        </w:rPr>
        <w:fldChar w:fldCharType="separate"/>
      </w:r>
      <w:r>
        <w:rPr>
          <w:rFonts w:ascii="仿宋" w:hAnsi="仿宋" w:eastAsia="仿宋"/>
          <w:color w:val="auto"/>
          <w:sz w:val="32"/>
          <w:szCs w:val="32"/>
        </w:rPr>
        <w:t>在职人数小计</w:t>
      </w:r>
      <w:r>
        <w:rPr>
          <w:rFonts w:hint="eastAsia" w:ascii="仿宋" w:hAnsi="仿宋" w:eastAsia="仿宋" w:cs="Times New Roman"/>
          <w:color w:val="auto"/>
          <w:kern w:val="0"/>
          <w:sz w:val="32"/>
          <w:szCs w:val="32"/>
          <w:lang w:val="en-US" w:eastAsia="zh-CN"/>
        </w:rPr>
        <w:t>25</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${page400644146.ds532982397_REP_JX_BAS_AGENCY_INFO_ZYFRS_S_ZZRSMX}</w:instrText>
      </w:r>
      <w:r>
        <w:rPr>
          <w:rFonts w:ascii="仿宋" w:hAnsi="仿宋" w:eastAsia="仿宋"/>
          <w:color w:val="auto"/>
          <w:sz w:val="32"/>
          <w:szCs w:val="32"/>
        </w:rPr>
        <w:fldChar w:fldCharType="separate"/>
      </w:r>
      <w:r>
        <w:rPr>
          <w:rFonts w:ascii="仿宋" w:hAnsi="仿宋" w:eastAsia="仿宋"/>
          <w:color w:val="auto"/>
          <w:sz w:val="32"/>
          <w:szCs w:val="32"/>
        </w:rPr>
        <w:t>行政在职人数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人,参照公务员管理的事业单位在职人数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w:t>
      </w:r>
      <w:r>
        <w:rPr>
          <w:rFonts w:hint="eastAsia" w:ascii="仿宋" w:hAnsi="仿宋" w:eastAsia="仿宋"/>
          <w:color w:val="auto"/>
          <w:sz w:val="32"/>
          <w:szCs w:val="32"/>
          <w:lang w:val="en-US" w:eastAsia="zh-CN"/>
        </w:rPr>
        <w:t>差额拨款</w:t>
      </w:r>
      <w:r>
        <w:rPr>
          <w:rFonts w:ascii="仿宋" w:hAnsi="仿宋" w:eastAsia="仿宋"/>
          <w:color w:val="auto"/>
          <w:sz w:val="32"/>
          <w:szCs w:val="32"/>
        </w:rPr>
        <w:t>事业在职人数</w:t>
      </w:r>
      <w:r>
        <w:rPr>
          <w:rFonts w:hint="eastAsia" w:ascii="仿宋" w:hAnsi="仿宋" w:eastAsia="仿宋" w:cs="Times New Roman"/>
          <w:color w:val="auto"/>
          <w:kern w:val="0"/>
          <w:sz w:val="32"/>
          <w:szCs w:val="32"/>
          <w:lang w:val="en-US" w:eastAsia="zh-CN"/>
        </w:rPr>
        <w:t>25</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${page400644146.ds532982397_REP_JX_BAS_AGENCY_INFO_ZYFRS_S_QTRSMX}</w:instrText>
      </w:r>
      <w:r>
        <w:rPr>
          <w:rFonts w:ascii="仿宋" w:hAnsi="仿宋" w:eastAsia="仿宋"/>
          <w:color w:val="auto"/>
          <w:sz w:val="32"/>
          <w:szCs w:val="32"/>
        </w:rPr>
        <w:fldChar w:fldCharType="separate"/>
      </w:r>
      <w:r>
        <w:rPr>
          <w:rFonts w:ascii="仿宋" w:hAnsi="仿宋" w:eastAsia="仿宋"/>
          <w:color w:val="auto"/>
          <w:sz w:val="32"/>
          <w:szCs w:val="32"/>
        </w:rPr>
        <w:t>离休人数小计</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人,退休人数小计</w:t>
      </w:r>
      <w:r>
        <w:rPr>
          <w:rFonts w:hint="eastAsia" w:ascii="仿宋" w:hAnsi="仿宋" w:eastAsia="仿宋"/>
          <w:color w:val="auto"/>
          <w:sz w:val="32"/>
          <w:szCs w:val="32"/>
          <w:lang w:val="en-US" w:eastAsia="zh-CN"/>
        </w:rPr>
        <w:t>6</w:t>
      </w:r>
      <w:r>
        <w:rPr>
          <w:rFonts w:ascii="仿宋" w:hAnsi="仿宋" w:eastAsia="仿宋"/>
          <w:color w:val="auto"/>
          <w:sz w:val="32"/>
          <w:szCs w:val="32"/>
        </w:rPr>
        <w:t>人,退职人员</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人,遗属人数</w:t>
      </w:r>
      <w:r>
        <w:rPr>
          <w:rFonts w:hint="eastAsia" w:ascii="仿宋" w:hAnsi="仿宋" w:eastAsia="仿宋"/>
          <w:color w:val="auto"/>
          <w:sz w:val="32"/>
          <w:szCs w:val="32"/>
          <w:lang w:val="en-US" w:eastAsia="zh-CN"/>
        </w:rPr>
        <w:t>3</w:t>
      </w:r>
      <w:r>
        <w:rPr>
          <w:rFonts w:ascii="仿宋" w:hAnsi="仿宋" w:eastAsia="仿宋"/>
          <w:color w:val="auto"/>
          <w:sz w:val="32"/>
          <w:szCs w:val="32"/>
        </w:rPr>
        <w:t>人。</w:t>
      </w:r>
      <w:r>
        <w:rPr>
          <w:color w:val="auto"/>
        </w:rPr>
        <w:fldChar w:fldCharType="end"/>
      </w:r>
    </w:p>
    <w:p>
      <w:pPr>
        <w:spacing w:line="560" w:lineRule="exact"/>
        <w:rPr>
          <w:rFonts w:ascii="仿宋" w:hAnsi="仿宋" w:eastAsia="仿宋" w:cs="仿宋"/>
          <w:color w:val="auto"/>
          <w:sz w:val="32"/>
          <w:szCs w:val="32"/>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第二部分 兴国县</w:t>
      </w:r>
      <w:r>
        <w:rPr>
          <w:rFonts w:hint="eastAsia" w:ascii="仿宋" w:hAnsi="仿宋" w:eastAsia="仿宋" w:cs="仿宋"/>
          <w:b/>
          <w:bCs/>
          <w:color w:val="auto"/>
          <w:sz w:val="32"/>
          <w:szCs w:val="32"/>
          <w:lang w:val="en-US" w:eastAsia="zh-CN"/>
        </w:rPr>
        <w:t>杰村乡卫生院</w:t>
      </w:r>
      <w:r>
        <w:rPr>
          <w:rFonts w:hint="eastAsia" w:ascii="黑体" w:hAnsi="黑体" w:eastAsia="黑体" w:cs="黑体"/>
          <w:b w:val="0"/>
          <w:bCs w:val="0"/>
          <w:color w:val="auto"/>
          <w:sz w:val="32"/>
          <w:szCs w:val="32"/>
          <w:lang w:eastAsia="zh-CN"/>
        </w:rPr>
        <w:t>单位</w:t>
      </w:r>
      <w:r>
        <w:rPr>
          <w:rFonts w:hint="eastAsia" w:ascii="黑体" w:hAnsi="黑体" w:eastAsia="黑体" w:cs="黑体"/>
          <w:b w:val="0"/>
          <w:bCs w:val="0"/>
          <w:color w:val="auto"/>
          <w:sz w:val="32"/>
          <w:szCs w:val="32"/>
        </w:rPr>
        <w:t>预算情况说明</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2022</w:t>
      </w:r>
      <w:r>
        <w:rPr>
          <w:rFonts w:hint="eastAsia" w:ascii="楷体" w:hAnsi="楷体" w:eastAsia="楷体" w:cs="楷体"/>
          <w:b/>
          <w:bCs/>
          <w:color w:val="auto"/>
          <w:sz w:val="32"/>
          <w:szCs w:val="32"/>
        </w:rPr>
        <w:t>年</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预算收支情况说明</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（一）收入预算情况</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0"/>
          <w:szCs w:val="30"/>
          <w:lang w:eastAsia="zh-CN"/>
        </w:rPr>
        <w:t>本单位收入</w:t>
      </w:r>
      <w:r>
        <w:rPr>
          <w:rFonts w:hint="eastAsia" w:ascii="仿宋" w:hAnsi="仿宋" w:eastAsia="仿宋" w:cs="仿宋"/>
          <w:color w:val="auto"/>
          <w:sz w:val="30"/>
          <w:szCs w:val="30"/>
        </w:rPr>
        <w:t>预算</w:t>
      </w:r>
      <w:r>
        <w:rPr>
          <w:rFonts w:hint="eastAsia" w:ascii="仿宋" w:hAnsi="仿宋" w:eastAsia="仿宋" w:cs="仿宋"/>
          <w:color w:val="auto"/>
          <w:sz w:val="30"/>
          <w:szCs w:val="30"/>
          <w:lang w:eastAsia="zh-CN"/>
        </w:rPr>
        <w:t>总额</w:t>
      </w:r>
      <w:r>
        <w:rPr>
          <w:rFonts w:hint="eastAsia" w:ascii="仿宋" w:hAnsi="仿宋" w:eastAsia="仿宋" w:cs="仿宋"/>
          <w:sz w:val="32"/>
          <w:szCs w:val="32"/>
          <w:lang w:val="en-US" w:eastAsia="zh-CN"/>
        </w:rPr>
        <w:t>674.59</w:t>
      </w:r>
      <w:r>
        <w:rPr>
          <w:rFonts w:hint="eastAsia" w:ascii="仿宋" w:hAnsi="仿宋" w:eastAsia="仿宋" w:cs="仿宋"/>
          <w:color w:val="auto"/>
          <w:sz w:val="30"/>
          <w:szCs w:val="30"/>
        </w:rPr>
        <w:t>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102.26</w:t>
      </w:r>
      <w:r>
        <w:rPr>
          <w:rFonts w:hint="eastAsia" w:ascii="仿宋" w:hAnsi="仿宋" w:eastAsia="仿宋" w:cs="仿宋"/>
          <w:color w:val="auto"/>
          <w:sz w:val="32"/>
          <w:szCs w:val="32"/>
          <w:lang w:eastAsia="zh-CN"/>
        </w:rPr>
        <w:t>万元，减少</w:t>
      </w:r>
      <w:r>
        <w:rPr>
          <w:rFonts w:hint="eastAsia" w:ascii="仿宋" w:hAnsi="仿宋" w:eastAsia="仿宋" w:cs="仿宋"/>
          <w:color w:val="auto"/>
          <w:sz w:val="32"/>
          <w:szCs w:val="32"/>
          <w:lang w:val="en-US" w:eastAsia="zh-CN"/>
        </w:rPr>
        <w:t>13.16%</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 w:hAnsi="仿宋" w:eastAsia="仿宋" w:cs="仿宋"/>
          <w:color w:val="auto"/>
          <w:sz w:val="32"/>
          <w:szCs w:val="32"/>
          <w:lang w:val="en-US" w:eastAsia="zh-CN"/>
        </w:rPr>
        <w:t>医疗业务收入受疫情影响有所减少</w:t>
      </w:r>
      <w:r>
        <w:rPr>
          <w:rFonts w:hint="eastAsia" w:ascii="仿宋" w:hAnsi="仿宋" w:eastAsia="仿宋" w:cs="仿宋"/>
          <w:color w:val="auto"/>
          <w:sz w:val="32"/>
          <w:szCs w:val="32"/>
          <w:lang w:eastAsia="zh-CN"/>
        </w:rPr>
        <w:t>。</w:t>
      </w:r>
    </w:p>
    <w:p>
      <w:pPr>
        <w:spacing w:line="560" w:lineRule="exact"/>
        <w:ind w:firstLine="600" w:firstLineChars="200"/>
        <w:rPr>
          <w:rFonts w:hint="default"/>
          <w:lang w:val="en-US" w:eastAsia="zh-CN"/>
        </w:rPr>
      </w:pPr>
      <w:r>
        <w:rPr>
          <w:rFonts w:hint="eastAsia" w:ascii="仿宋" w:hAnsi="仿宋" w:eastAsia="仿宋" w:cs="仿宋"/>
          <w:color w:val="auto"/>
          <w:sz w:val="30"/>
          <w:szCs w:val="30"/>
        </w:rPr>
        <w:t>具体为：</w:t>
      </w:r>
      <w:r>
        <w:rPr>
          <w:rFonts w:hint="eastAsia" w:ascii="仿宋" w:hAnsi="仿宋" w:eastAsia="仿宋" w:cs="仿宋"/>
          <w:color w:val="auto"/>
          <w:sz w:val="30"/>
          <w:szCs w:val="30"/>
          <w:lang w:val="en-US" w:eastAsia="zh-CN"/>
        </w:rPr>
        <w:t>财政拨款收入</w:t>
      </w:r>
      <w:r>
        <w:rPr>
          <w:rFonts w:hint="eastAsia" w:ascii="仿宋" w:hAnsi="仿宋" w:eastAsia="仿宋" w:cs="仿宋"/>
          <w:sz w:val="32"/>
          <w:szCs w:val="32"/>
          <w:lang w:val="en-US" w:eastAsia="zh-CN"/>
        </w:rPr>
        <w:t>171.06</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，占收入预算总额的</w:t>
      </w:r>
      <w:r>
        <w:rPr>
          <w:rFonts w:hint="eastAsia" w:ascii="仿宋" w:hAnsi="仿宋" w:eastAsia="仿宋" w:cs="仿宋"/>
          <w:color w:val="auto"/>
          <w:sz w:val="30"/>
          <w:szCs w:val="30"/>
          <w:lang w:val="en-US" w:eastAsia="zh-CN"/>
        </w:rPr>
        <w:t>25.36%，</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0.38万元；事业收入</w:t>
      </w:r>
      <w:r>
        <w:rPr>
          <w:rFonts w:hint="eastAsia" w:ascii="仿宋" w:hAnsi="仿宋" w:eastAsia="仿宋" w:cs="仿宋"/>
          <w:color w:val="000000"/>
          <w:sz w:val="32"/>
          <w:szCs w:val="32"/>
          <w:lang w:val="en-US" w:eastAsia="zh-CN"/>
        </w:rPr>
        <w:t>503.5</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，占收入预算总额的</w:t>
      </w:r>
      <w:r>
        <w:rPr>
          <w:rFonts w:hint="eastAsia" w:ascii="仿宋" w:hAnsi="仿宋" w:eastAsia="仿宋" w:cs="仿宋"/>
          <w:color w:val="auto"/>
          <w:sz w:val="30"/>
          <w:szCs w:val="30"/>
          <w:lang w:val="en-US" w:eastAsia="zh-CN"/>
        </w:rPr>
        <w:t>74.64%，</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val="en-US" w:eastAsia="zh-CN"/>
        </w:rPr>
        <w:t>减少101.88万元。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（二）支出预算情况</w:t>
      </w:r>
    </w:p>
    <w:p>
      <w:pPr>
        <w:spacing w:line="560" w:lineRule="exact"/>
        <w:ind w:firstLine="640" w:firstLineChars="200"/>
        <w:rPr>
          <w:rFonts w:hint="eastAsia" w:ascii="仿宋" w:hAnsi="仿宋" w:eastAsia="仿宋" w:cs="仿宋"/>
          <w:color w:val="auto"/>
          <w:sz w:val="30"/>
          <w:szCs w:val="30"/>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0"/>
          <w:szCs w:val="30"/>
          <w:lang w:eastAsia="zh-CN"/>
        </w:rPr>
        <w:t>本单位</w:t>
      </w:r>
      <w:r>
        <w:rPr>
          <w:rFonts w:hint="eastAsia" w:ascii="仿宋" w:hAnsi="仿宋" w:eastAsia="仿宋" w:cs="仿宋"/>
          <w:color w:val="auto"/>
          <w:sz w:val="30"/>
          <w:szCs w:val="30"/>
        </w:rPr>
        <w:t>支出预算</w:t>
      </w:r>
      <w:r>
        <w:rPr>
          <w:rFonts w:hint="eastAsia" w:ascii="仿宋" w:hAnsi="仿宋" w:eastAsia="仿宋" w:cs="仿宋"/>
          <w:color w:val="auto"/>
          <w:sz w:val="30"/>
          <w:szCs w:val="30"/>
          <w:lang w:eastAsia="zh-CN"/>
        </w:rPr>
        <w:t>总额</w:t>
      </w:r>
      <w:r>
        <w:rPr>
          <w:rFonts w:hint="eastAsia" w:ascii="仿宋" w:hAnsi="仿宋" w:eastAsia="仿宋" w:cs="仿宋"/>
          <w:sz w:val="32"/>
          <w:szCs w:val="32"/>
          <w:lang w:val="en-US" w:eastAsia="zh-CN"/>
        </w:rPr>
        <w:t>674.59</w:t>
      </w:r>
      <w:r>
        <w:rPr>
          <w:rFonts w:hint="eastAsia" w:ascii="仿宋" w:hAnsi="仿宋" w:eastAsia="仿宋" w:cs="仿宋"/>
          <w:color w:val="auto"/>
          <w:sz w:val="30"/>
          <w:szCs w:val="30"/>
        </w:rPr>
        <w:t>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102.26</w:t>
      </w:r>
      <w:r>
        <w:rPr>
          <w:rFonts w:hint="eastAsia" w:ascii="仿宋" w:hAnsi="仿宋" w:eastAsia="仿宋" w:cs="仿宋"/>
          <w:color w:val="auto"/>
          <w:sz w:val="32"/>
          <w:szCs w:val="32"/>
          <w:lang w:eastAsia="zh-CN"/>
        </w:rPr>
        <w:t>万元，减少</w:t>
      </w:r>
      <w:r>
        <w:rPr>
          <w:rFonts w:hint="eastAsia" w:ascii="仿宋" w:hAnsi="仿宋" w:eastAsia="仿宋" w:cs="仿宋"/>
          <w:color w:val="auto"/>
          <w:sz w:val="32"/>
          <w:szCs w:val="32"/>
          <w:lang w:val="en-US" w:eastAsia="zh-CN"/>
        </w:rPr>
        <w:t>13.16%</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 w:hAnsi="仿宋" w:eastAsia="仿宋" w:cs="仿宋"/>
          <w:color w:val="auto"/>
          <w:sz w:val="32"/>
          <w:szCs w:val="32"/>
          <w:lang w:val="en-US" w:eastAsia="zh-CN"/>
        </w:rPr>
        <w:t>医疗业务收入受疫情影响减少</w:t>
      </w:r>
      <w:r>
        <w:rPr>
          <w:rFonts w:hint="eastAsia" w:ascii="仿宋" w:hAnsi="仿宋" w:eastAsia="仿宋" w:cs="仿宋"/>
          <w:color w:val="auto"/>
          <w:sz w:val="32"/>
          <w:szCs w:val="32"/>
          <w:lang w:eastAsia="zh-CN"/>
        </w:rPr>
        <w:t>。</w:t>
      </w:r>
      <w:r>
        <w:rPr>
          <w:rFonts w:hint="eastAsia" w:ascii="仿宋" w:hAnsi="仿宋" w:eastAsia="仿宋" w:cs="仿宋"/>
          <w:color w:val="auto"/>
          <w:sz w:val="30"/>
          <w:szCs w:val="30"/>
        </w:rPr>
        <w:t>具体为：</w:t>
      </w:r>
    </w:p>
    <w:p>
      <w:pPr>
        <w:spacing w:line="560" w:lineRule="exact"/>
        <w:ind w:firstLine="600" w:firstLineChars="200"/>
        <w:rPr>
          <w:rFonts w:hint="eastAsia" w:ascii="仿宋" w:hAnsi="仿宋" w:eastAsia="仿宋" w:cs="仿宋"/>
          <w:color w:val="auto"/>
          <w:sz w:val="24"/>
          <w:szCs w:val="24"/>
          <w:lang w:eastAsia="zh-CN"/>
        </w:rPr>
      </w:pPr>
      <w:r>
        <w:rPr>
          <w:rFonts w:hint="eastAsia" w:ascii="仿宋" w:hAnsi="仿宋" w:eastAsia="仿宋" w:cs="仿宋"/>
          <w:color w:val="auto"/>
          <w:sz w:val="30"/>
          <w:szCs w:val="30"/>
          <w:lang w:eastAsia="zh-CN"/>
        </w:rPr>
        <w:t>按支出项目类别及经济分类科目划分：基本支出</w:t>
      </w:r>
      <w:r>
        <w:rPr>
          <w:rFonts w:hint="eastAsia" w:ascii="仿宋" w:hAnsi="仿宋" w:eastAsia="仿宋" w:cs="仿宋"/>
          <w:sz w:val="32"/>
          <w:szCs w:val="32"/>
          <w:lang w:val="en-US" w:eastAsia="zh-CN"/>
        </w:rPr>
        <w:t>503.5</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1.05</w:t>
      </w:r>
      <w:r>
        <w:rPr>
          <w:rFonts w:hint="eastAsia" w:ascii="仿宋" w:hAnsi="仿宋" w:eastAsia="仿宋" w:cs="仿宋"/>
          <w:color w:val="auto"/>
          <w:sz w:val="32"/>
          <w:szCs w:val="32"/>
          <w:lang w:eastAsia="zh-CN"/>
        </w:rPr>
        <w:t>万元，增加</w:t>
      </w:r>
      <w:r>
        <w:rPr>
          <w:rFonts w:hint="eastAsia" w:ascii="仿宋" w:hAnsi="仿宋" w:eastAsia="仿宋" w:cs="仿宋"/>
          <w:color w:val="auto"/>
          <w:sz w:val="32"/>
          <w:szCs w:val="32"/>
          <w:lang w:val="en-US" w:eastAsia="zh-CN"/>
        </w:rPr>
        <w:t>0.2%</w:t>
      </w:r>
      <w:r>
        <w:rPr>
          <w:rFonts w:hint="eastAsia" w:ascii="仿宋" w:hAnsi="仿宋" w:eastAsia="仿宋" w:cs="仿宋"/>
          <w:color w:val="auto"/>
          <w:sz w:val="32"/>
          <w:szCs w:val="32"/>
        </w:rPr>
        <w:t>。</w:t>
      </w:r>
      <w:r>
        <w:rPr>
          <w:rFonts w:hint="eastAsia" w:ascii="仿宋" w:hAnsi="仿宋" w:eastAsia="仿宋" w:cs="仿宋"/>
          <w:color w:val="auto"/>
          <w:sz w:val="30"/>
          <w:szCs w:val="30"/>
          <w:lang w:eastAsia="zh-CN"/>
        </w:rPr>
        <w:t>其中：工资福利支出</w:t>
      </w:r>
      <w:r>
        <w:rPr>
          <w:rFonts w:hint="eastAsia" w:ascii="仿宋" w:hAnsi="仿宋" w:eastAsia="仿宋" w:cs="仿宋"/>
          <w:sz w:val="32"/>
          <w:szCs w:val="32"/>
          <w:lang w:val="en-US" w:eastAsia="zh-CN"/>
        </w:rPr>
        <w:t>286.8</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占预算总额的42.5%，</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19.88万元；</w:t>
      </w:r>
      <w:r>
        <w:rPr>
          <w:rFonts w:hint="eastAsia" w:ascii="仿宋" w:hAnsi="仿宋" w:eastAsia="仿宋" w:cs="仿宋"/>
          <w:color w:val="auto"/>
          <w:sz w:val="30"/>
          <w:szCs w:val="30"/>
          <w:lang w:val="en-US" w:eastAsia="zh-CN"/>
        </w:rPr>
        <w:t>商品和服务支出</w:t>
      </w:r>
      <w:r>
        <w:rPr>
          <w:rFonts w:hint="eastAsia" w:ascii="仿宋" w:hAnsi="仿宋" w:eastAsia="仿宋" w:cs="仿宋"/>
          <w:sz w:val="32"/>
          <w:szCs w:val="32"/>
          <w:lang w:val="en-US" w:eastAsia="zh-CN"/>
        </w:rPr>
        <w:t>214.7</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占预算总额的31.8%，</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21万元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 xml:space="preserve"> 对个人和家庭的补助 2</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资本性支出</w:t>
      </w:r>
      <w:r>
        <w:rPr>
          <w:rFonts w:hint="eastAsia" w:ascii="仿宋" w:hAnsi="仿宋" w:eastAsia="仿宋" w:cs="仿宋"/>
          <w:sz w:val="32"/>
          <w:szCs w:val="32"/>
          <w:lang w:val="en-US" w:eastAsia="zh-CN"/>
        </w:rPr>
        <w:t>160.4</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占预算总额的23.7%</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114万元</w:t>
      </w:r>
      <w:r>
        <w:rPr>
          <w:rFonts w:hint="eastAsia" w:ascii="仿宋" w:hAnsi="仿宋" w:eastAsia="仿宋" w:cs="仿宋"/>
          <w:color w:val="auto"/>
          <w:sz w:val="30"/>
          <w:szCs w:val="30"/>
          <w:lang w:eastAsia="zh-CN"/>
        </w:rPr>
        <w:t>；项目支出</w:t>
      </w:r>
      <w:r>
        <w:rPr>
          <w:rFonts w:hint="eastAsia" w:ascii="仿宋" w:hAnsi="仿宋" w:eastAsia="仿宋" w:cs="仿宋"/>
          <w:color w:val="auto"/>
          <w:sz w:val="32"/>
          <w:szCs w:val="32"/>
          <w:lang w:val="en-US" w:eastAsia="zh-CN"/>
        </w:rPr>
        <w:t>0</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w:t>
      </w:r>
    </w:p>
    <w:p>
      <w:pPr>
        <w:spacing w:line="560" w:lineRule="exact"/>
        <w:ind w:firstLine="600" w:firstLineChars="200"/>
        <w:rPr>
          <w:rFonts w:hint="eastAsia" w:ascii="仿宋" w:hAnsi="仿宋" w:eastAsia="仿宋" w:cs="仿宋"/>
          <w:color w:val="auto"/>
          <w:sz w:val="24"/>
          <w:szCs w:val="24"/>
          <w:lang w:eastAsia="zh-CN"/>
        </w:rPr>
      </w:pPr>
      <w:r>
        <w:rPr>
          <w:rFonts w:hint="eastAsia" w:ascii="仿宋" w:hAnsi="仿宋" w:eastAsia="仿宋" w:cs="仿宋"/>
          <w:color w:val="auto"/>
          <w:sz w:val="30"/>
          <w:szCs w:val="30"/>
          <w:lang w:eastAsia="zh-CN"/>
        </w:rPr>
        <w:t>按支出功能分类科目划分：</w:t>
      </w:r>
      <w:r>
        <w:rPr>
          <w:rFonts w:hint="eastAsia" w:ascii="仿宋" w:hAnsi="仿宋" w:eastAsia="仿宋" w:cs="仿宋"/>
          <w:sz w:val="32"/>
          <w:szCs w:val="32"/>
        </w:rPr>
        <w:t>社会保障和就业</w:t>
      </w:r>
      <w:r>
        <w:rPr>
          <w:rFonts w:hint="eastAsia" w:ascii="仿宋" w:hAnsi="仿宋" w:eastAsia="仿宋" w:cs="仿宋"/>
          <w:sz w:val="32"/>
          <w:szCs w:val="32"/>
          <w:lang w:val="en-US" w:eastAsia="zh-CN"/>
        </w:rPr>
        <w:t>21.8</w:t>
      </w:r>
      <w:r>
        <w:rPr>
          <w:rFonts w:hint="eastAsia" w:ascii="仿宋" w:hAnsi="仿宋" w:eastAsia="仿宋" w:cs="仿宋"/>
          <w:sz w:val="32"/>
          <w:szCs w:val="32"/>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占预算总额的3.23%</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11.31</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乡镇卫生院652.79</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90.95</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val="en-US" w:eastAsia="zh-CN"/>
        </w:rPr>
        <w:t>占预算总额的96.76%</w:t>
      </w:r>
      <w:r>
        <w:rPr>
          <w:rFonts w:hint="eastAsia" w:ascii="仿宋" w:hAnsi="仿宋" w:eastAsia="仿宋" w:cs="仿宋"/>
          <w:color w:val="auto"/>
          <w:sz w:val="32"/>
          <w:szCs w:val="32"/>
          <w:lang w:eastAsia="zh-CN"/>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（三）财政拨款支出情况</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2022年本单位财政拨款（补助）支出预算171.06万元，占本年支出预算总额的25.35%，较上年预算安排减少0.38万元，减少0.2%。增减变化主要原因是：职工人员减少。</w:t>
      </w:r>
    </w:p>
    <w:p>
      <w:pPr>
        <w:spacing w:line="560" w:lineRule="exac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具体为：按支出经济分类科目划分：基本支出171.06万元，较上年预算安排减少0.38万元，其中：工资福利支出149.31万元，</w:t>
      </w:r>
      <w:r>
        <w:rPr>
          <w:rFonts w:hint="eastAsia" w:ascii="仿宋" w:hAnsi="仿宋" w:eastAsia="仿宋" w:cs="仿宋"/>
          <w:color w:val="auto"/>
          <w:sz w:val="30"/>
          <w:szCs w:val="30"/>
          <w:lang w:val="en-US" w:eastAsia="zh-CN"/>
        </w:rPr>
        <w:t>占财政拨款总额的87.3%，</w:t>
      </w:r>
      <w:r>
        <w:rPr>
          <w:rFonts w:hint="eastAsia" w:ascii="仿宋" w:hAnsi="仿宋" w:eastAsia="仿宋" w:cs="仿宋"/>
          <w:color w:val="auto"/>
          <w:sz w:val="32"/>
          <w:szCs w:val="32"/>
          <w:lang w:val="en-US" w:eastAsia="zh-CN"/>
        </w:rPr>
        <w:t>较上年预算安排减少0.38万元；项目支出0万元，较上年预算安排增加0万元。</w:t>
      </w:r>
    </w:p>
    <w:p>
      <w:pPr>
        <w:spacing w:line="560" w:lineRule="exact"/>
        <w:ind w:firstLine="64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32"/>
          <w:szCs w:val="32"/>
          <w:lang w:val="en-US" w:eastAsia="zh-CN"/>
        </w:rPr>
        <w:t>按支出功能分类科目划分：</w:t>
      </w:r>
      <w:r>
        <w:rPr>
          <w:rFonts w:hint="eastAsia" w:ascii="仿宋" w:hAnsi="仿宋" w:eastAsia="仿宋" w:cs="仿宋"/>
          <w:sz w:val="32"/>
          <w:szCs w:val="32"/>
        </w:rPr>
        <w:t>社会保障和就业</w:t>
      </w:r>
      <w:r>
        <w:rPr>
          <w:rFonts w:hint="eastAsia" w:ascii="仿宋" w:hAnsi="仿宋" w:eastAsia="仿宋" w:cs="仿宋"/>
          <w:sz w:val="32"/>
          <w:szCs w:val="32"/>
          <w:lang w:val="en-US" w:eastAsia="zh-CN"/>
        </w:rPr>
        <w:t>21.8</w:t>
      </w:r>
      <w:r>
        <w:rPr>
          <w:rFonts w:hint="eastAsia" w:ascii="仿宋" w:hAnsi="仿宋" w:eastAsia="仿宋" w:cs="仿宋"/>
          <w:sz w:val="32"/>
          <w:szCs w:val="32"/>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占预算总额的12.7%</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11.31</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乡镇卫生院149.26</w:t>
      </w:r>
      <w:r>
        <w:rPr>
          <w:rFonts w:hint="eastAsia" w:ascii="仿宋" w:hAnsi="仿宋" w:eastAsia="仿宋" w:cs="仿宋"/>
          <w:color w:val="auto"/>
          <w:sz w:val="30"/>
          <w:szCs w:val="30"/>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0"/>
          <w:szCs w:val="30"/>
          <w:lang w:val="en-US" w:eastAsia="zh-CN"/>
        </w:rPr>
        <w:t>占预算总额的87.3%</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1.08</w:t>
      </w:r>
      <w:r>
        <w:rPr>
          <w:rFonts w:hint="eastAsia" w:ascii="仿宋" w:hAnsi="仿宋" w:eastAsia="仿宋" w:cs="仿宋"/>
          <w:color w:val="auto"/>
          <w:sz w:val="32"/>
          <w:szCs w:val="32"/>
          <w:lang w:eastAsia="zh-CN"/>
        </w:rPr>
        <w:t>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（四）政府性基金情况</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政府性基金支出总额</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w:t>
      </w:r>
    </w:p>
    <w:p>
      <w:pPr>
        <w:keepNext w:val="0"/>
        <w:keepLines w:val="0"/>
        <w:widowControl/>
        <w:suppressLineNumbers w:val="0"/>
        <w:ind w:firstLine="622" w:firstLineChars="200"/>
        <w:jc w:val="left"/>
      </w:pPr>
      <w:r>
        <w:rPr>
          <w:rFonts w:ascii="仿宋" w:hAnsi="仿宋" w:eastAsia="仿宋" w:cs="仿宋"/>
          <w:b/>
          <w:bCs/>
          <w:color w:val="000000"/>
          <w:kern w:val="0"/>
          <w:sz w:val="31"/>
          <w:szCs w:val="31"/>
          <w:lang w:val="en-US" w:eastAsia="zh-CN" w:bidi="ar"/>
        </w:rPr>
        <w:t xml:space="preserve">（五）国有资本经营情况 </w:t>
      </w:r>
    </w:p>
    <w:p>
      <w:pPr>
        <w:keepNext w:val="0"/>
        <w:keepLines w:val="0"/>
        <w:widowControl/>
        <w:suppressLineNumbers w:val="0"/>
        <w:ind w:firstLine="620" w:firstLineChars="200"/>
        <w:jc w:val="left"/>
      </w:pPr>
      <w:r>
        <w:rPr>
          <w:rFonts w:hint="eastAsia" w:ascii="仿宋" w:hAnsi="仿宋" w:eastAsia="仿宋" w:cs="仿宋"/>
          <w:color w:val="000000"/>
          <w:kern w:val="0"/>
          <w:sz w:val="31"/>
          <w:szCs w:val="31"/>
          <w:lang w:val="en-US" w:eastAsia="zh-CN" w:bidi="ar"/>
        </w:rPr>
        <w:t xml:space="preserve">2022 年本单位国有资本经营支出预算为 0 万元，本单位 </w:t>
      </w:r>
    </w:p>
    <w:p>
      <w:pPr>
        <w:keepNext w:val="0"/>
        <w:keepLines w:val="0"/>
        <w:widowControl/>
        <w:suppressLineNumbers w:val="0"/>
        <w:jc w:val="left"/>
        <w:rPr>
          <w:rFonts w:hint="eastAsia"/>
        </w:rPr>
      </w:pPr>
      <w:r>
        <w:rPr>
          <w:rFonts w:hint="eastAsia" w:ascii="仿宋" w:hAnsi="仿宋" w:eastAsia="仿宋" w:cs="仿宋"/>
          <w:color w:val="000000"/>
          <w:kern w:val="0"/>
          <w:sz w:val="31"/>
          <w:szCs w:val="31"/>
          <w:lang w:val="en-US" w:eastAsia="zh-CN" w:bidi="ar"/>
        </w:rPr>
        <w:t>无国有资本经营预算收入。</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eastAsia="zh-CN"/>
        </w:rPr>
        <w:t>六</w:t>
      </w:r>
      <w:r>
        <w:rPr>
          <w:rFonts w:hint="eastAsia" w:ascii="仿宋" w:hAnsi="仿宋" w:eastAsia="仿宋" w:cs="仿宋"/>
          <w:b/>
          <w:bCs/>
          <w:color w:val="auto"/>
          <w:sz w:val="32"/>
          <w:szCs w:val="32"/>
        </w:rPr>
        <w:t>）机关运行经费等重要事项的说明</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机关运行费预算</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rPr>
        <w:t>万元，比</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年预算增加</w:t>
      </w:r>
      <w:r>
        <w:rPr>
          <w:rFonts w:hint="eastAsia" w:ascii="仿宋" w:hAnsi="仿宋" w:eastAsia="仿宋" w:cs="仿宋"/>
          <w:color w:val="auto"/>
          <w:sz w:val="32"/>
          <w:szCs w:val="32"/>
          <w:u w:val="none"/>
        </w:rPr>
        <w:t xml:space="preserve"> </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 xml:space="preserve"> </w:t>
      </w:r>
      <w:r>
        <w:rPr>
          <w:rFonts w:hint="eastAsia" w:ascii="仿宋" w:hAnsi="仿宋" w:eastAsia="仿宋" w:cs="仿宋"/>
          <w:color w:val="auto"/>
          <w:sz w:val="32"/>
          <w:szCs w:val="32"/>
        </w:rPr>
        <w:t>万元，增长</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 xml:space="preserve"> </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eastAsia="zh-CN"/>
        </w:rPr>
        <w:t>七</w:t>
      </w:r>
      <w:r>
        <w:rPr>
          <w:rFonts w:hint="eastAsia" w:ascii="仿宋" w:hAnsi="仿宋" w:eastAsia="仿宋" w:cs="仿宋"/>
          <w:b/>
          <w:bCs/>
          <w:color w:val="auto"/>
          <w:sz w:val="32"/>
          <w:szCs w:val="32"/>
        </w:rPr>
        <w:t>）政府采购情况</w:t>
      </w:r>
    </w:p>
    <w:p>
      <w:pPr>
        <w:spacing w:line="560" w:lineRule="exact"/>
        <w:ind w:firstLine="640" w:firstLineChars="200"/>
        <w:rPr>
          <w:rFonts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2022</w:t>
      </w:r>
      <w:r>
        <w:rPr>
          <w:rFonts w:hint="eastAsia" w:ascii="仿宋" w:hAnsi="仿宋" w:eastAsia="仿宋" w:cs="仿宋"/>
          <w:color w:val="auto"/>
          <w:sz w:val="32"/>
          <w:szCs w:val="32"/>
          <w:u w:val="none"/>
        </w:rPr>
        <w:t>年单位政府采购总额</w:t>
      </w:r>
      <w:r>
        <w:rPr>
          <w:rFonts w:hint="eastAsia" w:ascii="仿宋" w:hAnsi="仿宋" w:eastAsia="仿宋" w:cs="仿宋"/>
          <w:sz w:val="32"/>
          <w:szCs w:val="32"/>
          <w:u w:val="none"/>
          <w:lang w:val="en-US" w:eastAsia="zh-CN"/>
        </w:rPr>
        <w:t>160.4</w:t>
      </w:r>
      <w:r>
        <w:rPr>
          <w:rFonts w:hint="eastAsia" w:ascii="仿宋" w:hAnsi="仿宋" w:eastAsia="仿宋" w:cs="仿宋"/>
          <w:color w:val="auto"/>
          <w:sz w:val="32"/>
          <w:szCs w:val="32"/>
          <w:u w:val="none"/>
        </w:rPr>
        <w:t>万元，其中：政府采购货物预算</w:t>
      </w:r>
      <w:r>
        <w:rPr>
          <w:rFonts w:hint="eastAsia" w:ascii="仿宋" w:hAnsi="仿宋" w:eastAsia="仿宋" w:cs="仿宋"/>
          <w:sz w:val="32"/>
          <w:szCs w:val="32"/>
          <w:u w:val="none"/>
          <w:lang w:val="en-US" w:eastAsia="zh-CN"/>
        </w:rPr>
        <w:t>160.4</w:t>
      </w:r>
      <w:r>
        <w:rPr>
          <w:rFonts w:hint="eastAsia" w:ascii="仿宋" w:hAnsi="仿宋" w:eastAsia="仿宋" w:cs="仿宋"/>
          <w:color w:val="auto"/>
          <w:sz w:val="32"/>
          <w:szCs w:val="32"/>
          <w:u w:val="none"/>
        </w:rPr>
        <w:t>万元、政府采购工程预算</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万元、政府采购服务预算</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w:t>
      </w:r>
    </w:p>
    <w:p>
      <w:pPr>
        <w:spacing w:line="560" w:lineRule="exact"/>
        <w:ind w:firstLine="643" w:firstLineChars="200"/>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w:t>
      </w:r>
      <w:r>
        <w:rPr>
          <w:rFonts w:hint="eastAsia" w:ascii="仿宋" w:hAnsi="仿宋" w:eastAsia="仿宋" w:cs="仿宋"/>
          <w:b/>
          <w:bCs/>
          <w:color w:val="auto"/>
          <w:sz w:val="32"/>
          <w:szCs w:val="32"/>
          <w:u w:val="none"/>
          <w:lang w:eastAsia="zh-CN"/>
        </w:rPr>
        <w:t>八</w:t>
      </w:r>
      <w:r>
        <w:rPr>
          <w:rFonts w:hint="eastAsia" w:ascii="仿宋" w:hAnsi="仿宋" w:eastAsia="仿宋" w:cs="仿宋"/>
          <w:b/>
          <w:bCs/>
          <w:color w:val="auto"/>
          <w:sz w:val="32"/>
          <w:szCs w:val="32"/>
          <w:u w:val="none"/>
        </w:rPr>
        <w:t>）国有资产占有使用情况</w:t>
      </w:r>
    </w:p>
    <w:p>
      <w:pPr>
        <w:spacing w:line="560" w:lineRule="exact"/>
        <w:ind w:firstLine="640" w:firstLineChars="200"/>
        <w:rPr>
          <w:rFonts w:ascii="仿宋" w:hAnsi="仿宋" w:eastAsia="仿宋" w:cs="仿宋"/>
          <w:color w:val="auto"/>
          <w:sz w:val="32"/>
          <w:szCs w:val="32"/>
          <w:u w:val="none"/>
        </w:rPr>
      </w:pPr>
      <w:r>
        <w:rPr>
          <w:rFonts w:hint="eastAsia" w:ascii="仿宋" w:hAnsi="仿宋" w:eastAsia="仿宋" w:cs="仿宋"/>
          <w:color w:val="auto"/>
          <w:sz w:val="32"/>
          <w:szCs w:val="32"/>
          <w:u w:val="none"/>
        </w:rPr>
        <w:t>截至</w:t>
      </w:r>
      <w:r>
        <w:rPr>
          <w:rFonts w:hint="eastAsia" w:ascii="仿宋" w:hAnsi="仿宋" w:eastAsia="仿宋" w:cs="仿宋"/>
          <w:b w:val="0"/>
          <w:bCs w:val="0"/>
          <w:color w:val="auto"/>
          <w:sz w:val="32"/>
          <w:szCs w:val="32"/>
          <w:u w:val="none"/>
          <w:lang w:val="en-US" w:eastAsia="zh-CN"/>
        </w:rPr>
        <w:t>2022年</w:t>
      </w:r>
      <w:r>
        <w:rPr>
          <w:rFonts w:hint="eastAsia" w:ascii="仿宋" w:hAnsi="仿宋" w:eastAsia="仿宋" w:cs="仿宋"/>
          <w:color w:val="auto"/>
          <w:sz w:val="32"/>
          <w:szCs w:val="32"/>
          <w:u w:val="none"/>
        </w:rPr>
        <w:t>12月31日</w:t>
      </w:r>
      <w:r>
        <w:rPr>
          <w:rFonts w:hint="eastAsia" w:ascii="仿宋" w:hAnsi="仿宋" w:eastAsia="仿宋" w:cs="仿宋"/>
          <w:color w:val="auto"/>
          <w:sz w:val="32"/>
          <w:szCs w:val="32"/>
          <w:u w:val="none"/>
          <w:lang w:eastAsia="zh-CN"/>
        </w:rPr>
        <w:t>本单位</w:t>
      </w:r>
      <w:r>
        <w:rPr>
          <w:rFonts w:hint="eastAsia" w:ascii="仿宋" w:hAnsi="仿宋" w:eastAsia="仿宋" w:cs="仿宋"/>
          <w:color w:val="auto"/>
          <w:sz w:val="32"/>
          <w:szCs w:val="32"/>
          <w:u w:val="none"/>
        </w:rPr>
        <w:t>共有车辆</w:t>
      </w:r>
      <w:r>
        <w:rPr>
          <w:rFonts w:hint="eastAsia" w:ascii="仿宋" w:hAnsi="仿宋" w:eastAsia="仿宋" w:cs="仿宋"/>
          <w:color w:val="auto"/>
          <w:sz w:val="32"/>
          <w:szCs w:val="32"/>
          <w:u w:val="none"/>
          <w:lang w:val="en-US" w:eastAsia="zh-CN"/>
        </w:rPr>
        <w:t>2</w:t>
      </w:r>
      <w:r>
        <w:rPr>
          <w:rFonts w:hint="eastAsia" w:ascii="仿宋" w:hAnsi="仿宋" w:eastAsia="仿宋" w:cs="仿宋"/>
          <w:color w:val="auto"/>
          <w:sz w:val="32"/>
          <w:szCs w:val="32"/>
          <w:u w:val="none"/>
        </w:rPr>
        <w:t>辆</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其中</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一般公务用车</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辆、执法执勤用车</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特殊用途车2辆</w:t>
      </w:r>
      <w:r>
        <w:rPr>
          <w:rFonts w:hint="eastAsia" w:ascii="仿宋" w:hAnsi="仿宋" w:eastAsia="仿宋" w:cs="仿宋"/>
          <w:color w:val="auto"/>
          <w:sz w:val="32"/>
          <w:szCs w:val="32"/>
          <w:u w:val="none"/>
        </w:rPr>
        <w:t>。</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u w:val="none"/>
          <w:lang w:val="en-US" w:eastAsia="zh-CN"/>
        </w:rPr>
        <w:t>2022年本</w:t>
      </w:r>
      <w:r>
        <w:rPr>
          <w:rFonts w:hint="eastAsia" w:ascii="仿宋" w:hAnsi="仿宋" w:eastAsia="仿宋" w:cs="仿宋"/>
          <w:color w:val="auto"/>
          <w:sz w:val="32"/>
          <w:szCs w:val="32"/>
          <w:u w:val="none"/>
          <w:lang w:eastAsia="zh-CN"/>
        </w:rPr>
        <w:t>单位</w:t>
      </w:r>
      <w:r>
        <w:rPr>
          <w:rFonts w:hint="eastAsia" w:ascii="仿宋" w:hAnsi="仿宋" w:eastAsia="仿宋" w:cs="仿宋"/>
          <w:color w:val="auto"/>
          <w:sz w:val="32"/>
          <w:szCs w:val="32"/>
          <w:u w:val="none"/>
        </w:rPr>
        <w:t>预算安排购置车辆</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w:t>
      </w:r>
      <w:r>
        <w:rPr>
          <w:rFonts w:hint="eastAsia" w:ascii="仿宋" w:hAnsi="仿宋" w:eastAsia="仿宋" w:cs="仿宋"/>
          <w:color w:val="auto"/>
          <w:sz w:val="32"/>
          <w:szCs w:val="32"/>
        </w:rPr>
        <w:t>安排购置单位价值200万元以上大型设备具为：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无</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eastAsia="zh-CN"/>
        </w:rPr>
        <w:t>九</w:t>
      </w:r>
      <w:r>
        <w:rPr>
          <w:rFonts w:hint="eastAsia" w:ascii="仿宋" w:hAnsi="仿宋" w:eastAsia="仿宋" w:cs="仿宋"/>
          <w:b/>
          <w:bCs/>
          <w:color w:val="auto"/>
          <w:sz w:val="32"/>
          <w:szCs w:val="32"/>
        </w:rPr>
        <w:t>）绩效目标设置情况</w:t>
      </w:r>
    </w:p>
    <w:p>
      <w:pPr>
        <w:spacing w:line="560" w:lineRule="exact"/>
        <w:ind w:left="634" w:leftChars="284" w:hanging="38" w:hangingChars="12"/>
        <w:rPr>
          <w:color w:val="auto"/>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年实行绩效目标管理的项目</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个，涉及资金</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2022年</w:t>
      </w:r>
      <w:r>
        <w:rPr>
          <w:rFonts w:hint="eastAsia" w:ascii="楷体" w:hAnsi="楷体" w:eastAsia="楷体" w:cs="楷体"/>
          <w:b/>
          <w:bCs/>
          <w:color w:val="auto"/>
          <w:sz w:val="32"/>
          <w:szCs w:val="32"/>
        </w:rPr>
        <w:t>“三公”经费预算情况说明</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本单位</w:t>
      </w:r>
      <w:r>
        <w:rPr>
          <w:rFonts w:hint="eastAsia" w:ascii="仿宋" w:hAnsi="仿宋" w:eastAsia="仿宋" w:cs="仿宋"/>
          <w:color w:val="auto"/>
          <w:sz w:val="32"/>
          <w:szCs w:val="32"/>
        </w:rPr>
        <w:t>“三公”经费一般公共预算安排</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万元。其中：</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因公出国（境）费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万元，主</w:t>
      </w:r>
    </w:p>
    <w:p>
      <w:pPr>
        <w:spacing w:line="560" w:lineRule="exact"/>
        <w:ind w:firstLine="0" w:firstLineChars="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要原因是：</w:t>
      </w:r>
      <w:r>
        <w:rPr>
          <w:rFonts w:hint="eastAsia" w:ascii="仿宋" w:hAnsi="仿宋" w:eastAsia="仿宋" w:cs="仿宋"/>
          <w:color w:val="auto"/>
          <w:sz w:val="32"/>
          <w:szCs w:val="32"/>
          <w:lang w:eastAsia="zh-CN"/>
        </w:rPr>
        <w:t>与上年安排保持一致</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公务接待费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eastAsia="zh-CN"/>
        </w:rPr>
        <w:t>与上年安排保持一致</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公务用车运行维护费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eastAsia="zh-CN"/>
        </w:rPr>
        <w:t>与上年安排保持一致</w:t>
      </w:r>
      <w:r>
        <w:rPr>
          <w:rFonts w:hint="eastAsia" w:ascii="仿宋" w:hAnsi="仿宋" w:eastAsia="仿宋" w:cs="仿宋"/>
          <w:color w:val="auto"/>
          <w:sz w:val="32"/>
          <w:szCs w:val="32"/>
        </w:rPr>
        <w:t>。</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公务用车购置费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eastAsia="zh-CN"/>
        </w:rPr>
        <w:t>与上年安排保持一致</w:t>
      </w:r>
      <w:r>
        <w:rPr>
          <w:rFonts w:hint="eastAsia" w:ascii="仿宋" w:hAnsi="仿宋" w:eastAsia="仿宋" w:cs="仿宋"/>
          <w:color w:val="auto"/>
          <w:sz w:val="32"/>
          <w:szCs w:val="32"/>
        </w:rPr>
        <w:t>。</w:t>
      </w:r>
    </w:p>
    <w:p>
      <w:pPr>
        <w:bidi w:val="0"/>
        <w:jc w:val="left"/>
        <w:rPr>
          <w:rFonts w:hint="eastAsia"/>
        </w:rPr>
        <w:sectPr>
          <w:pgSz w:w="11906" w:h="16838"/>
          <w:pgMar w:top="1440" w:right="1800" w:bottom="1440" w:left="1800" w:header="851" w:footer="992" w:gutter="0"/>
          <w:cols w:space="425" w:num="1"/>
          <w:docGrid w:type="lines" w:linePitch="312" w:charSpace="0"/>
        </w:sectPr>
      </w:pPr>
    </w:p>
    <w:p>
      <w:pPr>
        <w:spacing w:line="560" w:lineRule="exact"/>
        <w:jc w:val="center"/>
        <w:rPr>
          <w:rFonts w:hint="eastAsia" w:ascii="黑体" w:hAnsi="黑体" w:eastAsia="黑体" w:cs="黑体"/>
          <w:color w:val="auto"/>
          <w:sz w:val="32"/>
          <w:szCs w:val="32"/>
        </w:rPr>
      </w:pPr>
      <w:r>
        <w:rPr>
          <w:rFonts w:hint="eastAsia" w:ascii="黑体" w:hAnsi="黑体" w:eastAsia="黑体" w:cs="黑体"/>
          <w:b w:val="0"/>
          <w:bCs w:val="0"/>
          <w:color w:val="auto"/>
          <w:sz w:val="32"/>
          <w:szCs w:val="32"/>
        </w:rPr>
        <w:t>第三部分 兴国县</w:t>
      </w:r>
      <w:r>
        <w:rPr>
          <w:rFonts w:hint="eastAsia" w:ascii="黑体" w:hAnsi="黑体" w:eastAsia="黑体" w:cs="黑体"/>
          <w:b w:val="0"/>
          <w:bCs w:val="0"/>
          <w:color w:val="auto"/>
          <w:sz w:val="32"/>
          <w:szCs w:val="32"/>
          <w:lang w:val="en-US" w:eastAsia="zh-CN"/>
        </w:rPr>
        <w:t>杰村乡卫生院2022年</w:t>
      </w:r>
      <w:r>
        <w:rPr>
          <w:rFonts w:hint="eastAsia" w:ascii="黑体" w:hAnsi="黑体" w:eastAsia="黑体" w:cs="黑体"/>
          <w:b w:val="0"/>
          <w:bCs w:val="0"/>
          <w:color w:val="auto"/>
          <w:sz w:val="32"/>
          <w:szCs w:val="32"/>
        </w:rPr>
        <w:t>预算表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一、《收支预算总表》</w:t>
      </w:r>
    </w:p>
    <w:tbl>
      <w:tblPr>
        <w:tblStyle w:val="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542"/>
        <w:gridCol w:w="2282"/>
        <w:gridCol w:w="3887"/>
        <w:gridCol w:w="24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4"/>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收支预算总表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95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填报单位:[403032]兴国县杰村乡卫生院</w:t>
            </w:r>
          </w:p>
        </w:tc>
        <w:tc>
          <w:tcPr>
            <w:tcW w:w="804" w:type="pct"/>
            <w:tcBorders>
              <w:top w:val="nil"/>
              <w:left w:val="nil"/>
              <w:bottom w:val="nil"/>
              <w:right w:val="nil"/>
            </w:tcBorders>
            <w:shd w:val="clear" w:color="auto" w:fill="auto"/>
            <w:noWrap/>
            <w:vAlign w:val="bottom"/>
          </w:tcPr>
          <w:p>
            <w:pPr>
              <w:rPr>
                <w:rFonts w:hint="eastAsia" w:ascii="Calibri" w:hAnsi="Calibri" w:cs="Calibri"/>
                <w:i w:val="0"/>
                <w:iCs w:val="0"/>
                <w:color w:val="000000"/>
                <w:sz w:val="22"/>
                <w:szCs w:val="22"/>
                <w:u w:val="none"/>
              </w:rPr>
            </w:pPr>
          </w:p>
        </w:tc>
        <w:tc>
          <w:tcPr>
            <w:tcW w:w="1371"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868"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76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收      入</w:t>
            </w:r>
          </w:p>
        </w:tc>
        <w:tc>
          <w:tcPr>
            <w:tcW w:w="223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w:t>
            </w: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预算数</w:t>
            </w: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项目(按支出功能科目类级)</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一、财政拨款收入</w:t>
            </w: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171.06</w:t>
            </w: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社会保障和就业支出</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（一）一般公共预算收入</w:t>
            </w: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171.06</w:t>
            </w: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卫生健康支出</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638.53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（二）政府性基金预算收入</w:t>
            </w:r>
          </w:p>
        </w:tc>
        <w:tc>
          <w:tcPr>
            <w:tcW w:w="8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住房保障支出</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（三）国有资本经营预算收入</w:t>
            </w:r>
          </w:p>
        </w:tc>
        <w:tc>
          <w:tcPr>
            <w:tcW w:w="8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二、教育收费资金收入</w:t>
            </w: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4"/>
                <w:szCs w:val="24"/>
                <w:u w:val="none"/>
              </w:rPr>
            </w:pP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三、事业收入</w:t>
            </w: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503.52</w:t>
            </w: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四、事业单位经营收入</w:t>
            </w: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4"/>
                <w:szCs w:val="24"/>
                <w:u w:val="none"/>
              </w:rPr>
            </w:pP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五、附属单位上缴收入</w:t>
            </w: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4"/>
                <w:szCs w:val="24"/>
                <w:u w:val="none"/>
              </w:rPr>
            </w:pP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六、上级补助收入</w:t>
            </w:r>
          </w:p>
        </w:tc>
        <w:tc>
          <w:tcPr>
            <w:tcW w:w="8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七、其他收入</w:t>
            </w:r>
          </w:p>
        </w:tc>
        <w:tc>
          <w:tcPr>
            <w:tcW w:w="8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8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4"/>
                <w:szCs w:val="24"/>
                <w:u w:val="none"/>
              </w:rPr>
            </w:pPr>
          </w:p>
        </w:tc>
        <w:tc>
          <w:tcPr>
            <w:tcW w:w="8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本年收入合计</w:t>
            </w:r>
          </w:p>
        </w:tc>
        <w:tc>
          <w:tcPr>
            <w:tcW w:w="8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674.59</w:t>
            </w: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本年支出合计</w:t>
            </w:r>
          </w:p>
        </w:tc>
        <w:tc>
          <w:tcPr>
            <w:tcW w:w="8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674.59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八、使用非财政拨款结余</w:t>
            </w:r>
          </w:p>
        </w:tc>
        <w:tc>
          <w:tcPr>
            <w:tcW w:w="8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结转下年</w:t>
            </w:r>
          </w:p>
        </w:tc>
        <w:tc>
          <w:tcPr>
            <w:tcW w:w="8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九、上年结转（结余）</w:t>
            </w:r>
          </w:p>
        </w:tc>
        <w:tc>
          <w:tcPr>
            <w:tcW w:w="8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2"/>
                <w:szCs w:val="22"/>
                <w:u w:val="none"/>
              </w:rPr>
            </w:pP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8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8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收入总计</w:t>
            </w:r>
          </w:p>
        </w:tc>
        <w:tc>
          <w:tcPr>
            <w:tcW w:w="8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674.59</w:t>
            </w: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支出总计</w:t>
            </w:r>
          </w:p>
        </w:tc>
        <w:tc>
          <w:tcPr>
            <w:tcW w:w="8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674.59</w:t>
            </w:r>
          </w:p>
        </w:tc>
      </w:tr>
    </w:tbl>
    <w:p>
      <w:pPr>
        <w:pStyle w:val="2"/>
        <w:rPr>
          <w:rFonts w:hint="eastAsia"/>
        </w:rPr>
        <w:sectPr>
          <w:pgSz w:w="16838" w:h="11906" w:orient="landscape"/>
          <w:pgMar w:top="1800" w:right="1440" w:bottom="1800" w:left="1440" w:header="851" w:footer="992" w:gutter="0"/>
          <w:cols w:space="425" w:num="1"/>
          <w:docGrid w:type="lines" w:linePitch="312" w:charSpace="0"/>
        </w:sectPr>
      </w:pPr>
    </w:p>
    <w:p>
      <w:pPr>
        <w:pStyle w:val="2"/>
        <w:numPr>
          <w:ilvl w:val="0"/>
          <w:numId w:val="2"/>
        </w:numPr>
        <w:ind w:left="210" w:leftChars="0" w:firstLineChars="0"/>
        <w:rPr>
          <w:rFonts w:hint="eastAsia" w:ascii="仿宋" w:hAnsi="仿宋" w:eastAsia="仿宋" w:cs="仿宋"/>
          <w:color w:val="auto"/>
          <w:sz w:val="32"/>
          <w:szCs w:val="32"/>
        </w:rPr>
      </w:pPr>
      <w:r>
        <w:rPr>
          <w:rFonts w:hint="eastAsia" w:ascii="仿宋" w:hAnsi="仿宋" w:eastAsia="仿宋" w:cs="仿宋"/>
          <w:color w:val="auto"/>
          <w:sz w:val="32"/>
          <w:szCs w:val="32"/>
        </w:rPr>
        <w:t>《部门收入总表》</w:t>
      </w:r>
    </w:p>
    <w:tbl>
      <w:tblPr>
        <w:tblStyle w:val="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354"/>
        <w:gridCol w:w="1939"/>
        <w:gridCol w:w="940"/>
        <w:gridCol w:w="525"/>
        <w:gridCol w:w="940"/>
        <w:gridCol w:w="1102"/>
        <w:gridCol w:w="687"/>
        <w:gridCol w:w="668"/>
        <w:gridCol w:w="618"/>
        <w:gridCol w:w="962"/>
        <w:gridCol w:w="618"/>
        <w:gridCol w:w="618"/>
        <w:gridCol w:w="571"/>
        <w:gridCol w:w="528"/>
        <w:gridCol w:w="154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5000" w:type="pct"/>
            <w:gridSpan w:val="1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lang w:val="en-US" w:eastAsia="zh-CN" w:bidi="ar"/>
              </w:rPr>
              <w:t>部门收入总表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trPr>
        <w:tc>
          <w:tcPr>
            <w:tcW w:w="107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[403032]兴国县杰村乡卫生院</w:t>
            </w:r>
          </w:p>
        </w:tc>
        <w:tc>
          <w:tcPr>
            <w:tcW w:w="621" w:type="pct"/>
            <w:tcBorders>
              <w:top w:val="nil"/>
              <w:left w:val="nil"/>
              <w:bottom w:val="nil"/>
              <w:right w:val="nil"/>
            </w:tcBorders>
            <w:shd w:val="clear" w:color="auto" w:fill="auto"/>
            <w:noWrap/>
            <w:vAlign w:val="bottom"/>
          </w:tcPr>
          <w:p>
            <w:pPr>
              <w:rPr>
                <w:rFonts w:hint="eastAsia" w:ascii="Calibri" w:hAnsi="Calibri" w:cs="Calibri"/>
                <w:i w:val="0"/>
                <w:iCs w:val="0"/>
                <w:color w:val="000000"/>
                <w:sz w:val="15"/>
                <w:szCs w:val="15"/>
                <w:u w:val="none"/>
              </w:rPr>
            </w:pPr>
          </w:p>
        </w:tc>
        <w:tc>
          <w:tcPr>
            <w:tcW w:w="301" w:type="pct"/>
            <w:tcBorders>
              <w:top w:val="nil"/>
              <w:left w:val="nil"/>
              <w:bottom w:val="nil"/>
              <w:right w:val="nil"/>
            </w:tcBorders>
            <w:shd w:val="clear" w:color="auto" w:fill="auto"/>
            <w:noWrap/>
            <w:vAlign w:val="bottom"/>
          </w:tcPr>
          <w:p>
            <w:pPr>
              <w:rPr>
                <w:rFonts w:hint="default" w:ascii="Calibri" w:hAnsi="Calibri" w:cs="Calibri"/>
                <w:i w:val="0"/>
                <w:iCs w:val="0"/>
                <w:color w:val="000000"/>
                <w:sz w:val="15"/>
                <w:szCs w:val="15"/>
                <w:u w:val="none"/>
              </w:rPr>
            </w:pPr>
          </w:p>
        </w:tc>
        <w:tc>
          <w:tcPr>
            <w:tcW w:w="168" w:type="pct"/>
            <w:tcBorders>
              <w:top w:val="nil"/>
              <w:left w:val="nil"/>
              <w:bottom w:val="nil"/>
              <w:right w:val="nil"/>
            </w:tcBorders>
            <w:shd w:val="clear" w:color="auto" w:fill="auto"/>
            <w:noWrap/>
            <w:vAlign w:val="bottom"/>
          </w:tcPr>
          <w:p>
            <w:pPr>
              <w:rPr>
                <w:rFonts w:hint="default" w:ascii="Calibri" w:hAnsi="Calibri" w:cs="Calibri"/>
                <w:i w:val="0"/>
                <w:iCs w:val="0"/>
                <w:color w:val="000000"/>
                <w:sz w:val="15"/>
                <w:szCs w:val="15"/>
                <w:u w:val="none"/>
              </w:rPr>
            </w:pPr>
          </w:p>
        </w:tc>
        <w:tc>
          <w:tcPr>
            <w:tcW w:w="301" w:type="pct"/>
            <w:tcBorders>
              <w:top w:val="nil"/>
              <w:left w:val="nil"/>
              <w:bottom w:val="nil"/>
              <w:right w:val="nil"/>
            </w:tcBorders>
            <w:shd w:val="clear" w:color="auto" w:fill="auto"/>
            <w:noWrap/>
            <w:vAlign w:val="bottom"/>
          </w:tcPr>
          <w:p>
            <w:pPr>
              <w:rPr>
                <w:rFonts w:hint="default" w:ascii="Calibri" w:hAnsi="Calibri" w:cs="Calibri"/>
                <w:i w:val="0"/>
                <w:iCs w:val="0"/>
                <w:color w:val="000000"/>
                <w:sz w:val="15"/>
                <w:szCs w:val="15"/>
                <w:u w:val="none"/>
              </w:rPr>
            </w:pPr>
          </w:p>
        </w:tc>
        <w:tc>
          <w:tcPr>
            <w:tcW w:w="353" w:type="pct"/>
            <w:tcBorders>
              <w:top w:val="nil"/>
              <w:left w:val="nil"/>
              <w:bottom w:val="nil"/>
              <w:right w:val="nil"/>
            </w:tcBorders>
            <w:shd w:val="clear" w:color="auto" w:fill="auto"/>
            <w:noWrap/>
            <w:vAlign w:val="bottom"/>
          </w:tcPr>
          <w:p>
            <w:pPr>
              <w:rPr>
                <w:rFonts w:hint="default" w:ascii="Calibri" w:hAnsi="Calibri" w:cs="Calibri"/>
                <w:i w:val="0"/>
                <w:iCs w:val="0"/>
                <w:color w:val="000000"/>
                <w:sz w:val="15"/>
                <w:szCs w:val="15"/>
                <w:u w:val="none"/>
              </w:rPr>
            </w:pPr>
          </w:p>
        </w:tc>
        <w:tc>
          <w:tcPr>
            <w:tcW w:w="220" w:type="pct"/>
            <w:tcBorders>
              <w:top w:val="nil"/>
              <w:left w:val="nil"/>
              <w:bottom w:val="nil"/>
              <w:right w:val="nil"/>
            </w:tcBorders>
            <w:shd w:val="clear" w:color="auto" w:fill="auto"/>
            <w:noWrap/>
            <w:vAlign w:val="bottom"/>
          </w:tcPr>
          <w:p>
            <w:pPr>
              <w:rPr>
                <w:rFonts w:hint="default" w:ascii="Calibri" w:hAnsi="Calibri" w:cs="Calibri"/>
                <w:i w:val="0"/>
                <w:iCs w:val="0"/>
                <w:color w:val="000000"/>
                <w:sz w:val="15"/>
                <w:szCs w:val="15"/>
                <w:u w:val="none"/>
              </w:rPr>
            </w:pPr>
          </w:p>
        </w:tc>
        <w:tc>
          <w:tcPr>
            <w:tcW w:w="213" w:type="pct"/>
            <w:tcBorders>
              <w:top w:val="nil"/>
              <w:left w:val="nil"/>
              <w:bottom w:val="nil"/>
              <w:right w:val="nil"/>
            </w:tcBorders>
            <w:shd w:val="clear" w:color="auto" w:fill="auto"/>
            <w:noWrap/>
            <w:vAlign w:val="bottom"/>
          </w:tcPr>
          <w:p>
            <w:pPr>
              <w:rPr>
                <w:rFonts w:hint="default" w:ascii="Calibri" w:hAnsi="Calibri" w:cs="Calibri"/>
                <w:i w:val="0"/>
                <w:iCs w:val="0"/>
                <w:color w:val="000000"/>
                <w:sz w:val="15"/>
                <w:szCs w:val="15"/>
                <w:u w:val="none"/>
              </w:rPr>
            </w:pPr>
          </w:p>
        </w:tc>
        <w:tc>
          <w:tcPr>
            <w:tcW w:w="198" w:type="pct"/>
            <w:tcBorders>
              <w:top w:val="nil"/>
              <w:left w:val="nil"/>
              <w:bottom w:val="nil"/>
              <w:right w:val="nil"/>
            </w:tcBorders>
            <w:shd w:val="clear" w:color="auto" w:fill="auto"/>
            <w:noWrap/>
            <w:vAlign w:val="bottom"/>
          </w:tcPr>
          <w:p>
            <w:pPr>
              <w:rPr>
                <w:rFonts w:hint="default" w:ascii="Calibri" w:hAnsi="Calibri" w:cs="Calibri"/>
                <w:i w:val="0"/>
                <w:iCs w:val="0"/>
                <w:color w:val="000000"/>
                <w:sz w:val="15"/>
                <w:szCs w:val="15"/>
                <w:u w:val="none"/>
              </w:rPr>
            </w:pPr>
          </w:p>
        </w:tc>
        <w:tc>
          <w:tcPr>
            <w:tcW w:w="308" w:type="pct"/>
            <w:tcBorders>
              <w:top w:val="nil"/>
              <w:left w:val="nil"/>
              <w:bottom w:val="nil"/>
              <w:right w:val="nil"/>
            </w:tcBorders>
            <w:shd w:val="clear" w:color="auto" w:fill="auto"/>
            <w:noWrap/>
            <w:vAlign w:val="bottom"/>
          </w:tcPr>
          <w:p>
            <w:pPr>
              <w:rPr>
                <w:rFonts w:hint="default" w:ascii="Calibri" w:hAnsi="Calibri" w:cs="Calibri"/>
                <w:i w:val="0"/>
                <w:iCs w:val="0"/>
                <w:color w:val="000000"/>
                <w:sz w:val="15"/>
                <w:szCs w:val="15"/>
                <w:u w:val="none"/>
              </w:rPr>
            </w:pPr>
          </w:p>
        </w:tc>
        <w:tc>
          <w:tcPr>
            <w:tcW w:w="198" w:type="pct"/>
            <w:tcBorders>
              <w:top w:val="nil"/>
              <w:left w:val="nil"/>
              <w:bottom w:val="nil"/>
              <w:right w:val="nil"/>
            </w:tcBorders>
            <w:shd w:val="clear" w:color="auto" w:fill="auto"/>
            <w:noWrap/>
            <w:vAlign w:val="bottom"/>
          </w:tcPr>
          <w:p>
            <w:pPr>
              <w:rPr>
                <w:rFonts w:hint="default" w:ascii="Calibri" w:hAnsi="Calibri" w:cs="Calibri"/>
                <w:i w:val="0"/>
                <w:iCs w:val="0"/>
                <w:color w:val="000000"/>
                <w:sz w:val="15"/>
                <w:szCs w:val="15"/>
                <w:u w:val="none"/>
              </w:rPr>
            </w:pPr>
          </w:p>
        </w:tc>
        <w:tc>
          <w:tcPr>
            <w:tcW w:w="198" w:type="pct"/>
            <w:tcBorders>
              <w:top w:val="nil"/>
              <w:left w:val="nil"/>
              <w:bottom w:val="nil"/>
              <w:right w:val="nil"/>
            </w:tcBorders>
            <w:shd w:val="clear" w:color="auto" w:fill="auto"/>
            <w:noWrap/>
            <w:vAlign w:val="bottom"/>
          </w:tcPr>
          <w:p>
            <w:pPr>
              <w:rPr>
                <w:rFonts w:hint="default" w:ascii="Calibri" w:hAnsi="Calibri" w:cs="Calibri"/>
                <w:i w:val="0"/>
                <w:iCs w:val="0"/>
                <w:color w:val="000000"/>
                <w:sz w:val="15"/>
                <w:szCs w:val="15"/>
                <w:u w:val="none"/>
              </w:rPr>
            </w:pPr>
          </w:p>
        </w:tc>
        <w:tc>
          <w:tcPr>
            <w:tcW w:w="183" w:type="pct"/>
            <w:tcBorders>
              <w:top w:val="nil"/>
              <w:left w:val="nil"/>
              <w:bottom w:val="nil"/>
              <w:right w:val="nil"/>
            </w:tcBorders>
            <w:shd w:val="clear" w:color="auto" w:fill="auto"/>
            <w:noWrap/>
            <w:vAlign w:val="bottom"/>
          </w:tcPr>
          <w:p>
            <w:pPr>
              <w:rPr>
                <w:rFonts w:hint="default" w:ascii="Calibri" w:hAnsi="Calibri" w:cs="Calibri"/>
                <w:i w:val="0"/>
                <w:iCs w:val="0"/>
                <w:color w:val="000000"/>
                <w:sz w:val="15"/>
                <w:szCs w:val="15"/>
                <w:u w:val="none"/>
              </w:rPr>
            </w:pPr>
          </w:p>
        </w:tc>
        <w:tc>
          <w:tcPr>
            <w:tcW w:w="169" w:type="pct"/>
            <w:tcBorders>
              <w:top w:val="nil"/>
              <w:left w:val="nil"/>
              <w:bottom w:val="nil"/>
              <w:right w:val="nil"/>
            </w:tcBorders>
            <w:shd w:val="clear" w:color="auto" w:fill="auto"/>
            <w:noWrap/>
            <w:vAlign w:val="bottom"/>
          </w:tcPr>
          <w:p>
            <w:pPr>
              <w:rPr>
                <w:rFonts w:hint="default" w:ascii="Calibri" w:hAnsi="Calibri" w:cs="Calibri"/>
                <w:i w:val="0"/>
                <w:iCs w:val="0"/>
                <w:color w:val="000000"/>
                <w:sz w:val="15"/>
                <w:szCs w:val="15"/>
                <w:u w:val="none"/>
              </w:rPr>
            </w:pPr>
          </w:p>
        </w:tc>
        <w:tc>
          <w:tcPr>
            <w:tcW w:w="488"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07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功能科目编码</w:t>
            </w:r>
          </w:p>
        </w:tc>
        <w:tc>
          <w:tcPr>
            <w:tcW w:w="62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功能科目名称</w:t>
            </w:r>
          </w:p>
        </w:tc>
        <w:tc>
          <w:tcPr>
            <w:tcW w:w="301"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合计</w:t>
            </w:r>
          </w:p>
        </w:tc>
        <w:tc>
          <w:tcPr>
            <w:tcW w:w="16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上年结转</w:t>
            </w:r>
          </w:p>
        </w:tc>
        <w:tc>
          <w:tcPr>
            <w:tcW w:w="108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财政拨款</w:t>
            </w:r>
          </w:p>
        </w:tc>
        <w:tc>
          <w:tcPr>
            <w:tcW w:w="198"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教育收费资金收入</w:t>
            </w:r>
          </w:p>
        </w:tc>
        <w:tc>
          <w:tcPr>
            <w:tcW w:w="308"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事业收入</w:t>
            </w:r>
          </w:p>
        </w:tc>
        <w:tc>
          <w:tcPr>
            <w:tcW w:w="198"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事业单位经营收入</w:t>
            </w:r>
          </w:p>
        </w:tc>
        <w:tc>
          <w:tcPr>
            <w:tcW w:w="198"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附属单位上缴收入</w:t>
            </w:r>
          </w:p>
        </w:tc>
        <w:tc>
          <w:tcPr>
            <w:tcW w:w="183"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上级补助收入</w:t>
            </w:r>
          </w:p>
        </w:tc>
        <w:tc>
          <w:tcPr>
            <w:tcW w:w="169"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其他收入</w:t>
            </w:r>
          </w:p>
        </w:tc>
        <w:tc>
          <w:tcPr>
            <w:tcW w:w="48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使用非财政拨款结余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40" w:hRule="atLeast"/>
        </w:trPr>
        <w:tc>
          <w:tcPr>
            <w:tcW w:w="107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5"/>
                <w:szCs w:val="15"/>
                <w:u w:val="none"/>
              </w:rPr>
            </w:pPr>
          </w:p>
        </w:tc>
        <w:tc>
          <w:tcPr>
            <w:tcW w:w="62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5"/>
                <w:szCs w:val="15"/>
                <w:u w:val="none"/>
              </w:rPr>
            </w:pPr>
          </w:p>
        </w:tc>
        <w:tc>
          <w:tcPr>
            <w:tcW w:w="301"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5"/>
                <w:szCs w:val="15"/>
                <w:u w:val="none"/>
              </w:rPr>
            </w:pPr>
          </w:p>
        </w:tc>
        <w:tc>
          <w:tcPr>
            <w:tcW w:w="16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小计</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一般公共预算拨款收入</w:t>
            </w:r>
          </w:p>
        </w:tc>
        <w:tc>
          <w:tcPr>
            <w:tcW w:w="2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政府性基金预算拨款收入</w:t>
            </w:r>
          </w:p>
        </w:tc>
        <w:tc>
          <w:tcPr>
            <w:tcW w:w="2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国有资本经营预算收入</w:t>
            </w:r>
          </w:p>
        </w:tc>
        <w:tc>
          <w:tcPr>
            <w:tcW w:w="198"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308"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198"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198"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183"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169"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15"/>
                <w:szCs w:val="15"/>
                <w:u w:val="none"/>
              </w:rPr>
            </w:pPr>
          </w:p>
        </w:tc>
        <w:tc>
          <w:tcPr>
            <w:tcW w:w="4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074"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w:t>
            </w:r>
          </w:p>
        </w:tc>
        <w:tc>
          <w:tcPr>
            <w:tcW w:w="62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w:t>
            </w:r>
          </w:p>
        </w:tc>
        <w:tc>
          <w:tcPr>
            <w:tcW w:w="30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w:t>
            </w:r>
          </w:p>
        </w:tc>
        <w:tc>
          <w:tcPr>
            <w:tcW w:w="168"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w:t>
            </w:r>
          </w:p>
        </w:tc>
        <w:tc>
          <w:tcPr>
            <w:tcW w:w="30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w:t>
            </w:r>
          </w:p>
        </w:tc>
        <w:tc>
          <w:tcPr>
            <w:tcW w:w="35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220"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w:t>
            </w:r>
          </w:p>
        </w:tc>
        <w:tc>
          <w:tcPr>
            <w:tcW w:w="21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w:t>
            </w:r>
          </w:p>
        </w:tc>
        <w:tc>
          <w:tcPr>
            <w:tcW w:w="198"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w:t>
            </w:r>
          </w:p>
        </w:tc>
        <w:tc>
          <w:tcPr>
            <w:tcW w:w="308"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w:t>
            </w:r>
          </w:p>
        </w:tc>
        <w:tc>
          <w:tcPr>
            <w:tcW w:w="198"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w:t>
            </w:r>
          </w:p>
        </w:tc>
        <w:tc>
          <w:tcPr>
            <w:tcW w:w="198"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6</w:t>
            </w:r>
          </w:p>
        </w:tc>
        <w:tc>
          <w:tcPr>
            <w:tcW w:w="18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7</w:t>
            </w:r>
          </w:p>
        </w:tc>
        <w:tc>
          <w:tcPr>
            <w:tcW w:w="169"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8</w:t>
            </w:r>
          </w:p>
        </w:tc>
        <w:tc>
          <w:tcPr>
            <w:tcW w:w="488"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10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5"/>
                <w:szCs w:val="15"/>
                <w:u w:val="none"/>
              </w:rPr>
            </w:pP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合计</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674.59</w:t>
            </w:r>
          </w:p>
        </w:tc>
        <w:tc>
          <w:tcPr>
            <w:tcW w:w="1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171.06</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171.06</w:t>
            </w:r>
          </w:p>
        </w:tc>
        <w:tc>
          <w:tcPr>
            <w:tcW w:w="2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5"/>
                <w:szCs w:val="15"/>
                <w:u w:val="none"/>
              </w:rPr>
            </w:pPr>
          </w:p>
        </w:tc>
        <w:tc>
          <w:tcPr>
            <w:tcW w:w="2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5"/>
                <w:szCs w:val="15"/>
                <w:u w:val="none"/>
              </w:rPr>
            </w:pP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503.52</w:t>
            </w: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10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208</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社会保障和就业支出</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21.76</w:t>
            </w:r>
          </w:p>
        </w:tc>
        <w:tc>
          <w:tcPr>
            <w:tcW w:w="1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21.76</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21.76</w:t>
            </w:r>
          </w:p>
        </w:tc>
        <w:tc>
          <w:tcPr>
            <w:tcW w:w="2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5"/>
                <w:szCs w:val="15"/>
                <w:u w:val="none"/>
              </w:rPr>
            </w:pPr>
          </w:p>
        </w:tc>
        <w:tc>
          <w:tcPr>
            <w:tcW w:w="2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5"/>
                <w:szCs w:val="15"/>
                <w:u w:val="none"/>
              </w:rPr>
            </w:pP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0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10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05</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行政事业单位养老支出</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21.76</w:t>
            </w:r>
          </w:p>
        </w:tc>
        <w:tc>
          <w:tcPr>
            <w:tcW w:w="1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21.76</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21.76</w:t>
            </w:r>
          </w:p>
        </w:tc>
        <w:tc>
          <w:tcPr>
            <w:tcW w:w="2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5"/>
                <w:szCs w:val="15"/>
                <w:u w:val="none"/>
              </w:rPr>
            </w:pPr>
          </w:p>
        </w:tc>
        <w:tc>
          <w:tcPr>
            <w:tcW w:w="2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5"/>
                <w:szCs w:val="15"/>
                <w:u w:val="none"/>
              </w:rPr>
            </w:pP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0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10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2080505</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机关事业单位基本养老保险缴费支出</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14.51</w:t>
            </w:r>
          </w:p>
        </w:tc>
        <w:tc>
          <w:tcPr>
            <w:tcW w:w="1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14.51</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14.51</w:t>
            </w:r>
          </w:p>
        </w:tc>
        <w:tc>
          <w:tcPr>
            <w:tcW w:w="2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5"/>
                <w:szCs w:val="15"/>
                <w:u w:val="none"/>
              </w:rPr>
            </w:pPr>
          </w:p>
        </w:tc>
        <w:tc>
          <w:tcPr>
            <w:tcW w:w="2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5"/>
                <w:szCs w:val="15"/>
                <w:u w:val="none"/>
              </w:rPr>
            </w:pP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0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10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2080506</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机关事业单位职业年金缴费支出</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7.25</w:t>
            </w:r>
          </w:p>
        </w:tc>
        <w:tc>
          <w:tcPr>
            <w:tcW w:w="1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7.25</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7.25</w:t>
            </w:r>
          </w:p>
        </w:tc>
        <w:tc>
          <w:tcPr>
            <w:tcW w:w="2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5"/>
                <w:szCs w:val="15"/>
                <w:u w:val="none"/>
              </w:rPr>
            </w:pPr>
          </w:p>
        </w:tc>
        <w:tc>
          <w:tcPr>
            <w:tcW w:w="2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5"/>
                <w:szCs w:val="15"/>
                <w:u w:val="none"/>
              </w:rPr>
            </w:pP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0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10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210</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卫生健康支出</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638.53</w:t>
            </w:r>
          </w:p>
        </w:tc>
        <w:tc>
          <w:tcPr>
            <w:tcW w:w="1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149.31</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149.31</w:t>
            </w:r>
          </w:p>
        </w:tc>
        <w:tc>
          <w:tcPr>
            <w:tcW w:w="2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5"/>
                <w:szCs w:val="15"/>
                <w:u w:val="none"/>
              </w:rPr>
            </w:pPr>
          </w:p>
        </w:tc>
        <w:tc>
          <w:tcPr>
            <w:tcW w:w="2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5"/>
                <w:szCs w:val="15"/>
                <w:u w:val="none"/>
              </w:rPr>
            </w:pP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489.22</w:t>
            </w: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10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03</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基层医疗卫生机构</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631.02</w:t>
            </w:r>
          </w:p>
        </w:tc>
        <w:tc>
          <w:tcPr>
            <w:tcW w:w="1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143.52</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143.52</w:t>
            </w:r>
          </w:p>
        </w:tc>
        <w:tc>
          <w:tcPr>
            <w:tcW w:w="2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5"/>
                <w:szCs w:val="15"/>
                <w:u w:val="none"/>
              </w:rPr>
            </w:pPr>
          </w:p>
        </w:tc>
        <w:tc>
          <w:tcPr>
            <w:tcW w:w="2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5"/>
                <w:szCs w:val="15"/>
                <w:u w:val="none"/>
              </w:rPr>
            </w:pP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487.51</w:t>
            </w: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10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2100302</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乡镇卫生院</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631.02</w:t>
            </w:r>
          </w:p>
        </w:tc>
        <w:tc>
          <w:tcPr>
            <w:tcW w:w="1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143.52</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143.52</w:t>
            </w:r>
          </w:p>
        </w:tc>
        <w:tc>
          <w:tcPr>
            <w:tcW w:w="2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5"/>
                <w:szCs w:val="15"/>
                <w:u w:val="none"/>
              </w:rPr>
            </w:pPr>
          </w:p>
        </w:tc>
        <w:tc>
          <w:tcPr>
            <w:tcW w:w="2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5"/>
                <w:szCs w:val="15"/>
                <w:u w:val="none"/>
              </w:rPr>
            </w:pP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487.51</w:t>
            </w: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10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11</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行政事业单位医疗</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7.51</w:t>
            </w:r>
          </w:p>
        </w:tc>
        <w:tc>
          <w:tcPr>
            <w:tcW w:w="1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5.79</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5.79</w:t>
            </w:r>
          </w:p>
        </w:tc>
        <w:tc>
          <w:tcPr>
            <w:tcW w:w="2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5"/>
                <w:szCs w:val="15"/>
                <w:u w:val="none"/>
              </w:rPr>
            </w:pPr>
          </w:p>
        </w:tc>
        <w:tc>
          <w:tcPr>
            <w:tcW w:w="2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5"/>
                <w:szCs w:val="15"/>
                <w:u w:val="none"/>
              </w:rPr>
            </w:pP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1.72</w:t>
            </w: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10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2101102</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事业单位医疗</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5.79</w:t>
            </w:r>
          </w:p>
        </w:tc>
        <w:tc>
          <w:tcPr>
            <w:tcW w:w="1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5.79</w:t>
            </w: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5.79</w:t>
            </w:r>
          </w:p>
        </w:tc>
        <w:tc>
          <w:tcPr>
            <w:tcW w:w="2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5"/>
                <w:szCs w:val="15"/>
                <w:u w:val="none"/>
              </w:rPr>
            </w:pPr>
          </w:p>
        </w:tc>
        <w:tc>
          <w:tcPr>
            <w:tcW w:w="2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5"/>
                <w:szCs w:val="15"/>
                <w:u w:val="none"/>
              </w:rPr>
            </w:pP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0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10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2101199</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其他行政事业单位医疗支出</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1.72</w:t>
            </w:r>
          </w:p>
        </w:tc>
        <w:tc>
          <w:tcPr>
            <w:tcW w:w="1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2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5"/>
                <w:szCs w:val="15"/>
                <w:u w:val="none"/>
              </w:rPr>
            </w:pPr>
          </w:p>
        </w:tc>
        <w:tc>
          <w:tcPr>
            <w:tcW w:w="2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5"/>
                <w:szCs w:val="15"/>
                <w:u w:val="none"/>
              </w:rPr>
            </w:pP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1.72</w:t>
            </w: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10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221</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住房保障支出</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14.30</w:t>
            </w:r>
          </w:p>
        </w:tc>
        <w:tc>
          <w:tcPr>
            <w:tcW w:w="1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2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5"/>
                <w:szCs w:val="15"/>
                <w:u w:val="none"/>
              </w:rPr>
            </w:pPr>
          </w:p>
        </w:tc>
        <w:tc>
          <w:tcPr>
            <w:tcW w:w="2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5"/>
                <w:szCs w:val="15"/>
                <w:u w:val="none"/>
              </w:rPr>
            </w:pP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14.30</w:t>
            </w: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10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02</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住房改革支出</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14.30</w:t>
            </w:r>
          </w:p>
        </w:tc>
        <w:tc>
          <w:tcPr>
            <w:tcW w:w="1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2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5"/>
                <w:szCs w:val="15"/>
                <w:u w:val="none"/>
              </w:rPr>
            </w:pPr>
          </w:p>
        </w:tc>
        <w:tc>
          <w:tcPr>
            <w:tcW w:w="2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5"/>
                <w:szCs w:val="15"/>
                <w:u w:val="none"/>
              </w:rPr>
            </w:pP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14.30</w:t>
            </w: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10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2210201</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住房公积金</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14.30</w:t>
            </w:r>
          </w:p>
        </w:tc>
        <w:tc>
          <w:tcPr>
            <w:tcW w:w="1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2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5"/>
                <w:szCs w:val="15"/>
                <w:u w:val="none"/>
              </w:rPr>
            </w:pPr>
          </w:p>
        </w:tc>
        <w:tc>
          <w:tcPr>
            <w:tcW w:w="2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5"/>
                <w:szCs w:val="15"/>
                <w:u w:val="none"/>
              </w:rPr>
            </w:pP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3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14.30</w:t>
            </w: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5"/>
                <w:szCs w:val="15"/>
                <w:u w:val="none"/>
              </w:rPr>
            </w:pPr>
          </w:p>
        </w:tc>
      </w:tr>
    </w:tbl>
    <w:p>
      <w:pPr>
        <w:pStyle w:val="2"/>
        <w:widowControl w:val="0"/>
        <w:numPr>
          <w:ilvl w:val="0"/>
          <w:numId w:val="0"/>
        </w:numPr>
        <w:jc w:val="both"/>
        <w:rPr>
          <w:rFonts w:hint="eastAsia" w:ascii="仿宋" w:hAnsi="仿宋" w:eastAsia="仿宋" w:cs="仿宋"/>
          <w:color w:val="auto"/>
          <w:sz w:val="32"/>
          <w:szCs w:val="32"/>
        </w:rPr>
      </w:pPr>
    </w:p>
    <w:p>
      <w:pPr>
        <w:pStyle w:val="2"/>
        <w:widowControl w:val="0"/>
        <w:numPr>
          <w:ilvl w:val="0"/>
          <w:numId w:val="0"/>
        </w:numPr>
        <w:jc w:val="both"/>
        <w:rPr>
          <w:rFonts w:hint="eastAsia" w:ascii="仿宋" w:hAnsi="仿宋" w:eastAsia="仿宋" w:cs="仿宋"/>
          <w:color w:val="auto"/>
          <w:sz w:val="32"/>
          <w:szCs w:val="32"/>
        </w:rPr>
      </w:pPr>
    </w:p>
    <w:p>
      <w:pPr>
        <w:numPr>
          <w:ilvl w:val="0"/>
          <w:numId w:val="2"/>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《部门支出总表》</w:t>
      </w:r>
    </w:p>
    <w:tbl>
      <w:tblPr>
        <w:tblStyle w:val="3"/>
        <w:tblW w:w="154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316"/>
        <w:gridCol w:w="5613"/>
        <w:gridCol w:w="1303"/>
        <w:gridCol w:w="1455"/>
        <w:gridCol w:w="175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9" w:hRule="atLeast"/>
        </w:trPr>
        <w:tc>
          <w:tcPr>
            <w:tcW w:w="15440" w:type="dxa"/>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部门支出总表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填报单位[403032]兴国县杰村乡卫生院</w:t>
            </w:r>
          </w:p>
        </w:tc>
        <w:tc>
          <w:tcPr>
            <w:tcW w:w="0" w:type="auto"/>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支出功能分类科目</w:t>
            </w:r>
          </w:p>
        </w:tc>
        <w:tc>
          <w:tcPr>
            <w:tcW w:w="1169"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0" w:type="auto"/>
            <w:vMerge w:val="restar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基本支出</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科目编码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科目名称 </w:t>
            </w:r>
          </w:p>
        </w:tc>
        <w:tc>
          <w:tcPr>
            <w:tcW w:w="1169"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674.59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674.59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社会保障和就业支出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行政事业单位养老支出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2080505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机关事业单位基本养老保险缴费支出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2080506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机关事业单位职业年金缴费支出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卫生健康支出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638.53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638.53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基层医疗卫生机构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631.02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631.02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2100302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乡镇卫生院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631.02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631.02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行政事业单位医疗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2101102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事业单位医疗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5.79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5.79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2101199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其他行政事业单位医疗支出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住房保障支出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住房改革支出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2210201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住房公积金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2"/>
                <w:szCs w:val="22"/>
                <w:u w:val="none"/>
              </w:rPr>
            </w:pPr>
          </w:p>
        </w:tc>
      </w:tr>
    </w:tbl>
    <w:p>
      <w:pPr>
        <w:pStyle w:val="2"/>
        <w:rPr>
          <w:rFonts w:hint="eastAsia" w:ascii="仿宋" w:hAnsi="仿宋" w:eastAsia="仿宋" w:cs="仿宋"/>
          <w:color w:val="auto"/>
          <w:sz w:val="32"/>
          <w:szCs w:val="32"/>
        </w:rPr>
      </w:pPr>
    </w:p>
    <w:p>
      <w:pPr>
        <w:numPr>
          <w:ilvl w:val="0"/>
          <w:numId w:val="2"/>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《财政拨款收支总表》</w:t>
      </w:r>
    </w:p>
    <w:tbl>
      <w:tblPr>
        <w:tblStyle w:val="3"/>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271"/>
        <w:gridCol w:w="1156"/>
        <w:gridCol w:w="3036"/>
        <w:gridCol w:w="1156"/>
        <w:gridCol w:w="2096"/>
        <w:gridCol w:w="2332"/>
        <w:gridCol w:w="25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4195" w:type="pct"/>
            <w:gridSpan w:val="6"/>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财政拨款收支总表</w:t>
            </w:r>
          </w:p>
        </w:tc>
        <w:tc>
          <w:tcPr>
            <w:tcW w:w="80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02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[403032]兴国县杰村乡卫生院</w:t>
            </w:r>
          </w:p>
        </w:tc>
        <w:tc>
          <w:tcPr>
            <w:tcW w:w="46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952"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361"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65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731" w:type="pct"/>
            <w:tcBorders>
              <w:top w:val="nil"/>
              <w:left w:val="nil"/>
              <w:bottom w:val="nil"/>
              <w:right w:val="nil"/>
            </w:tcBorders>
            <w:shd w:val="clear" w:color="auto" w:fill="auto"/>
            <w:noWrap/>
            <w:vAlign w:val="center"/>
          </w:tcPr>
          <w:p>
            <w:pPr>
              <w:jc w:val="right"/>
              <w:rPr>
                <w:rFonts w:hint="eastAsia" w:ascii="宋体" w:hAnsi="宋体" w:eastAsia="宋体" w:cs="宋体"/>
                <w:i w:val="0"/>
                <w:iCs w:val="0"/>
                <w:color w:val="000000"/>
                <w:sz w:val="24"/>
                <w:szCs w:val="24"/>
                <w:u w:val="none"/>
              </w:rPr>
            </w:pPr>
          </w:p>
        </w:tc>
        <w:tc>
          <w:tcPr>
            <w:tcW w:w="804"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45" w:hRule="atLeast"/>
        </w:trPr>
        <w:tc>
          <w:tcPr>
            <w:tcW w:w="149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收      入</w:t>
            </w:r>
          </w:p>
        </w:tc>
        <w:tc>
          <w:tcPr>
            <w:tcW w:w="3507"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支出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预算数</w:t>
            </w:r>
          </w:p>
        </w:tc>
        <w:tc>
          <w:tcPr>
            <w:tcW w:w="952"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项目(按支出功能科目类级)</w:t>
            </w:r>
          </w:p>
        </w:tc>
        <w:tc>
          <w:tcPr>
            <w:tcW w:w="36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65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一般公共预算支出</w:t>
            </w:r>
          </w:p>
        </w:tc>
        <w:tc>
          <w:tcPr>
            <w:tcW w:w="73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政府性基金预算支出</w:t>
            </w: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国有资本经营预算支出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45" w:hRule="atLeast"/>
        </w:trPr>
        <w:tc>
          <w:tcPr>
            <w:tcW w:w="10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一、财政拨款收入</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171.0634</w:t>
            </w:r>
          </w:p>
        </w:tc>
        <w:tc>
          <w:tcPr>
            <w:tcW w:w="9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一、本年支出</w:t>
            </w:r>
          </w:p>
        </w:tc>
        <w:tc>
          <w:tcPr>
            <w:tcW w:w="3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171.0634</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171.0634</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0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一般公共预算拨款收入</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171.0634</w:t>
            </w:r>
          </w:p>
        </w:tc>
        <w:tc>
          <w:tcPr>
            <w:tcW w:w="9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社会保障和就业支出</w:t>
            </w:r>
          </w:p>
        </w:tc>
        <w:tc>
          <w:tcPr>
            <w:tcW w:w="3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21.7582</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21.7582</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0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政府性基金预算拨款收入</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9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卫生健康支出</w:t>
            </w:r>
          </w:p>
        </w:tc>
        <w:tc>
          <w:tcPr>
            <w:tcW w:w="3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149.3052</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149.3052</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0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国有资本经营预算收入</w:t>
            </w:r>
          </w:p>
        </w:tc>
        <w:tc>
          <w:tcPr>
            <w:tcW w:w="46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9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3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0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4"/>
                <w:szCs w:val="24"/>
                <w:u w:val="none"/>
              </w:rPr>
            </w:pPr>
          </w:p>
        </w:tc>
        <w:tc>
          <w:tcPr>
            <w:tcW w:w="46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9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3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0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4"/>
                <w:szCs w:val="24"/>
                <w:u w:val="none"/>
              </w:rPr>
            </w:pPr>
          </w:p>
        </w:tc>
        <w:tc>
          <w:tcPr>
            <w:tcW w:w="46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9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3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0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二、上年结转</w:t>
            </w:r>
          </w:p>
        </w:tc>
        <w:tc>
          <w:tcPr>
            <w:tcW w:w="46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4"/>
                <w:szCs w:val="24"/>
                <w:u w:val="none"/>
              </w:rPr>
            </w:pPr>
          </w:p>
        </w:tc>
        <w:tc>
          <w:tcPr>
            <w:tcW w:w="9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二、结转下年</w:t>
            </w:r>
          </w:p>
        </w:tc>
        <w:tc>
          <w:tcPr>
            <w:tcW w:w="3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02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一般公共预算拨款结转</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2"/>
                <w:szCs w:val="22"/>
                <w:u w:val="none"/>
              </w:rPr>
            </w:pPr>
          </w:p>
        </w:tc>
        <w:tc>
          <w:tcPr>
            <w:tcW w:w="9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3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0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政府性基金预算拨款结转</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4"/>
                <w:szCs w:val="24"/>
                <w:u w:val="none"/>
              </w:rPr>
            </w:pPr>
          </w:p>
        </w:tc>
        <w:tc>
          <w:tcPr>
            <w:tcW w:w="9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3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0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4"/>
                <w:szCs w:val="24"/>
                <w:u w:val="none"/>
              </w:rPr>
            </w:pPr>
          </w:p>
        </w:tc>
        <w:tc>
          <w:tcPr>
            <w:tcW w:w="46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9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3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0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4"/>
                <w:szCs w:val="24"/>
                <w:u w:val="none"/>
              </w:rPr>
            </w:pPr>
          </w:p>
        </w:tc>
        <w:tc>
          <w:tcPr>
            <w:tcW w:w="46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9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3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0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收入总计</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171.06</w:t>
            </w:r>
          </w:p>
        </w:tc>
        <w:tc>
          <w:tcPr>
            <w:tcW w:w="9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支出总计</w:t>
            </w:r>
          </w:p>
        </w:tc>
        <w:tc>
          <w:tcPr>
            <w:tcW w:w="3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171.06</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171.06</w:t>
            </w: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r>
    </w:tbl>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numPr>
          <w:ilvl w:val="0"/>
          <w:numId w:val="2"/>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《一般公共预算支出表》</w:t>
      </w:r>
    </w:p>
    <w:tbl>
      <w:tblPr>
        <w:tblStyle w:val="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566"/>
        <w:gridCol w:w="6214"/>
        <w:gridCol w:w="1280"/>
        <w:gridCol w:w="1608"/>
        <w:gridCol w:w="194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一般公共预算支出表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462"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[403032]兴国县杰村乡卫生院</w:t>
            </w:r>
          </w:p>
        </w:tc>
        <w:tc>
          <w:tcPr>
            <w:tcW w:w="198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410"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51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622"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45" w:hRule="atLeast"/>
        </w:trPr>
        <w:tc>
          <w:tcPr>
            <w:tcW w:w="345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支出功能分类科目</w:t>
            </w:r>
          </w:p>
        </w:tc>
        <w:tc>
          <w:tcPr>
            <w:tcW w:w="154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2022年预算数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4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科目编码</w:t>
            </w:r>
          </w:p>
        </w:tc>
        <w:tc>
          <w:tcPr>
            <w:tcW w:w="1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科目名称 </w:t>
            </w:r>
          </w:p>
        </w:tc>
        <w:tc>
          <w:tcPr>
            <w:tcW w:w="4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基本支出</w:t>
            </w:r>
          </w:p>
        </w:tc>
        <w:tc>
          <w:tcPr>
            <w:tcW w:w="6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462"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989"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410"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15"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622"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4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4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171.06</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171.06</w:t>
            </w:r>
          </w:p>
        </w:tc>
        <w:tc>
          <w:tcPr>
            <w:tcW w:w="6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4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208</w:t>
            </w:r>
          </w:p>
        </w:tc>
        <w:tc>
          <w:tcPr>
            <w:tcW w:w="1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社会保障和就业支出</w:t>
            </w:r>
          </w:p>
        </w:tc>
        <w:tc>
          <w:tcPr>
            <w:tcW w:w="4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21.76</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21.76</w:t>
            </w:r>
          </w:p>
        </w:tc>
        <w:tc>
          <w:tcPr>
            <w:tcW w:w="6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4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05</w:t>
            </w:r>
          </w:p>
        </w:tc>
        <w:tc>
          <w:tcPr>
            <w:tcW w:w="1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行政事业单位养老支出</w:t>
            </w:r>
          </w:p>
        </w:tc>
        <w:tc>
          <w:tcPr>
            <w:tcW w:w="4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21.76</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21.76</w:t>
            </w:r>
          </w:p>
        </w:tc>
        <w:tc>
          <w:tcPr>
            <w:tcW w:w="6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4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2080505</w:t>
            </w:r>
          </w:p>
        </w:tc>
        <w:tc>
          <w:tcPr>
            <w:tcW w:w="1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机关事业单位基本养老保险缴费支出</w:t>
            </w:r>
          </w:p>
        </w:tc>
        <w:tc>
          <w:tcPr>
            <w:tcW w:w="4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14.51</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14.51</w:t>
            </w:r>
          </w:p>
        </w:tc>
        <w:tc>
          <w:tcPr>
            <w:tcW w:w="6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4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2080506</w:t>
            </w:r>
          </w:p>
        </w:tc>
        <w:tc>
          <w:tcPr>
            <w:tcW w:w="1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机关事业单位职业年金缴费支出</w:t>
            </w:r>
          </w:p>
        </w:tc>
        <w:tc>
          <w:tcPr>
            <w:tcW w:w="4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7.25</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7.25</w:t>
            </w:r>
          </w:p>
        </w:tc>
        <w:tc>
          <w:tcPr>
            <w:tcW w:w="6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4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210</w:t>
            </w:r>
          </w:p>
        </w:tc>
        <w:tc>
          <w:tcPr>
            <w:tcW w:w="1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卫生健康支出</w:t>
            </w:r>
          </w:p>
        </w:tc>
        <w:tc>
          <w:tcPr>
            <w:tcW w:w="4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149.31</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149.31</w:t>
            </w:r>
          </w:p>
        </w:tc>
        <w:tc>
          <w:tcPr>
            <w:tcW w:w="6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4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03</w:t>
            </w:r>
          </w:p>
        </w:tc>
        <w:tc>
          <w:tcPr>
            <w:tcW w:w="1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基层医疗卫生机构</w:t>
            </w:r>
          </w:p>
        </w:tc>
        <w:tc>
          <w:tcPr>
            <w:tcW w:w="4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143.52</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143.52</w:t>
            </w:r>
          </w:p>
        </w:tc>
        <w:tc>
          <w:tcPr>
            <w:tcW w:w="6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4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2100302</w:t>
            </w:r>
          </w:p>
        </w:tc>
        <w:tc>
          <w:tcPr>
            <w:tcW w:w="1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乡镇卫生院</w:t>
            </w:r>
          </w:p>
        </w:tc>
        <w:tc>
          <w:tcPr>
            <w:tcW w:w="4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143.52</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143.52</w:t>
            </w:r>
          </w:p>
        </w:tc>
        <w:tc>
          <w:tcPr>
            <w:tcW w:w="6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4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11</w:t>
            </w:r>
          </w:p>
        </w:tc>
        <w:tc>
          <w:tcPr>
            <w:tcW w:w="1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行政事业单位医疗</w:t>
            </w:r>
          </w:p>
        </w:tc>
        <w:tc>
          <w:tcPr>
            <w:tcW w:w="4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5.79</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5.79</w:t>
            </w:r>
          </w:p>
        </w:tc>
        <w:tc>
          <w:tcPr>
            <w:tcW w:w="6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4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2101102</w:t>
            </w:r>
          </w:p>
        </w:tc>
        <w:tc>
          <w:tcPr>
            <w:tcW w:w="1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事业单位医疗</w:t>
            </w:r>
          </w:p>
        </w:tc>
        <w:tc>
          <w:tcPr>
            <w:tcW w:w="4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5.79</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5.79</w:t>
            </w:r>
          </w:p>
        </w:tc>
        <w:tc>
          <w:tcPr>
            <w:tcW w:w="6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bl>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numPr>
          <w:ilvl w:val="0"/>
          <w:numId w:val="2"/>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《一般公共预算基本支出表》</w:t>
      </w:r>
    </w:p>
    <w:tbl>
      <w:tblPr>
        <w:tblStyle w:val="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993"/>
        <w:gridCol w:w="4572"/>
        <w:gridCol w:w="2152"/>
        <w:gridCol w:w="2464"/>
        <w:gridCol w:w="24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一般公共预算基本支出表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279"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[403032]兴国县杰村乡卫生院</w:t>
            </w:r>
          </w:p>
        </w:tc>
        <w:tc>
          <w:tcPr>
            <w:tcW w:w="1463"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68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78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777"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274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支出经济分类科目</w:t>
            </w:r>
          </w:p>
        </w:tc>
        <w:tc>
          <w:tcPr>
            <w:tcW w:w="225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2022年基本支出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2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科目编码</w:t>
            </w:r>
          </w:p>
        </w:tc>
        <w:tc>
          <w:tcPr>
            <w:tcW w:w="1463" w:type="pc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科目名称 </w:t>
            </w:r>
          </w:p>
        </w:tc>
        <w:tc>
          <w:tcPr>
            <w:tcW w:w="689"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789"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人员经费</w:t>
            </w:r>
          </w:p>
        </w:tc>
        <w:tc>
          <w:tcPr>
            <w:tcW w:w="77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20" w:hRule="atLeast"/>
        </w:trPr>
        <w:tc>
          <w:tcPr>
            <w:tcW w:w="1279"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463"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689"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789"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777"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2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4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6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171.06</w:t>
            </w:r>
          </w:p>
        </w:tc>
        <w:tc>
          <w:tcPr>
            <w:tcW w:w="7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171.06</w:t>
            </w:r>
          </w:p>
        </w:tc>
        <w:tc>
          <w:tcPr>
            <w:tcW w:w="7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2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301</w:t>
            </w:r>
          </w:p>
        </w:tc>
        <w:tc>
          <w:tcPr>
            <w:tcW w:w="14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工资福利支出</w:t>
            </w:r>
          </w:p>
        </w:tc>
        <w:tc>
          <w:tcPr>
            <w:tcW w:w="6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171.06</w:t>
            </w:r>
          </w:p>
        </w:tc>
        <w:tc>
          <w:tcPr>
            <w:tcW w:w="7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171.06</w:t>
            </w:r>
          </w:p>
        </w:tc>
        <w:tc>
          <w:tcPr>
            <w:tcW w:w="7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2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30101</w:t>
            </w:r>
          </w:p>
        </w:tc>
        <w:tc>
          <w:tcPr>
            <w:tcW w:w="14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基本工资</w:t>
            </w:r>
          </w:p>
        </w:tc>
        <w:tc>
          <w:tcPr>
            <w:tcW w:w="6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143.52</w:t>
            </w:r>
          </w:p>
        </w:tc>
        <w:tc>
          <w:tcPr>
            <w:tcW w:w="7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143.52</w:t>
            </w:r>
          </w:p>
        </w:tc>
        <w:tc>
          <w:tcPr>
            <w:tcW w:w="7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2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30108</w:t>
            </w:r>
          </w:p>
        </w:tc>
        <w:tc>
          <w:tcPr>
            <w:tcW w:w="14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机关事业单位基本养老保险缴费</w:t>
            </w:r>
          </w:p>
        </w:tc>
        <w:tc>
          <w:tcPr>
            <w:tcW w:w="6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14.51</w:t>
            </w:r>
          </w:p>
        </w:tc>
        <w:tc>
          <w:tcPr>
            <w:tcW w:w="7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14.51</w:t>
            </w:r>
          </w:p>
        </w:tc>
        <w:tc>
          <w:tcPr>
            <w:tcW w:w="7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2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30109</w:t>
            </w:r>
          </w:p>
        </w:tc>
        <w:tc>
          <w:tcPr>
            <w:tcW w:w="14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职业年金缴费</w:t>
            </w:r>
          </w:p>
        </w:tc>
        <w:tc>
          <w:tcPr>
            <w:tcW w:w="6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7.25</w:t>
            </w:r>
          </w:p>
        </w:tc>
        <w:tc>
          <w:tcPr>
            <w:tcW w:w="7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7.25</w:t>
            </w:r>
          </w:p>
        </w:tc>
        <w:tc>
          <w:tcPr>
            <w:tcW w:w="7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2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30110</w:t>
            </w:r>
          </w:p>
        </w:tc>
        <w:tc>
          <w:tcPr>
            <w:tcW w:w="14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职工基本医疗保险缴费</w:t>
            </w:r>
          </w:p>
        </w:tc>
        <w:tc>
          <w:tcPr>
            <w:tcW w:w="6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5.79</w:t>
            </w:r>
          </w:p>
        </w:tc>
        <w:tc>
          <w:tcPr>
            <w:tcW w:w="7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5.79</w:t>
            </w:r>
          </w:p>
        </w:tc>
        <w:tc>
          <w:tcPr>
            <w:tcW w:w="7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r>
    </w:tbl>
    <w:p>
      <w:pPr>
        <w:pStyle w:val="2"/>
        <w:rPr>
          <w:color w:val="auto"/>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color w:val="auto"/>
        </w:rPr>
      </w:pPr>
    </w:p>
    <w:p>
      <w:pPr>
        <w:numPr>
          <w:ilvl w:val="0"/>
          <w:numId w:val="2"/>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《一般公共预算“三公”经费支出表》</w:t>
      </w:r>
    </w:p>
    <w:tbl>
      <w:tblPr>
        <w:tblStyle w:val="3"/>
        <w:tblW w:w="1456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910"/>
        <w:gridCol w:w="3633"/>
        <w:gridCol w:w="2098"/>
        <w:gridCol w:w="1460"/>
        <w:gridCol w:w="1378"/>
        <w:gridCol w:w="1419"/>
        <w:gridCol w:w="16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875" w:type="dxa"/>
            <w:tcBorders>
              <w:top w:val="nil"/>
              <w:left w:val="nil"/>
              <w:bottom w:val="nil"/>
              <w:right w:val="nil"/>
            </w:tcBorders>
            <w:shd w:val="clear" w:color="auto" w:fill="auto"/>
            <w:noWrap/>
            <w:vAlign w:val="bottom"/>
          </w:tcPr>
          <w:p>
            <w:pPr>
              <w:rPr>
                <w:rFonts w:hint="eastAsia" w:ascii="Calibri" w:hAnsi="Calibri" w:cs="Calibri"/>
                <w:i w:val="0"/>
                <w:iCs w:val="0"/>
                <w:color w:val="000000"/>
                <w:sz w:val="22"/>
                <w:szCs w:val="22"/>
                <w:u w:val="none"/>
              </w:rPr>
            </w:pPr>
          </w:p>
        </w:tc>
        <w:tc>
          <w:tcPr>
            <w:tcW w:w="3990" w:type="dxa"/>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2295" w:type="dxa"/>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1590" w:type="dxa"/>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4815" w:type="dxa"/>
            <w:gridSpan w:val="3"/>
            <w:tcBorders>
              <w:top w:val="nil"/>
              <w:left w:val="nil"/>
              <w:bottom w:val="nil"/>
              <w:right w:val="nil"/>
            </w:tcBorders>
            <w:shd w:val="clear" w:color="auto" w:fill="auto"/>
            <w:noWrap/>
            <w:vAlign w:val="bottom"/>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一般公共预算“三公”经费支出表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填报单位[403032]兴国县杰村乡卫生院</w:t>
            </w: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bottom"/>
          </w:tcPr>
          <w:p>
            <w:pPr>
              <w:rPr>
                <w:rFonts w:hint="default" w:ascii="Calibri" w:hAnsi="Calibri" w:cs="Calibri"/>
                <w:i w:val="0"/>
                <w:iCs w:val="0"/>
                <w:color w:val="000000"/>
                <w:sz w:val="24"/>
                <w:szCs w:val="24"/>
                <w:u w:val="none"/>
              </w:rPr>
            </w:pPr>
          </w:p>
        </w:tc>
        <w:tc>
          <w:tcPr>
            <w:tcW w:w="0" w:type="auto"/>
            <w:tcBorders>
              <w:top w:val="nil"/>
              <w:left w:val="nil"/>
              <w:bottom w:val="nil"/>
              <w:right w:val="nil"/>
            </w:tcBorders>
            <w:shd w:val="clear" w:color="auto" w:fill="auto"/>
            <w:noWrap/>
            <w:vAlign w:val="bottom"/>
          </w:tcPr>
          <w:p>
            <w:pPr>
              <w:rPr>
                <w:rFonts w:hint="default" w:ascii="Calibri" w:hAnsi="Calibri" w:cs="Calibri"/>
                <w:i w:val="0"/>
                <w:iCs w:val="0"/>
                <w:color w:val="000000"/>
                <w:sz w:val="24"/>
                <w:szCs w:val="24"/>
                <w:u w:val="none"/>
              </w:rPr>
            </w:pPr>
          </w:p>
        </w:tc>
        <w:tc>
          <w:tcPr>
            <w:tcW w:w="0" w:type="auto"/>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部门编码</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部门名称</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15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因公出国(境)费</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公务接待费</w:t>
            </w:r>
          </w:p>
        </w:tc>
        <w:tc>
          <w:tcPr>
            <w:tcW w:w="15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公务用车运行维护费</w:t>
            </w:r>
          </w:p>
        </w:tc>
        <w:tc>
          <w:tcPr>
            <w:tcW w:w="17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公务用车购置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5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5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7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1875" w:type="dxa"/>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3990" w:type="dxa"/>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2295" w:type="dxa"/>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590" w:type="dxa"/>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500" w:type="dxa"/>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545" w:type="dxa"/>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77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1875" w:type="dxa"/>
            <w:tcBorders>
              <w:top w:val="single" w:color="000000" w:sz="4" w:space="0"/>
              <w:left w:val="single" w:color="000000" w:sz="4" w:space="0"/>
              <w:bottom w:val="single" w:color="000000" w:sz="4" w:space="0"/>
              <w:right w:val="nil"/>
            </w:tcBorders>
            <w:shd w:val="clear" w:color="auto" w:fill="auto"/>
            <w:vAlign w:val="center"/>
          </w:tcPr>
          <w:p>
            <w:pPr>
              <w:jc w:val="left"/>
              <w:rPr>
                <w:rFonts w:hint="eastAsia" w:ascii="宋体" w:hAnsi="宋体" w:eastAsia="宋体" w:cs="宋体"/>
                <w:i w:val="0"/>
                <w:iCs w:val="0"/>
                <w:color w:val="000000"/>
                <w:sz w:val="24"/>
                <w:szCs w:val="24"/>
                <w:u w:val="none"/>
              </w:rPr>
            </w:pPr>
          </w:p>
        </w:tc>
        <w:tc>
          <w:tcPr>
            <w:tcW w:w="3990" w:type="dxa"/>
            <w:tcBorders>
              <w:top w:val="single" w:color="000000" w:sz="4" w:space="0"/>
              <w:left w:val="single" w:color="000000" w:sz="4" w:space="0"/>
              <w:bottom w:val="single" w:color="000000" w:sz="4" w:space="0"/>
              <w:right w:val="nil"/>
            </w:tcBorders>
            <w:shd w:val="clear" w:color="auto" w:fill="auto"/>
            <w:vAlign w:val="center"/>
          </w:tcPr>
          <w:p>
            <w:pPr>
              <w:jc w:val="left"/>
              <w:rPr>
                <w:rFonts w:hint="eastAsia" w:ascii="宋体" w:hAnsi="宋体" w:eastAsia="宋体" w:cs="宋体"/>
                <w:i w:val="0"/>
                <w:iCs w:val="0"/>
                <w:color w:val="000000"/>
                <w:sz w:val="24"/>
                <w:szCs w:val="24"/>
                <w:u w:val="none"/>
              </w:rPr>
            </w:pPr>
          </w:p>
        </w:tc>
        <w:tc>
          <w:tcPr>
            <w:tcW w:w="22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1500" w:type="dxa"/>
            <w:tcBorders>
              <w:top w:val="single" w:color="000000" w:sz="4" w:space="0"/>
              <w:left w:val="single" w:color="000000" w:sz="4" w:space="0"/>
              <w:bottom w:val="single" w:color="000000" w:sz="4" w:space="0"/>
              <w:right w:val="nil"/>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r>
    </w:tbl>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numPr>
          <w:ilvl w:val="0"/>
          <w:numId w:val="2"/>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《政府性基金预算支出表》</w:t>
      </w:r>
    </w:p>
    <w:p>
      <w:pPr>
        <w:pStyle w:val="2"/>
        <w:rPr>
          <w:color w:val="auto"/>
        </w:rPr>
      </w:pPr>
    </w:p>
    <w:tbl>
      <w:tblPr>
        <w:tblStyle w:val="3"/>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598"/>
        <w:gridCol w:w="4889"/>
        <w:gridCol w:w="3147"/>
        <w:gridCol w:w="2707"/>
        <w:gridCol w:w="32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543"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59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03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819" w:type="pct"/>
            <w:gridSpan w:val="2"/>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注：若为空表，则为该部门（单位）无政府性基金收支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政府性基金预算支出表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43" w:type="pct"/>
            <w:tcBorders>
              <w:top w:val="nil"/>
              <w:left w:val="nil"/>
              <w:bottom w:val="nil"/>
              <w:right w:val="nil"/>
            </w:tcBorders>
            <w:shd w:val="clear" w:color="auto" w:fill="auto"/>
            <w:noWrap/>
            <w:vAlign w:val="center"/>
          </w:tcPr>
          <w:p>
            <w:pPr>
              <w:jc w:val="left"/>
              <w:rPr>
                <w:rFonts w:hint="eastAsia" w:ascii="宋体" w:hAnsi="宋体" w:eastAsia="宋体" w:cs="宋体"/>
                <w:i w:val="0"/>
                <w:iCs w:val="0"/>
                <w:color w:val="000000"/>
                <w:sz w:val="24"/>
                <w:szCs w:val="24"/>
                <w:u w:val="none"/>
              </w:rPr>
            </w:pPr>
          </w:p>
        </w:tc>
        <w:tc>
          <w:tcPr>
            <w:tcW w:w="159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103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82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994"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214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支出功能分类科目</w:t>
            </w:r>
          </w:p>
        </w:tc>
        <w:tc>
          <w:tcPr>
            <w:tcW w:w="2859"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2022年预算数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科目编码</w:t>
            </w:r>
          </w:p>
        </w:tc>
        <w:tc>
          <w:tcPr>
            <w:tcW w:w="1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科目名称 </w:t>
            </w:r>
          </w:p>
        </w:tc>
        <w:tc>
          <w:tcPr>
            <w:tcW w:w="10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基本支出</w:t>
            </w:r>
          </w:p>
        </w:tc>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0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0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bl>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numPr>
          <w:ilvl w:val="0"/>
          <w:numId w:val="2"/>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国有资本经营</w:t>
      </w:r>
      <w:r>
        <w:rPr>
          <w:rFonts w:hint="eastAsia" w:ascii="仿宋" w:hAnsi="仿宋" w:eastAsia="仿宋" w:cs="仿宋"/>
          <w:color w:val="auto"/>
          <w:sz w:val="32"/>
          <w:szCs w:val="32"/>
        </w:rPr>
        <w:t>预算支出表》</w:t>
      </w:r>
    </w:p>
    <w:p>
      <w:pPr>
        <w:pStyle w:val="2"/>
        <w:rPr>
          <w:rFonts w:hint="eastAsia" w:ascii="仿宋" w:hAnsi="仿宋" w:eastAsia="仿宋" w:cs="仿宋"/>
          <w:color w:val="auto"/>
          <w:sz w:val="32"/>
          <w:szCs w:val="32"/>
          <w:lang w:val="en-US" w:eastAsia="zh-CN"/>
        </w:rPr>
      </w:pPr>
    </w:p>
    <w:tbl>
      <w:tblPr>
        <w:tblStyle w:val="3"/>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416"/>
        <w:gridCol w:w="4092"/>
        <w:gridCol w:w="1432"/>
        <w:gridCol w:w="2553"/>
        <w:gridCol w:w="311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173"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371"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2455" w:type="pct"/>
            <w:gridSpan w:val="3"/>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注：若为空表，则为该部门（单位）无国有资本经营预算收支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国有资本经营预算支出表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173"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填报单位:[403032]兴国县杰村乡卫生院</w:t>
            </w:r>
          </w:p>
        </w:tc>
        <w:tc>
          <w:tcPr>
            <w:tcW w:w="1371"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51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878"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1057"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54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支出功能分类科目</w:t>
            </w:r>
          </w:p>
        </w:tc>
        <w:tc>
          <w:tcPr>
            <w:tcW w:w="2455"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2022年预算数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1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科目编码</w:t>
            </w: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科目名称 </w:t>
            </w:r>
          </w:p>
        </w:tc>
        <w:tc>
          <w:tcPr>
            <w:tcW w:w="5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8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基本支出</w:t>
            </w:r>
          </w:p>
        </w:tc>
        <w:tc>
          <w:tcPr>
            <w:tcW w:w="10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1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5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8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0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1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5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8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0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bl>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numPr>
          <w:ilvl w:val="0"/>
          <w:numId w:val="2"/>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整体支出绩效目标表》</w:t>
      </w:r>
    </w:p>
    <w:p>
      <w:pPr>
        <w:pStyle w:val="2"/>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无</w:t>
      </w: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numPr>
          <w:ilvl w:val="0"/>
          <w:numId w:val="2"/>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《项目支出绩效目标表》</w:t>
      </w:r>
    </w:p>
    <w:p>
      <w:pPr>
        <w:pStyle w:val="2"/>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无</w:t>
      </w: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sectPr>
          <w:pgSz w:w="16838" w:h="11906" w:orient="landscape"/>
          <w:pgMar w:top="720" w:right="720" w:bottom="720" w:left="720" w:header="851" w:footer="992" w:gutter="0"/>
          <w:cols w:space="425" w:num="1"/>
          <w:docGrid w:type="lines" w:linePitch="312" w:charSpace="0"/>
        </w:sectPr>
      </w:pPr>
    </w:p>
    <w:p>
      <w:pPr>
        <w:spacing w:line="560" w:lineRule="exact"/>
        <w:ind w:firstLine="0" w:firstLineChars="0"/>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第四部分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名词解释</w:t>
      </w:r>
    </w:p>
    <w:p>
      <w:pPr>
        <w:spacing w:line="560" w:lineRule="exact"/>
        <w:ind w:firstLine="604" w:firstLineChars="189"/>
        <w:jc w:val="center"/>
        <w:rPr>
          <w:rFonts w:ascii="仿宋" w:hAnsi="仿宋" w:eastAsia="仿宋" w:cs="仿宋"/>
          <w:color w:val="auto"/>
          <w:sz w:val="32"/>
          <w:szCs w:val="32"/>
        </w:rPr>
      </w:pPr>
    </w:p>
    <w:p>
      <w:pPr>
        <w:spacing w:line="560" w:lineRule="exact"/>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一、收入科目</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（一）财政拨款：指县本级财政当年拨付的资金。</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（二）事业收入：指事业单位开展专业业务活动及辅助活动取得的收入。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（四）其他收入：指除财政拨款、事业收入、事业单位经营收入等以外的各项收入。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（七）使用非财政拨款结余：填列历年滚存的非限定用途的非统计财政拨款结余弥补</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年收支差额的数额。</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（八）上年结转和结余：填列</w:t>
      </w:r>
      <w:r>
        <w:rPr>
          <w:rFonts w:hint="eastAsia" w:ascii="仿宋" w:hAnsi="仿宋" w:eastAsia="仿宋" w:cs="仿宋"/>
          <w:color w:val="auto"/>
          <w:sz w:val="32"/>
          <w:szCs w:val="32"/>
          <w:lang w:val="en-US" w:eastAsia="zh-CN"/>
        </w:rPr>
        <w:t>2021</w:t>
      </w:r>
      <w:r>
        <w:rPr>
          <w:rFonts w:hint="eastAsia" w:ascii="仿宋" w:hAnsi="仿宋" w:eastAsia="仿宋" w:cs="仿宋"/>
          <w:color w:val="auto"/>
          <w:sz w:val="32"/>
          <w:szCs w:val="32"/>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color w:val="auto"/>
          <w:sz w:val="32"/>
          <w:szCs w:val="32"/>
        </w:rPr>
      </w:pPr>
      <w:r>
        <w:rPr>
          <w:rFonts w:hint="eastAsia" w:ascii="楷体" w:hAnsi="楷体" w:eastAsia="楷体" w:cs="楷体"/>
          <w:b/>
          <w:bCs/>
          <w:color w:val="auto"/>
          <w:sz w:val="32"/>
          <w:szCs w:val="32"/>
        </w:rPr>
        <w:t>二、支出科目</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（一）行政运行：反映行政单位（事业单位）的基本支出。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（四）行政单位医疗：反映行政事业单位基本医疗保险缴费经费。</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（五）事业单位医疗：反映财政部门集中安排的事业单位基本医疗保险缴费经费。</w:t>
      </w:r>
    </w:p>
    <w:p>
      <w:pPr>
        <w:ind w:firstLine="640" w:firstLineChars="200"/>
      </w:pPr>
      <w:r>
        <w:rPr>
          <w:rFonts w:hint="eastAsia" w:ascii="仿宋" w:hAnsi="仿宋" w:eastAsia="仿宋" w:cs="仿宋"/>
          <w:color w:val="auto"/>
          <w:sz w:val="32"/>
          <w:szCs w:val="32"/>
        </w:rPr>
        <w:t>（六）死亡抚恤：反映单位遗属人员生活补助。</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892699"/>
    <w:multiLevelType w:val="singleLevel"/>
    <w:tmpl w:val="0E892699"/>
    <w:lvl w:ilvl="0" w:tentative="0">
      <w:start w:val="2"/>
      <w:numFmt w:val="chineseCounting"/>
      <w:suff w:val="nothing"/>
      <w:lvlText w:val="%1、"/>
      <w:lvlJc w:val="left"/>
      <w:pPr>
        <w:ind w:left="210"/>
      </w:pPr>
      <w:rPr>
        <w:rFonts w:hint="eastAsia"/>
      </w:rPr>
    </w:lvl>
  </w:abstractNum>
  <w:abstractNum w:abstractNumId="1">
    <w:nsid w:val="523D3E4E"/>
    <w:multiLevelType w:val="singleLevel"/>
    <w:tmpl w:val="523D3E4E"/>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0ODJjYjI1MjNhNTQwNmJhOGVkMzJkZmE0OGIyNDcifQ=="/>
  </w:docVars>
  <w:rsids>
    <w:rsidRoot w:val="31C93669"/>
    <w:rsid w:val="00840C77"/>
    <w:rsid w:val="01DB2D9A"/>
    <w:rsid w:val="02A05901"/>
    <w:rsid w:val="033F65AC"/>
    <w:rsid w:val="04AA47FB"/>
    <w:rsid w:val="05033781"/>
    <w:rsid w:val="06913258"/>
    <w:rsid w:val="06EB2968"/>
    <w:rsid w:val="0774295E"/>
    <w:rsid w:val="09C73CC8"/>
    <w:rsid w:val="0C5D030A"/>
    <w:rsid w:val="0C965219"/>
    <w:rsid w:val="0C9F0180"/>
    <w:rsid w:val="0CC7558C"/>
    <w:rsid w:val="0DE40111"/>
    <w:rsid w:val="0DFC3E81"/>
    <w:rsid w:val="0F305284"/>
    <w:rsid w:val="0F981BA6"/>
    <w:rsid w:val="0FF7412C"/>
    <w:rsid w:val="116B728B"/>
    <w:rsid w:val="120E39AF"/>
    <w:rsid w:val="12413D84"/>
    <w:rsid w:val="128B4058"/>
    <w:rsid w:val="130C7119"/>
    <w:rsid w:val="157E0E4B"/>
    <w:rsid w:val="16247C45"/>
    <w:rsid w:val="169D0945"/>
    <w:rsid w:val="16DA6555"/>
    <w:rsid w:val="16E3540A"/>
    <w:rsid w:val="174F484D"/>
    <w:rsid w:val="175E2CE2"/>
    <w:rsid w:val="17850B4F"/>
    <w:rsid w:val="18187335"/>
    <w:rsid w:val="181C2B4F"/>
    <w:rsid w:val="19153875"/>
    <w:rsid w:val="194505FE"/>
    <w:rsid w:val="1A9D669C"/>
    <w:rsid w:val="1AC07BCE"/>
    <w:rsid w:val="1AC92B69"/>
    <w:rsid w:val="1AD35795"/>
    <w:rsid w:val="1B7F0948"/>
    <w:rsid w:val="1BCE1278"/>
    <w:rsid w:val="1C6C108F"/>
    <w:rsid w:val="1CFC0FD3"/>
    <w:rsid w:val="1D1F2F14"/>
    <w:rsid w:val="1D6628F1"/>
    <w:rsid w:val="1EC51899"/>
    <w:rsid w:val="1F5922CD"/>
    <w:rsid w:val="20607ACB"/>
    <w:rsid w:val="21006EE6"/>
    <w:rsid w:val="21EE5B9C"/>
    <w:rsid w:val="21FC1A76"/>
    <w:rsid w:val="220A4192"/>
    <w:rsid w:val="22AC524A"/>
    <w:rsid w:val="23623B5A"/>
    <w:rsid w:val="23875FE9"/>
    <w:rsid w:val="240D27A4"/>
    <w:rsid w:val="24977834"/>
    <w:rsid w:val="25172CD9"/>
    <w:rsid w:val="271E6A5F"/>
    <w:rsid w:val="27AB1CB6"/>
    <w:rsid w:val="27AD4B42"/>
    <w:rsid w:val="282F2AF8"/>
    <w:rsid w:val="293B2E83"/>
    <w:rsid w:val="29C56BF1"/>
    <w:rsid w:val="2A597E09"/>
    <w:rsid w:val="2A833419"/>
    <w:rsid w:val="2AC800C8"/>
    <w:rsid w:val="2C151290"/>
    <w:rsid w:val="2C6C77F8"/>
    <w:rsid w:val="2C8E3C12"/>
    <w:rsid w:val="2CB74F17"/>
    <w:rsid w:val="2D2347EC"/>
    <w:rsid w:val="2D7D50EB"/>
    <w:rsid w:val="2E7F1A64"/>
    <w:rsid w:val="2EB060C2"/>
    <w:rsid w:val="2F154177"/>
    <w:rsid w:val="2FB219C5"/>
    <w:rsid w:val="2FD8767E"/>
    <w:rsid w:val="31C93669"/>
    <w:rsid w:val="32700042"/>
    <w:rsid w:val="33DA3717"/>
    <w:rsid w:val="343C3F54"/>
    <w:rsid w:val="346C4839"/>
    <w:rsid w:val="351153E0"/>
    <w:rsid w:val="354E03E2"/>
    <w:rsid w:val="360A4309"/>
    <w:rsid w:val="37971E95"/>
    <w:rsid w:val="38037262"/>
    <w:rsid w:val="388D1D36"/>
    <w:rsid w:val="393A4831"/>
    <w:rsid w:val="3A593057"/>
    <w:rsid w:val="3CED228F"/>
    <w:rsid w:val="3D544CB7"/>
    <w:rsid w:val="3E175992"/>
    <w:rsid w:val="3F0C7A11"/>
    <w:rsid w:val="406B009A"/>
    <w:rsid w:val="40D45C40"/>
    <w:rsid w:val="40E35E83"/>
    <w:rsid w:val="40E84D51"/>
    <w:rsid w:val="421E4C34"/>
    <w:rsid w:val="426004B3"/>
    <w:rsid w:val="42CB4E20"/>
    <w:rsid w:val="438F22F2"/>
    <w:rsid w:val="44801C3A"/>
    <w:rsid w:val="44F227B7"/>
    <w:rsid w:val="45010FCD"/>
    <w:rsid w:val="460F771A"/>
    <w:rsid w:val="46873754"/>
    <w:rsid w:val="47EA6595"/>
    <w:rsid w:val="49D97E23"/>
    <w:rsid w:val="4A857FAB"/>
    <w:rsid w:val="4AE478DC"/>
    <w:rsid w:val="4D2B3305"/>
    <w:rsid w:val="4E5263F6"/>
    <w:rsid w:val="4E6D0D09"/>
    <w:rsid w:val="4ED35788"/>
    <w:rsid w:val="4F9C55BF"/>
    <w:rsid w:val="50811028"/>
    <w:rsid w:val="50CB7DCA"/>
    <w:rsid w:val="51031C29"/>
    <w:rsid w:val="51840FBC"/>
    <w:rsid w:val="51B96DA4"/>
    <w:rsid w:val="51CB6BEB"/>
    <w:rsid w:val="51F22534"/>
    <w:rsid w:val="52681863"/>
    <w:rsid w:val="52D01FDF"/>
    <w:rsid w:val="53A042C7"/>
    <w:rsid w:val="54CB0CB0"/>
    <w:rsid w:val="553C0616"/>
    <w:rsid w:val="554F368F"/>
    <w:rsid w:val="55D3606E"/>
    <w:rsid w:val="56044479"/>
    <w:rsid w:val="56811F6E"/>
    <w:rsid w:val="57061740"/>
    <w:rsid w:val="58AC6244"/>
    <w:rsid w:val="58BC2EB0"/>
    <w:rsid w:val="58F3277D"/>
    <w:rsid w:val="58F5279F"/>
    <w:rsid w:val="594159E5"/>
    <w:rsid w:val="5ABC3575"/>
    <w:rsid w:val="5BFD0408"/>
    <w:rsid w:val="5C723E7A"/>
    <w:rsid w:val="5EA600B9"/>
    <w:rsid w:val="5F693DE4"/>
    <w:rsid w:val="60587E80"/>
    <w:rsid w:val="63536A40"/>
    <w:rsid w:val="644E6953"/>
    <w:rsid w:val="64D11D53"/>
    <w:rsid w:val="653A7EB8"/>
    <w:rsid w:val="65E322FD"/>
    <w:rsid w:val="663C1A0D"/>
    <w:rsid w:val="66E005EB"/>
    <w:rsid w:val="672A7E5E"/>
    <w:rsid w:val="685360F8"/>
    <w:rsid w:val="6AFF7CB3"/>
    <w:rsid w:val="6D0B14CF"/>
    <w:rsid w:val="6D8819DC"/>
    <w:rsid w:val="6DAF51FF"/>
    <w:rsid w:val="6DB91B96"/>
    <w:rsid w:val="6DCB5401"/>
    <w:rsid w:val="6E9879FD"/>
    <w:rsid w:val="6F081D14"/>
    <w:rsid w:val="706E4EB9"/>
    <w:rsid w:val="712C09DD"/>
    <w:rsid w:val="72007D93"/>
    <w:rsid w:val="726B5B54"/>
    <w:rsid w:val="73C82B32"/>
    <w:rsid w:val="75153B55"/>
    <w:rsid w:val="75AB6156"/>
    <w:rsid w:val="76514C17"/>
    <w:rsid w:val="773109EF"/>
    <w:rsid w:val="77476464"/>
    <w:rsid w:val="78574485"/>
    <w:rsid w:val="78A83695"/>
    <w:rsid w:val="78B43685"/>
    <w:rsid w:val="7A074F0E"/>
    <w:rsid w:val="7B947027"/>
    <w:rsid w:val="7BE81275"/>
    <w:rsid w:val="7E0A3481"/>
    <w:rsid w:val="7E227E81"/>
    <w:rsid w:val="7E48597D"/>
    <w:rsid w:val="7F4008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4256</Words>
  <Characters>5282</Characters>
  <Lines>0</Lines>
  <Paragraphs>0</Paragraphs>
  <TotalTime>5</TotalTime>
  <ScaleCrop>false</ScaleCrop>
  <LinksUpToDate>false</LinksUpToDate>
  <CharactersWithSpaces>5498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2023-03-03T01:22:00Z</dcterms:created>
  <dc:creator>熙</dc:creator>
  <cp:lastModifiedBy>Administrator</cp:lastModifiedBy>
  <dcterms:modified xsi:type="dcterms:W3CDTF">2023-06-19T07:21:19Z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2565BFD5CA194D2BA1E665C4806FD21F_13</vt:lpwstr>
  </property>
</Properties>
</file>