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宋体" w:hAnsi="宋体" w:eastAsia="黑体" w:cs="黑体"/>
          <w:bCs/>
          <w:color w:val="000000" w:themeColor="text1"/>
          <w:sz w:val="32"/>
          <w:szCs w:val="32"/>
          <w:lang w:eastAsia="zh-CN"/>
          <w14:textFill>
            <w14:solidFill>
              <w14:schemeClr w14:val="tx1"/>
            </w14:solidFill>
          </w14:textFill>
        </w:rPr>
      </w:pPr>
      <w:r>
        <w:rPr>
          <w:rFonts w:hint="eastAsia" w:ascii="宋体" w:hAnsi="宋体" w:eastAsia="黑体" w:cs="黑体"/>
          <w:bCs/>
          <w:color w:val="000000" w:themeColor="text1"/>
          <w:sz w:val="32"/>
          <w:szCs w:val="32"/>
          <w14:textFill>
            <w14:solidFill>
              <w14:schemeClr w14:val="tx1"/>
            </w14:solidFill>
          </w14:textFill>
        </w:rPr>
        <w:t>附件</w:t>
      </w:r>
      <w:r>
        <w:rPr>
          <w:rFonts w:hint="eastAsia" w:ascii="宋体" w:hAnsi="宋体" w:eastAsia="黑体" w:cs="黑体"/>
          <w:bCs/>
          <w:color w:val="000000" w:themeColor="text1"/>
          <w:sz w:val="32"/>
          <w:szCs w:val="32"/>
          <w:lang w:val="en-US" w:eastAsia="zh-CN"/>
          <w14:textFill>
            <w14:solidFill>
              <w14:schemeClr w14:val="tx1"/>
            </w14:solidFill>
          </w14:textFill>
        </w:rPr>
        <w:t>2</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兴国卫校</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单位</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预算</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w:t>
      </w:r>
      <w:r>
        <w:rPr>
          <w:rFonts w:hint="eastAsia" w:ascii="仿宋" w:hAnsi="仿宋" w:eastAsia="仿宋" w:cs="仿宋"/>
          <w:b/>
          <w:bCs/>
          <w:sz w:val="32"/>
          <w:szCs w:val="32"/>
          <w:lang w:val="en-US" w:eastAsia="zh-CN"/>
        </w:rPr>
        <w:t>卫校</w:t>
      </w:r>
      <w:r>
        <w:rPr>
          <w:rFonts w:hint="eastAsia" w:ascii="仿宋" w:hAnsi="仿宋" w:eastAsia="仿宋" w:cs="仿宋"/>
          <w:b/>
          <w:bCs/>
          <w:sz w:val="32"/>
          <w:szCs w:val="32"/>
        </w:rPr>
        <w:t>单位概况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单位</w:t>
      </w:r>
      <w:r>
        <w:rPr>
          <w:rFonts w:hint="eastAsia" w:ascii="仿宋" w:hAnsi="仿宋" w:eastAsia="仿宋" w:cs="仿宋"/>
          <w:sz w:val="32"/>
          <w:szCs w:val="32"/>
        </w:rPr>
        <w:t>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单位</w:t>
      </w:r>
      <w:r>
        <w:rPr>
          <w:rFonts w:hint="eastAsia" w:ascii="仿宋" w:hAnsi="仿宋" w:eastAsia="仿宋" w:cs="仿宋"/>
          <w:sz w:val="32"/>
          <w:szCs w:val="32"/>
        </w:rPr>
        <w:t>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w:t>
      </w:r>
      <w:r>
        <w:rPr>
          <w:rFonts w:hint="eastAsia" w:ascii="仿宋" w:hAnsi="仿宋" w:eastAsia="仿宋" w:cs="仿宋"/>
          <w:b/>
          <w:bCs/>
          <w:sz w:val="32"/>
          <w:szCs w:val="32"/>
          <w:lang w:val="en-US" w:eastAsia="zh-CN"/>
        </w:rPr>
        <w:t>卫校</w:t>
      </w:r>
      <w:r>
        <w:rPr>
          <w:rFonts w:hint="eastAsia" w:ascii="仿宋" w:hAnsi="仿宋" w:eastAsia="仿宋" w:cs="仿宋"/>
          <w:b/>
          <w:bCs/>
          <w:sz w:val="32"/>
          <w:szCs w:val="32"/>
        </w:rPr>
        <w:t>单位</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年单位预算情况说明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val="en-US" w:eastAsia="zh-CN"/>
        </w:rPr>
        <w:t>单位</w:t>
      </w:r>
      <w:r>
        <w:rPr>
          <w:rFonts w:hint="eastAsia" w:ascii="仿宋" w:hAnsi="仿宋" w:eastAsia="仿宋" w:cs="仿宋"/>
          <w:sz w:val="32"/>
          <w:szCs w:val="32"/>
        </w:rPr>
        <w:t>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w:t>
      </w:r>
      <w:r>
        <w:rPr>
          <w:rFonts w:hint="eastAsia" w:ascii="仿宋" w:hAnsi="仿宋" w:eastAsia="仿宋" w:cs="仿宋"/>
          <w:b/>
          <w:bCs/>
          <w:sz w:val="32"/>
          <w:szCs w:val="32"/>
          <w:lang w:val="en-US" w:eastAsia="zh-CN"/>
        </w:rPr>
        <w:t>卫校</w:t>
      </w:r>
      <w:r>
        <w:rPr>
          <w:rFonts w:hint="eastAsia" w:ascii="仿宋" w:hAnsi="仿宋" w:eastAsia="仿宋" w:cs="仿宋"/>
          <w:b/>
          <w:bCs/>
          <w:sz w:val="32"/>
          <w:szCs w:val="32"/>
        </w:rPr>
        <w:t>单位</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年单位预算表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w:t>
      </w:r>
      <w:r>
        <w:rPr>
          <w:rFonts w:hint="eastAsia" w:ascii="仿宋" w:hAnsi="仿宋" w:eastAsia="仿宋" w:cs="仿宋"/>
          <w:sz w:val="32"/>
          <w:szCs w:val="32"/>
          <w:lang w:val="en-US" w:eastAsia="zh-CN"/>
        </w:rPr>
        <w:t>国有资本经营预算支出表</w:t>
      </w:r>
      <w:r>
        <w:rPr>
          <w:rFonts w:hint="eastAsia" w:ascii="仿宋" w:hAnsi="仿宋" w:eastAsia="仿宋" w:cs="仿宋"/>
          <w:sz w:val="32"/>
          <w:szCs w:val="32"/>
        </w:rPr>
        <w:t>》</w:t>
      </w:r>
    </w:p>
    <w:p>
      <w:pPr>
        <w:spacing w:line="560" w:lineRule="exact"/>
        <w:ind w:left="10" w:leftChars="5" w:firstLine="620" w:firstLineChars="194"/>
        <w:rPr>
          <w:rFonts w:hint="eastAsia" w:ascii="仿宋" w:hAnsi="仿宋" w:eastAsia="仿宋" w:cs="仿宋"/>
          <w:sz w:val="32"/>
          <w:szCs w:val="32"/>
        </w:rPr>
      </w:pPr>
      <w:r>
        <w:rPr>
          <w:rFonts w:hint="eastAsia" w:ascii="仿宋" w:hAnsi="仿宋" w:eastAsia="仿宋" w:cs="仿宋"/>
          <w:sz w:val="32"/>
          <w:szCs w:val="32"/>
        </w:rPr>
        <w:t>十、《项目</w:t>
      </w:r>
      <w:r>
        <w:rPr>
          <w:rFonts w:hint="eastAsia" w:ascii="仿宋" w:hAnsi="仿宋" w:eastAsia="仿宋" w:cs="仿宋"/>
          <w:sz w:val="32"/>
          <w:szCs w:val="32"/>
          <w:lang w:val="en-US" w:eastAsia="zh-CN"/>
        </w:rPr>
        <w:t>整体</w:t>
      </w:r>
      <w:r>
        <w:rPr>
          <w:rFonts w:hint="eastAsia" w:ascii="仿宋" w:hAnsi="仿宋" w:eastAsia="仿宋" w:cs="仿宋"/>
          <w:sz w:val="32"/>
          <w:szCs w:val="32"/>
        </w:rPr>
        <w:t>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lang w:val="en-US" w:eastAsia="zh-CN"/>
        </w:rPr>
        <w:t>十一、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w:t>
      </w:r>
      <w:r>
        <w:rPr>
          <w:rFonts w:hint="eastAsia" w:ascii="仿宋" w:hAnsi="仿宋" w:eastAsia="仿宋" w:cs="仿宋"/>
          <w:b/>
          <w:bCs/>
          <w:sz w:val="32"/>
          <w:szCs w:val="32"/>
          <w:lang w:val="en-US" w:eastAsia="zh-CN"/>
        </w:rPr>
        <w:t>卫校</w:t>
      </w:r>
      <w:r>
        <w:rPr>
          <w:rFonts w:hint="eastAsia" w:ascii="黑体" w:hAnsi="黑体" w:eastAsia="黑体" w:cs="黑体"/>
          <w:b w:val="0"/>
          <w:bCs w:val="0"/>
          <w:sz w:val="32"/>
          <w:szCs w:val="32"/>
        </w:rPr>
        <w:t>单位概况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一、单位主要职责</w:t>
      </w:r>
    </w:p>
    <w:p>
      <w:pPr>
        <w:spacing w:line="54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兴国县</w:t>
      </w:r>
      <w:r>
        <w:rPr>
          <w:rFonts w:hint="eastAsia" w:ascii="仿宋" w:hAnsi="仿宋" w:eastAsia="仿宋" w:cs="仿宋"/>
          <w:sz w:val="30"/>
          <w:szCs w:val="30"/>
          <w:lang w:val="en-US" w:eastAsia="zh-CN"/>
        </w:rPr>
        <w:t>中等卫生职业技术学校</w:t>
      </w:r>
      <w:r>
        <w:rPr>
          <w:rFonts w:hint="eastAsia" w:ascii="仿宋" w:hAnsi="仿宋" w:eastAsia="仿宋" w:cs="仿宋"/>
          <w:sz w:val="30"/>
          <w:szCs w:val="30"/>
        </w:rPr>
        <w:t>是兴国县</w:t>
      </w:r>
      <w:r>
        <w:rPr>
          <w:rFonts w:hint="eastAsia" w:ascii="仿宋" w:hAnsi="仿宋" w:eastAsia="仿宋" w:cs="仿宋"/>
          <w:sz w:val="30"/>
          <w:szCs w:val="30"/>
          <w:lang w:val="en-US" w:eastAsia="zh-CN"/>
        </w:rPr>
        <w:t>卫生健康委员会</w:t>
      </w:r>
      <w:r>
        <w:rPr>
          <w:rFonts w:hint="eastAsia" w:ascii="仿宋" w:hAnsi="仿宋" w:eastAsia="仿宋" w:cs="仿宋"/>
          <w:sz w:val="30"/>
          <w:szCs w:val="30"/>
        </w:rPr>
        <w:t>的</w:t>
      </w:r>
      <w:r>
        <w:rPr>
          <w:rFonts w:hint="eastAsia" w:ascii="仿宋" w:hAnsi="仿宋" w:eastAsia="仿宋" w:cs="仿宋"/>
          <w:sz w:val="30"/>
          <w:szCs w:val="30"/>
          <w:lang w:val="en-US" w:eastAsia="zh-CN"/>
        </w:rPr>
        <w:t xml:space="preserve">二级单位 </w:t>
      </w:r>
      <w:r>
        <w:rPr>
          <w:rFonts w:hint="eastAsia" w:ascii="仿宋" w:hAnsi="仿宋" w:eastAsia="仿宋" w:cs="仿宋"/>
          <w:sz w:val="30"/>
          <w:szCs w:val="30"/>
        </w:rPr>
        <w:t>，主要职责有：</w:t>
      </w:r>
      <w:r>
        <w:rPr>
          <w:rStyle w:val="7"/>
          <w:rFonts w:hint="eastAsia" w:ascii="仿宋" w:hAnsi="仿宋" w:eastAsia="仿宋" w:cs="仿宋"/>
          <w:sz w:val="30"/>
          <w:szCs w:val="30"/>
        </w:rPr>
        <w:t>培养中等专业学历卫生技术人才</w:t>
      </w:r>
      <w:r>
        <w:rPr>
          <w:rStyle w:val="7"/>
          <w:rFonts w:hint="eastAsia" w:ascii="仿宋" w:hAnsi="仿宋" w:eastAsia="仿宋" w:cs="仿宋"/>
          <w:sz w:val="30"/>
          <w:szCs w:val="30"/>
          <w:lang w:eastAsia="zh-CN"/>
        </w:rPr>
        <w:t>，</w:t>
      </w:r>
      <w:r>
        <w:rPr>
          <w:rStyle w:val="7"/>
          <w:rFonts w:hint="eastAsia" w:ascii="仿宋" w:hAnsi="仿宋" w:eastAsia="仿宋" w:cs="仿宋"/>
          <w:sz w:val="30"/>
          <w:szCs w:val="30"/>
        </w:rPr>
        <w:t>促进卫生事业发展</w:t>
      </w:r>
      <w:r>
        <w:rPr>
          <w:rStyle w:val="7"/>
          <w:rFonts w:hint="eastAsia" w:ascii="仿宋" w:hAnsi="仿宋" w:eastAsia="仿宋" w:cs="仿宋"/>
          <w:sz w:val="30"/>
          <w:szCs w:val="30"/>
          <w:lang w:eastAsia="zh-CN"/>
        </w:rPr>
        <w:t>，</w:t>
      </w:r>
      <w:r>
        <w:rPr>
          <w:rStyle w:val="7"/>
          <w:rFonts w:hint="eastAsia" w:ascii="仿宋" w:hAnsi="仿宋" w:eastAsia="仿宋" w:cs="仿宋"/>
          <w:sz w:val="30"/>
          <w:szCs w:val="30"/>
        </w:rPr>
        <w:t>负责基础医学</w:t>
      </w:r>
      <w:r>
        <w:rPr>
          <w:rStyle w:val="7"/>
          <w:rFonts w:hint="eastAsia" w:ascii="仿宋" w:hAnsi="仿宋" w:eastAsia="仿宋" w:cs="仿宋"/>
          <w:sz w:val="30"/>
          <w:szCs w:val="30"/>
          <w:lang w:eastAsia="zh-CN"/>
        </w:rPr>
        <w:t>，</w:t>
      </w:r>
      <w:r>
        <w:rPr>
          <w:rStyle w:val="7"/>
          <w:rFonts w:hint="eastAsia" w:ascii="仿宋" w:hAnsi="仿宋" w:eastAsia="仿宋" w:cs="仿宋"/>
          <w:sz w:val="30"/>
          <w:szCs w:val="30"/>
        </w:rPr>
        <w:t>护理学</w:t>
      </w:r>
      <w:r>
        <w:rPr>
          <w:rStyle w:val="7"/>
          <w:rFonts w:hint="eastAsia" w:ascii="仿宋" w:hAnsi="仿宋" w:eastAsia="仿宋" w:cs="仿宋"/>
          <w:sz w:val="30"/>
          <w:szCs w:val="30"/>
          <w:lang w:eastAsia="zh-CN"/>
        </w:rPr>
        <w:t>，</w:t>
      </w:r>
      <w:r>
        <w:rPr>
          <w:rStyle w:val="7"/>
          <w:rFonts w:hint="eastAsia" w:ascii="仿宋" w:hAnsi="仿宋" w:eastAsia="仿宋" w:cs="仿宋"/>
          <w:sz w:val="30"/>
          <w:szCs w:val="30"/>
        </w:rPr>
        <w:t>乡村医学教育</w:t>
      </w:r>
      <w:r>
        <w:rPr>
          <w:rStyle w:val="7"/>
          <w:rFonts w:hint="eastAsia" w:ascii="仿宋" w:hAnsi="仿宋" w:eastAsia="仿宋" w:cs="仿宋"/>
          <w:sz w:val="30"/>
          <w:szCs w:val="30"/>
          <w:lang w:eastAsia="zh-CN"/>
        </w:rPr>
        <w:t>。</w:t>
      </w:r>
    </w:p>
    <w:p>
      <w:pPr>
        <w:numPr>
          <w:ilvl w:val="0"/>
          <w:numId w:val="1"/>
        </w:numPr>
        <w:ind w:firstLine="630"/>
        <w:jc w:val="left"/>
        <w:rPr>
          <w:rFonts w:hint="eastAsia" w:ascii="黑体" w:hAnsi="黑体" w:eastAsia="黑体"/>
          <w:sz w:val="30"/>
          <w:szCs w:val="30"/>
        </w:rPr>
      </w:pPr>
      <w:r>
        <w:rPr>
          <w:rFonts w:hint="eastAsia" w:ascii="黑体" w:hAnsi="黑体" w:eastAsia="黑体"/>
          <w:sz w:val="30"/>
          <w:szCs w:val="30"/>
          <w:lang w:val="en-US" w:eastAsia="zh-CN"/>
        </w:rPr>
        <w:t>单位</w:t>
      </w:r>
      <w:r>
        <w:rPr>
          <w:rFonts w:hint="eastAsia" w:ascii="黑体" w:hAnsi="黑体" w:eastAsia="黑体"/>
          <w:sz w:val="30"/>
          <w:szCs w:val="30"/>
        </w:rPr>
        <w:t>基本情况</w:t>
      </w:r>
    </w:p>
    <w:p>
      <w:pPr>
        <w:ind w:firstLine="640" w:firstLineChars="200"/>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兴国卫校</w:t>
      </w:r>
      <w:r>
        <w:rPr>
          <w:rFonts w:hint="eastAsia" w:ascii="仿宋" w:hAnsi="仿宋" w:eastAsia="仿宋"/>
          <w:color w:val="auto"/>
          <w:sz w:val="32"/>
          <w:szCs w:val="32"/>
          <w:lang w:eastAsia="zh-CN"/>
        </w:rPr>
        <w:t>内设处室</w:t>
      </w:r>
      <w:r>
        <w:rPr>
          <w:rFonts w:hint="eastAsia" w:ascii="仿宋" w:hAnsi="仿宋" w:eastAsia="仿宋" w:cs="Times New Roman"/>
          <w:color w:val="auto"/>
          <w:kern w:val="0"/>
          <w:sz w:val="32"/>
          <w:szCs w:val="32"/>
          <w:u w:val="none"/>
          <w:lang w:val="en-US" w:eastAsia="zh-CN"/>
        </w:rPr>
        <w:t>7</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u w:val="none"/>
          <w:lang w:val="en-US" w:eastAsia="zh-CN"/>
        </w:rPr>
        <w:t>书记办公室，校长办公室，行政办公室，财务科办公室，教务科办公室，学生科办公室，总务科办公室_</w:t>
      </w:r>
      <w:r>
        <w:rPr>
          <w:rFonts w:hint="eastAsia" w:ascii="仿宋" w:hAnsi="仿宋" w:eastAsia="仿宋"/>
          <w:color w:val="auto"/>
          <w:sz w:val="32"/>
          <w:szCs w:val="32"/>
          <w:lang w:val="en-US" w:eastAsia="zh-CN"/>
        </w:rPr>
        <w:t>。</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u w:val="none"/>
          <w:lang w:val="en-US" w:eastAsia="zh-CN"/>
        </w:rPr>
        <w:t>18</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12</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s="仿宋"/>
          <w:sz w:val="30"/>
          <w:szCs w:val="30"/>
          <w:lang w:val="en-US" w:eastAsia="zh-CN"/>
        </w:rPr>
        <w:t>临时工10人</w:t>
      </w:r>
      <w:r>
        <w:rPr>
          <w:rFonts w:ascii="仿宋" w:hAnsi="仿宋" w:eastAsia="仿宋"/>
          <w:color w:val="auto"/>
          <w:sz w:val="32"/>
          <w:szCs w:val="32"/>
        </w:rPr>
        <w:t>。</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25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25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12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11</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${page400644146.ds532982397_REP_JX_BAS_AGENCY_INFO_ZYFRS_S_ZXXSMX}</w:instrText>
      </w:r>
      <w:r>
        <w:rPr>
          <w:rFonts w:ascii="仿宋" w:hAnsi="仿宋" w:eastAsia="仿宋"/>
          <w:color w:val="auto"/>
          <w:sz w:val="32"/>
          <w:szCs w:val="32"/>
        </w:rPr>
        <w:fldChar w:fldCharType="separate"/>
      </w:r>
      <w:r>
        <w:rPr>
          <w:rFonts w:ascii="仿宋" w:hAnsi="仿宋" w:eastAsia="仿宋"/>
          <w:color w:val="auto"/>
          <w:sz w:val="32"/>
          <w:szCs w:val="32"/>
        </w:rPr>
        <w:t>在校学生</w:t>
      </w:r>
      <w:r>
        <w:rPr>
          <w:rFonts w:hint="eastAsia" w:ascii="仿宋" w:hAnsi="仿宋" w:eastAsia="仿宋" w:cs="Times New Roman"/>
          <w:color w:val="auto"/>
          <w:kern w:val="0"/>
          <w:sz w:val="32"/>
          <w:szCs w:val="32"/>
          <w:lang w:val="en-US" w:eastAsia="zh-CN"/>
        </w:rPr>
        <w:t>1274</w:t>
      </w:r>
      <w:r>
        <w:rPr>
          <w:rFonts w:ascii="仿宋" w:hAnsi="仿宋" w:eastAsia="仿宋"/>
          <w:color w:val="auto"/>
          <w:sz w:val="32"/>
          <w:szCs w:val="32"/>
        </w:rPr>
        <w:t>人,其中：本科生人数</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lang w:val="en-US" w:eastAsia="zh-CN"/>
        </w:rPr>
        <w:t>110</w:t>
      </w:r>
      <w:r>
        <w:rPr>
          <w:rFonts w:ascii="仿宋" w:hAnsi="仿宋" w:eastAsia="仿宋"/>
          <w:color w:val="auto"/>
          <w:sz w:val="32"/>
          <w:szCs w:val="32"/>
        </w:rPr>
        <w:t>人，专科生人数</w:t>
      </w:r>
      <w:r>
        <w:rPr>
          <w:rFonts w:hint="eastAsia" w:ascii="仿宋" w:hAnsi="仿宋" w:eastAsia="仿宋" w:cs="Times New Roman"/>
          <w:color w:val="auto"/>
          <w:kern w:val="0"/>
          <w:sz w:val="32"/>
          <w:szCs w:val="32"/>
          <w:lang w:val="en-US" w:eastAsia="zh-CN"/>
        </w:rPr>
        <w:t>57</w:t>
      </w:r>
      <w:r>
        <w:rPr>
          <w:rFonts w:ascii="仿宋" w:hAnsi="仿宋" w:eastAsia="仿宋" w:cs="Times New Roman"/>
          <w:color w:val="auto"/>
          <w:kern w:val="0"/>
          <w:sz w:val="32"/>
          <w:szCs w:val="32"/>
        </w:rPr>
        <w:t>_</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中专生人数1107人</w:t>
      </w:r>
      <w:r>
        <w:rPr>
          <w:rFonts w:ascii="仿宋" w:hAnsi="仿宋" w:eastAsia="仿宋"/>
          <w:color w:val="auto"/>
          <w:sz w:val="32"/>
          <w:szCs w:val="32"/>
        </w:rPr>
        <w:t>。</w:t>
      </w:r>
      <w:r>
        <w:rPr>
          <w:color w:val="auto"/>
        </w:rPr>
        <w:fldChar w:fldCharType="end"/>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w:t>
      </w:r>
      <w:r>
        <w:rPr>
          <w:rFonts w:hint="eastAsia" w:ascii="黑体" w:hAnsi="黑体" w:eastAsia="黑体" w:cs="黑体"/>
          <w:b w:val="0"/>
          <w:bCs w:val="0"/>
          <w:sz w:val="32"/>
          <w:szCs w:val="32"/>
          <w:lang w:val="en-US" w:eastAsia="zh-CN"/>
        </w:rPr>
        <w:t>卫校</w:t>
      </w:r>
      <w:r>
        <w:rPr>
          <w:rFonts w:hint="eastAsia" w:ascii="黑体" w:hAnsi="黑体" w:eastAsia="黑体" w:cs="黑体"/>
          <w:b w:val="0"/>
          <w:bCs w:val="0"/>
          <w:sz w:val="32"/>
          <w:szCs w:val="32"/>
        </w:rPr>
        <w:t>单位</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val="en-US" w:eastAsia="zh-CN"/>
        </w:rPr>
        <w:t>单位</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w:t>
      </w:r>
      <w:r>
        <w:rPr>
          <w:rFonts w:hint="eastAsia" w:ascii="楷体" w:hAnsi="楷体" w:eastAsia="楷体" w:cs="楷体"/>
          <w:b/>
          <w:bCs/>
          <w:sz w:val="32"/>
          <w:szCs w:val="32"/>
          <w:lang w:val="en-US" w:eastAsia="zh-CN"/>
        </w:rPr>
        <w:t>单位</w:t>
      </w:r>
      <w:r>
        <w:rPr>
          <w:rFonts w:hint="eastAsia" w:ascii="楷体" w:hAnsi="楷体" w:eastAsia="楷体" w:cs="楷体"/>
          <w:b/>
          <w:bCs/>
          <w:sz w:val="32"/>
          <w:szCs w:val="32"/>
        </w:rPr>
        <w:t>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numPr>
          <w:ilvl w:val="0"/>
          <w:numId w:val="0"/>
        </w:numPr>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2022年本单位收入预算总额为665.03万元，较上年预算安排增加308.02万元，增加的主要原因是：因系统更新，新系统操作不熟练，有重复提交的数据，有些公用支出项目和教育支出重复做了。</w:t>
      </w:r>
    </w:p>
    <w:p>
      <w:pPr>
        <w:numPr>
          <w:ilvl w:val="0"/>
          <w:numId w:val="0"/>
        </w:numPr>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具体为：财政拨款收入154.01万元，纳入预算管理非税收入45万元，较上年预算安排增加49.51万元，占收入预算总额的29.92%；其他收入466.02万元，占收入预算总额的70.08%，较上年预算安排增加258.51万元，增加124.58%；增加的原因主要是新系统操作不熟练，有重复提交的数据，比如新建的项目库与保运转的其他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numPr>
          <w:ilvl w:val="0"/>
          <w:numId w:val="0"/>
        </w:numPr>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2022年兴国县中等卫生职业技术学校支出预算总额为665.03万元，较上年预算安排增加308.02万元，增加了148.44%，增加的主要原因是：因系统更新，新系统操作不熟练，有重复提交的数据，有些公用支出项目和教育支出重复做了。</w:t>
      </w:r>
    </w:p>
    <w:p>
      <w:pPr>
        <w:numPr>
          <w:ilvl w:val="0"/>
          <w:numId w:val="0"/>
        </w:numPr>
        <w:ind w:firstLine="900" w:firstLineChars="3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具体为：按支出经济分类科目划分：基本支出351.59万元，占本年支出预算额的52.87%，较上年预算安排增加202.09万元，其中工资福利支出159.48万元，较上年预算安排增加9.98万元，占支出预算额的45.36%;商品和服务支出67.11万元,较上年预算安排增加28.16万元，占支出预算额的19.09%;对个人和家庭的补助62万元，较上年预算安排增加59.85万元，占支出预算额的17.63%；资本性支出63万元，较上年预算安排增加54万元，占支出预算额的17.92%。项目支出313.43万元，较上年预算安排增加105.92万元，占本年支出预算总额的47.13%，其中其他支出313.43万元，较上年预算安排增加293.43万元，增加的主要原因是建项目库时新增和重复了。</w:t>
      </w:r>
    </w:p>
    <w:p>
      <w:pPr>
        <w:numPr>
          <w:ilvl w:val="0"/>
          <w:numId w:val="0"/>
        </w:numPr>
        <w:ind w:leftChars="272"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按支出功能分类科目划分：教育支出309.85万元，较上年预算安排增加7.45万元，占预算总额的46.59%，社会保障和就业支出20.22万元，占预算总额的3.04%，较上年预算安排减少2.08万元；卫生健康支出8.04万元，占预算总额的1.21%，较上年预算安排增加0.04万元；住房保障支出13.48万元，占预算总额的2.03%，较上年预算安排增加2.48万元；其他支出313.43万元，占预算总额的47.13%，较上年预算安排增加308.02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numPr>
          <w:ilvl w:val="0"/>
          <w:numId w:val="0"/>
        </w:numPr>
        <w:ind w:leftChars="272"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2022年本单位财政拨款支出预算154.01万元，占本年支出预算额的23.16%，较上年预算安排增加4.51万元，增加的主要原因是职工福利支出正常增加，</w:t>
      </w:r>
    </w:p>
    <w:p>
      <w:pPr>
        <w:numPr>
          <w:ilvl w:val="0"/>
          <w:numId w:val="0"/>
        </w:numPr>
        <w:ind w:leftChars="272"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具体为：按支出经济分类科目划分：基本支出154.01万元，较上年预算安排增加4.51万元，其中工资福利支出154.01万元，较上年预算安排增加4.51万元，占财政拨款总额的100%。</w:t>
      </w:r>
    </w:p>
    <w:p>
      <w:pPr>
        <w:numPr>
          <w:ilvl w:val="0"/>
          <w:numId w:val="0"/>
        </w:numPr>
        <w:ind w:leftChars="272"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按支出功能分类科目划分：教育支出112.27万元，占财政拨款总额的72.90%，较上年预算安排增加4.07万元；社会保障和就业支出20.22万元，占财政拨款总额的13.13%，较上年预算安排减少2.08万元，；卫生健康支出8.04万元，占财政拨款总额的5.22%，较上年预算安排增加0.04万元；住房保障支出13.48万元，占财政拨款总额的8.75%，较上年预算安排增加2.48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无</w:t>
      </w:r>
      <w:r>
        <w:rPr>
          <w:rFonts w:hint="eastAsia" w:ascii="仿宋" w:hAnsi="仿宋" w:eastAsia="仿宋" w:cs="仿宋"/>
          <w:sz w:val="32"/>
          <w:szCs w:val="32"/>
        </w:rPr>
        <w:t>政府性基金预算拨款安排的支出。</w:t>
      </w:r>
    </w:p>
    <w:p>
      <w:pPr>
        <w:numPr>
          <w:ilvl w:val="0"/>
          <w:numId w:val="2"/>
        </w:num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国有资本经营情况</w:t>
      </w:r>
    </w:p>
    <w:p>
      <w:pPr>
        <w:pStyle w:val="2"/>
        <w:rPr>
          <w:rFonts w:hint="default" w:ascii="仿宋" w:hAnsi="仿宋" w:eastAsia="仿宋" w:cs="仿宋"/>
          <w:kern w:val="2"/>
          <w:sz w:val="30"/>
          <w:szCs w:val="30"/>
          <w:lang w:val="en-US" w:eastAsia="zh-CN" w:bidi="ar-SA"/>
        </w:rPr>
      </w:pPr>
      <w:r>
        <w:rPr>
          <w:rFonts w:hint="eastAsia" w:ascii="仿宋" w:hAnsi="仿宋" w:eastAsia="仿宋" w:cs="仿宋"/>
          <w:b/>
          <w:bCs/>
          <w:sz w:val="32"/>
          <w:szCs w:val="32"/>
          <w:lang w:val="en-US" w:eastAsia="zh-CN"/>
        </w:rPr>
        <w:t xml:space="preserve">    </w:t>
      </w:r>
      <w:r>
        <w:rPr>
          <w:rFonts w:hint="eastAsia" w:ascii="仿宋" w:hAnsi="仿宋" w:eastAsia="仿宋" w:cs="仿宋"/>
          <w:kern w:val="2"/>
          <w:sz w:val="30"/>
          <w:szCs w:val="30"/>
          <w:lang w:val="en-US" w:eastAsia="zh-CN" w:bidi="ar-SA"/>
        </w:rPr>
        <w:t xml:space="preserve"> 2022年本单位国有资本经营支出预算为0万元，本单位无国有资本经营预算收入。</w:t>
      </w:r>
    </w:p>
    <w:p>
      <w:pPr>
        <w:numPr>
          <w:ilvl w:val="0"/>
          <w:numId w:val="2"/>
        </w:num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机关运行经费等重要事项的说明</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年部门或单位机关运行费预算</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年(上一年度）预算增加</w:t>
      </w:r>
      <w:r>
        <w:rPr>
          <w:rFonts w:hint="eastAsia" w:ascii="仿宋" w:hAnsi="仿宋" w:eastAsia="仿宋" w:cs="仿宋"/>
          <w:sz w:val="32"/>
          <w:szCs w:val="32"/>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2"/>
          <w:szCs w:val="32"/>
        </w:rPr>
        <w:t>万元，增长</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hint="eastAsia" w:ascii="仿宋" w:hAnsi="仿宋" w:eastAsia="仿宋" w:cs="仿宋"/>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年部门或单位所属各单位政府采购总额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13</w:t>
      </w:r>
      <w:r>
        <w:rPr>
          <w:rFonts w:hint="eastAsia" w:ascii="仿宋" w:hAnsi="仿宋" w:eastAsia="仿宋" w:cs="仿宋"/>
          <w:sz w:val="32"/>
          <w:szCs w:val="32"/>
          <w:u w:val="single"/>
        </w:rPr>
        <w:t xml:space="preserve">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11.5</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1.5</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八</w:t>
      </w:r>
      <w:r>
        <w:rPr>
          <w:rFonts w:hint="eastAsia" w:ascii="仿宋" w:hAnsi="仿宋" w:eastAsia="仿宋" w:cs="仿宋"/>
          <w:b/>
          <w:bCs/>
          <w:sz w:val="32"/>
          <w:szCs w:val="32"/>
        </w:rPr>
        <w:t>）国有资产占有使用情况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2021</w:t>
      </w:r>
      <w:r>
        <w:rPr>
          <w:rFonts w:hint="eastAsia" w:ascii="仿宋" w:hAnsi="仿宋" w:eastAsia="仿宋" w:cs="仿宋"/>
          <w:sz w:val="32"/>
          <w:szCs w:val="32"/>
        </w:rPr>
        <w:t>年12月31日、</w:t>
      </w:r>
      <w:r>
        <w:rPr>
          <w:rFonts w:hint="eastAsia" w:ascii="仿宋" w:hAnsi="仿宋" w:eastAsia="仿宋" w:cs="仿宋"/>
          <w:sz w:val="32"/>
          <w:szCs w:val="32"/>
          <w:lang w:val="en-US" w:eastAsia="zh-CN"/>
        </w:rPr>
        <w:t>本单位</w:t>
      </w:r>
      <w:r>
        <w:rPr>
          <w:rFonts w:hint="eastAsia" w:ascii="仿宋" w:hAnsi="仿宋" w:eastAsia="仿宋" w:cs="仿宋"/>
          <w:sz w:val="32"/>
          <w:szCs w:val="32"/>
        </w:rPr>
        <w:t>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年单位预算安排购置车辆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项目名称：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ind w:left="895" w:leftChars="426" w:firstLine="261" w:firstLineChars="87"/>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兴国县中等卫生职业技术学校三公经费支出预算为0万元，其中：</w:t>
      </w:r>
    </w:p>
    <w:p>
      <w:pPr>
        <w:ind w:left="895" w:leftChars="426" w:firstLine="261" w:firstLineChars="87"/>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因公出国（境）费0元，与上年安排保持一致。</w:t>
      </w:r>
    </w:p>
    <w:p>
      <w:pPr>
        <w:ind w:left="895" w:leftChars="426" w:firstLine="261" w:firstLineChars="87"/>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公务接待费0万元，与上年安排保持一致。</w:t>
      </w:r>
    </w:p>
    <w:p>
      <w:pPr>
        <w:ind w:left="895" w:leftChars="426" w:firstLine="261" w:firstLineChars="87"/>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公务用车运行维护费0万元，与上年比较减少0.5万元，主要原因是2022年本单位无公务用车。</w:t>
      </w:r>
    </w:p>
    <w:p>
      <w:pPr>
        <w:ind w:firstLine="900" w:firstLineChars="3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公务用车购置费0万元，与上年比较0万元元，主要原因与上年安排保持一致。</w:t>
      </w:r>
    </w:p>
    <w:p>
      <w:pPr>
        <w:pStyle w:val="2"/>
        <w:rPr>
          <w:rFonts w:hint="default"/>
          <w:lang w:val="en-US" w:eastAsia="zh-CN"/>
        </w:rPr>
      </w:pPr>
    </w:p>
    <w:p>
      <w:pPr>
        <w:pStyle w:val="2"/>
        <w:rPr>
          <w:rFonts w:hint="eastAsia" w:ascii="黑体" w:hAnsi="黑体" w:eastAsia="黑体" w:cs="黑体"/>
          <w:b w:val="0"/>
          <w:bCs w:val="0"/>
          <w:sz w:val="32"/>
          <w:szCs w:val="32"/>
        </w:rPr>
      </w:pPr>
      <w:bookmarkStart w:id="0" w:name="_GoBack"/>
      <w:bookmarkEnd w:id="0"/>
    </w:p>
    <w:p>
      <w:pPr>
        <w:numPr>
          <w:ilvl w:val="0"/>
          <w:numId w:val="3"/>
        </w:num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兴国</w:t>
      </w:r>
      <w:r>
        <w:rPr>
          <w:rFonts w:hint="eastAsia" w:ascii="黑体" w:hAnsi="黑体" w:eastAsia="黑体" w:cs="黑体"/>
          <w:b w:val="0"/>
          <w:bCs w:val="0"/>
          <w:sz w:val="32"/>
          <w:szCs w:val="32"/>
          <w:lang w:val="en-US" w:eastAsia="zh-CN"/>
        </w:rPr>
        <w:t>卫校</w:t>
      </w:r>
      <w:r>
        <w:rPr>
          <w:rFonts w:hint="eastAsia" w:ascii="黑体" w:hAnsi="黑体" w:eastAsia="黑体" w:cs="黑体"/>
          <w:b w:val="0"/>
          <w:bCs w:val="0"/>
          <w:sz w:val="32"/>
          <w:szCs w:val="32"/>
        </w:rPr>
        <w:t>单位</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年部门或单位预算表</w:t>
      </w:r>
    </w:p>
    <w:p>
      <w:pPr>
        <w:pStyle w:val="2"/>
        <w:numPr>
          <w:ilvl w:val="0"/>
          <w:numId w:val="0"/>
        </w:numPr>
        <w:rPr>
          <w:rFonts w:hint="eastAsia"/>
          <w:lang w:val="en-US" w:eastAsia="zh-CN"/>
        </w:rPr>
      </w:pPr>
      <w:r>
        <w:rPr>
          <w:rFonts w:hint="eastAsia"/>
          <w:lang w:val="en-US" w:eastAsia="zh-CN"/>
        </w:rPr>
        <w:t>附表</w:t>
      </w:r>
    </w:p>
    <w:p>
      <w:pPr>
        <w:pStyle w:val="2"/>
        <w:numPr>
          <w:ilvl w:val="0"/>
          <w:numId w:val="0"/>
        </w:numPr>
        <w:rPr>
          <w:rFonts w:hint="default"/>
          <w:lang w:val="en-US" w:eastAsia="zh-CN"/>
        </w:rPr>
      </w:pPr>
      <w:r>
        <w:rPr>
          <w:rFonts w:hint="eastAsia"/>
          <w:lang w:val="en-US" w:eastAsia="zh-CN"/>
        </w:rPr>
        <w:t>一、《收支预算总表》</w:t>
      </w:r>
    </w:p>
    <w:p>
      <w:pPr>
        <w:pStyle w:val="2"/>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521960" cy="3186430"/>
            <wp:effectExtent l="0" t="0" r="2540" b="13970"/>
            <wp:docPr id="5" name="图片 5" descr="168690982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86909822155"/>
                    <pic:cNvPicPr>
                      <a:picLocks noChangeAspect="1"/>
                    </pic:cNvPicPr>
                  </pic:nvPicPr>
                  <pic:blipFill>
                    <a:blip r:embed="rId5"/>
                    <a:stretch>
                      <a:fillRect/>
                    </a:stretch>
                  </pic:blipFill>
                  <pic:spPr>
                    <a:xfrm>
                      <a:off x="0" y="0"/>
                      <a:ext cx="5521960" cy="3186430"/>
                    </a:xfrm>
                    <a:prstGeom prst="rect">
                      <a:avLst/>
                    </a:prstGeom>
                  </pic:spPr>
                </pic:pic>
              </a:graphicData>
            </a:graphic>
          </wp:inline>
        </w:drawing>
      </w:r>
    </w:p>
    <w:p>
      <w:pPr>
        <w:pStyle w:val="2"/>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二、《部门收入总表》</w:t>
      </w:r>
    </w:p>
    <w:p>
      <w:pPr>
        <w:pStyle w:val="2"/>
        <w:rPr>
          <w:rFonts w:hint="default" w:ascii="仿宋" w:hAnsi="仿宋" w:eastAsia="仿宋" w:cs="仿宋"/>
          <w:sz w:val="32"/>
          <w:szCs w:val="32"/>
          <w:lang w:val="en-US" w:eastAsia="zh-CN"/>
        </w:rPr>
      </w:pPr>
      <w:r>
        <w:rPr>
          <w:rFonts w:hint="eastAsia" w:ascii="仿宋" w:hAnsi="仿宋" w:eastAsia="仿宋" w:cs="仿宋"/>
          <w:sz w:val="32"/>
          <w:szCs w:val="32"/>
          <w:lang w:eastAsia="zh-CN"/>
        </w:rPr>
        <w:drawing>
          <wp:inline distT="0" distB="0" distL="114300" distR="114300">
            <wp:extent cx="5532120" cy="3580130"/>
            <wp:effectExtent l="0" t="0" r="11430" b="1270"/>
            <wp:docPr id="9" name="图片 9" descr="1686910300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86910300498"/>
                    <pic:cNvPicPr>
                      <a:picLocks noChangeAspect="1"/>
                    </pic:cNvPicPr>
                  </pic:nvPicPr>
                  <pic:blipFill>
                    <a:blip r:embed="rId6"/>
                    <a:stretch>
                      <a:fillRect/>
                    </a:stretch>
                  </pic:blipFill>
                  <pic:spPr>
                    <a:xfrm>
                      <a:off x="0" y="0"/>
                      <a:ext cx="5532120" cy="3580130"/>
                    </a:xfrm>
                    <a:prstGeom prst="rect">
                      <a:avLst/>
                    </a:prstGeom>
                  </pic:spPr>
                </pic:pic>
              </a:graphicData>
            </a:graphic>
          </wp:inline>
        </w:drawing>
      </w:r>
      <w:r>
        <w:rPr>
          <w:rFonts w:hint="eastAsia" w:ascii="仿宋" w:hAnsi="仿宋" w:eastAsia="仿宋" w:cs="仿宋"/>
          <w:sz w:val="32"/>
          <w:szCs w:val="32"/>
          <w:lang w:val="en-US" w:eastAsia="zh-CN"/>
        </w:rPr>
        <w:t>三、《部门支出总表》</w:t>
      </w:r>
    </w:p>
    <w:p>
      <w:pPr>
        <w:pStyle w:val="2"/>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541010" cy="4011930"/>
            <wp:effectExtent l="0" t="0" r="2540" b="7620"/>
            <wp:docPr id="10" name="图片 10" descr="1686910367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86910367511"/>
                    <pic:cNvPicPr>
                      <a:picLocks noChangeAspect="1"/>
                    </pic:cNvPicPr>
                  </pic:nvPicPr>
                  <pic:blipFill>
                    <a:blip r:embed="rId7"/>
                    <a:stretch>
                      <a:fillRect/>
                    </a:stretch>
                  </pic:blipFill>
                  <pic:spPr>
                    <a:xfrm>
                      <a:off x="0" y="0"/>
                      <a:ext cx="5541010" cy="4011930"/>
                    </a:xfrm>
                    <a:prstGeom prst="rect">
                      <a:avLst/>
                    </a:prstGeom>
                  </pic:spPr>
                </pic:pic>
              </a:graphicData>
            </a:graphic>
          </wp:inline>
        </w:drawing>
      </w:r>
    </w:p>
    <w:p>
      <w:pPr>
        <w:pStyle w:val="2"/>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四、《财政拨款收支总表》</w:t>
      </w:r>
    </w:p>
    <w:p>
      <w:pPr>
        <w:pStyle w:val="2"/>
        <w:rPr>
          <w:rFonts w:hint="default" w:ascii="仿宋" w:hAnsi="仿宋" w:eastAsia="仿宋" w:cs="仿宋"/>
          <w:sz w:val="32"/>
          <w:szCs w:val="32"/>
          <w:lang w:val="en-US" w:eastAsia="zh-CN"/>
        </w:rPr>
      </w:pPr>
      <w:r>
        <w:rPr>
          <w:rFonts w:hint="eastAsia" w:ascii="仿宋" w:hAnsi="仿宋" w:eastAsia="仿宋" w:cs="仿宋"/>
          <w:sz w:val="32"/>
          <w:szCs w:val="32"/>
          <w:lang w:eastAsia="zh-CN"/>
        </w:rPr>
        <w:drawing>
          <wp:inline distT="0" distB="0" distL="114300" distR="114300">
            <wp:extent cx="5532755" cy="3500755"/>
            <wp:effectExtent l="0" t="0" r="10795" b="4445"/>
            <wp:docPr id="11" name="图片 11" descr="1686910441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86910441266"/>
                    <pic:cNvPicPr>
                      <a:picLocks noChangeAspect="1"/>
                    </pic:cNvPicPr>
                  </pic:nvPicPr>
                  <pic:blipFill>
                    <a:blip r:embed="rId8"/>
                    <a:stretch>
                      <a:fillRect/>
                    </a:stretch>
                  </pic:blipFill>
                  <pic:spPr>
                    <a:xfrm>
                      <a:off x="0" y="0"/>
                      <a:ext cx="5532755" cy="3500755"/>
                    </a:xfrm>
                    <a:prstGeom prst="rect">
                      <a:avLst/>
                    </a:prstGeom>
                  </pic:spPr>
                </pic:pic>
              </a:graphicData>
            </a:graphic>
          </wp:inline>
        </w:drawing>
      </w:r>
      <w:r>
        <w:rPr>
          <w:rFonts w:hint="eastAsia" w:ascii="仿宋" w:hAnsi="仿宋" w:eastAsia="仿宋" w:cs="仿宋"/>
          <w:sz w:val="32"/>
          <w:szCs w:val="32"/>
          <w:lang w:val="en-US" w:eastAsia="zh-CN"/>
        </w:rPr>
        <w:t>五、《一般公共预算支出表》</w:t>
      </w:r>
    </w:p>
    <w:p>
      <w:pPr>
        <w:pStyle w:val="2"/>
        <w:rPr>
          <w:rFonts w:hint="default" w:eastAsia="仿宋_GB2312"/>
          <w:lang w:val="en-US" w:eastAsia="zh-CN"/>
        </w:rPr>
      </w:pPr>
      <w:r>
        <w:drawing>
          <wp:inline distT="0" distB="0" distL="114300" distR="114300">
            <wp:extent cx="5544185" cy="3644265"/>
            <wp:effectExtent l="0" t="0" r="18415" b="1333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9"/>
                    <a:stretch>
                      <a:fillRect/>
                    </a:stretch>
                  </pic:blipFill>
                  <pic:spPr>
                    <a:xfrm>
                      <a:off x="0" y="0"/>
                      <a:ext cx="5544185" cy="3644265"/>
                    </a:xfrm>
                    <a:prstGeom prst="rect">
                      <a:avLst/>
                    </a:prstGeom>
                    <a:noFill/>
                    <a:ln>
                      <a:noFill/>
                    </a:ln>
                  </pic:spPr>
                </pic:pic>
              </a:graphicData>
            </a:graphic>
          </wp:inline>
        </w:drawing>
      </w:r>
      <w:r>
        <w:rPr>
          <w:rFonts w:hint="eastAsia"/>
          <w:lang w:val="en-US" w:eastAsia="zh-CN"/>
        </w:rPr>
        <w:t>六、《一般公共预算基本支出表》</w:t>
      </w:r>
    </w:p>
    <w:p>
      <w:pPr>
        <w:pStyle w:val="2"/>
        <w:rPr>
          <w:rFonts w:hint="default" w:eastAsia="仿宋_GB2312"/>
          <w:lang w:val="en-US" w:eastAsia="zh-CN"/>
        </w:rPr>
      </w:pPr>
      <w:r>
        <w:rPr>
          <w:rFonts w:hint="eastAsia" w:eastAsia="仿宋_GB2312"/>
          <w:lang w:eastAsia="zh-CN"/>
        </w:rPr>
        <w:drawing>
          <wp:inline distT="0" distB="0" distL="114300" distR="114300">
            <wp:extent cx="5541010" cy="3823335"/>
            <wp:effectExtent l="0" t="0" r="2540" b="5715"/>
            <wp:docPr id="13" name="图片 13" descr="1686910514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86910514284"/>
                    <pic:cNvPicPr>
                      <a:picLocks noChangeAspect="1"/>
                    </pic:cNvPicPr>
                  </pic:nvPicPr>
                  <pic:blipFill>
                    <a:blip r:embed="rId10"/>
                    <a:stretch>
                      <a:fillRect/>
                    </a:stretch>
                  </pic:blipFill>
                  <pic:spPr>
                    <a:xfrm>
                      <a:off x="0" y="0"/>
                      <a:ext cx="5541010" cy="3823335"/>
                    </a:xfrm>
                    <a:prstGeom prst="rect">
                      <a:avLst/>
                    </a:prstGeom>
                  </pic:spPr>
                </pic:pic>
              </a:graphicData>
            </a:graphic>
          </wp:inline>
        </w:drawing>
      </w:r>
      <w:r>
        <w:rPr>
          <w:rFonts w:hint="eastAsia"/>
          <w:lang w:val="en-US" w:eastAsia="zh-CN"/>
        </w:rPr>
        <w:t>七、《一般公共预算“三公”经费支出表》</w:t>
      </w:r>
    </w:p>
    <w:p>
      <w:pPr>
        <w:pStyle w:val="2"/>
        <w:rPr>
          <w:rFonts w:hint="eastAsia" w:eastAsia="仿宋_GB2312"/>
          <w:lang w:eastAsia="zh-CN"/>
        </w:rPr>
      </w:pPr>
      <w:r>
        <w:rPr>
          <w:rFonts w:hint="eastAsia" w:eastAsia="仿宋_GB2312"/>
          <w:lang w:eastAsia="zh-CN"/>
        </w:rPr>
        <w:drawing>
          <wp:inline distT="0" distB="0" distL="114300" distR="114300">
            <wp:extent cx="5544820" cy="3973830"/>
            <wp:effectExtent l="0" t="0" r="17780" b="7620"/>
            <wp:docPr id="14" name="图片 14" descr="1686910592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86910592826"/>
                    <pic:cNvPicPr>
                      <a:picLocks noChangeAspect="1"/>
                    </pic:cNvPicPr>
                  </pic:nvPicPr>
                  <pic:blipFill>
                    <a:blip r:embed="rId11"/>
                    <a:stretch>
                      <a:fillRect/>
                    </a:stretch>
                  </pic:blipFill>
                  <pic:spPr>
                    <a:xfrm>
                      <a:off x="0" y="0"/>
                      <a:ext cx="5544820" cy="3973830"/>
                    </a:xfrm>
                    <a:prstGeom prst="rect">
                      <a:avLst/>
                    </a:prstGeom>
                  </pic:spPr>
                </pic:pic>
              </a:graphicData>
            </a:graphic>
          </wp:inline>
        </w:drawing>
      </w:r>
    </w:p>
    <w:p>
      <w:pPr>
        <w:pStyle w:val="2"/>
        <w:rPr>
          <w:rFonts w:hint="default" w:eastAsia="仿宋_GB2312"/>
          <w:lang w:val="en-US" w:eastAsia="zh-CN"/>
        </w:rPr>
      </w:pPr>
      <w:r>
        <w:rPr>
          <w:rFonts w:hint="eastAsia"/>
          <w:lang w:val="en-US" w:eastAsia="zh-CN"/>
        </w:rPr>
        <w:t>八、《政府性基金预算支出表》</w:t>
      </w:r>
    </w:p>
    <w:p>
      <w:pPr>
        <w:pStyle w:val="2"/>
        <w:rPr>
          <w:rFonts w:hint="eastAsia"/>
          <w:lang w:val="en-US" w:eastAsia="zh-CN"/>
        </w:rPr>
      </w:pPr>
      <w:r>
        <w:rPr>
          <w:rFonts w:hint="eastAsia" w:eastAsia="仿宋_GB2312"/>
          <w:lang w:eastAsia="zh-CN"/>
        </w:rPr>
        <w:drawing>
          <wp:inline distT="0" distB="0" distL="114300" distR="114300">
            <wp:extent cx="5544820" cy="3296920"/>
            <wp:effectExtent l="0" t="0" r="17780" b="17780"/>
            <wp:docPr id="15" name="图片 15" descr="1686910641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86910641499"/>
                    <pic:cNvPicPr>
                      <a:picLocks noChangeAspect="1"/>
                    </pic:cNvPicPr>
                  </pic:nvPicPr>
                  <pic:blipFill>
                    <a:blip r:embed="rId12"/>
                    <a:stretch>
                      <a:fillRect/>
                    </a:stretch>
                  </pic:blipFill>
                  <pic:spPr>
                    <a:xfrm>
                      <a:off x="0" y="0"/>
                      <a:ext cx="5544820" cy="3296920"/>
                    </a:xfrm>
                    <a:prstGeom prst="rect">
                      <a:avLst/>
                    </a:prstGeom>
                  </pic:spPr>
                </pic:pic>
              </a:graphicData>
            </a:graphic>
          </wp:inline>
        </w:drawing>
      </w:r>
      <w:r>
        <w:rPr>
          <w:rFonts w:hint="eastAsia"/>
          <w:lang w:val="en-US" w:eastAsia="zh-CN"/>
        </w:rPr>
        <w:t>九、《国有资本经营预算支出表》</w:t>
      </w:r>
    </w:p>
    <w:p>
      <w:pPr>
        <w:pStyle w:val="2"/>
        <w:rPr>
          <w:rFonts w:hint="default"/>
          <w:lang w:val="en-US" w:eastAsia="zh-CN"/>
        </w:rPr>
      </w:pPr>
      <w:r>
        <w:rPr>
          <w:rFonts w:hint="eastAsia" w:eastAsia="仿宋_GB2312"/>
          <w:lang w:eastAsia="zh-CN"/>
        </w:rPr>
        <w:drawing>
          <wp:inline distT="0" distB="0" distL="114300" distR="114300">
            <wp:extent cx="5539740" cy="3054985"/>
            <wp:effectExtent l="0" t="0" r="3810" b="12065"/>
            <wp:docPr id="6" name="图片 6" descr="1687055845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87055845263"/>
                    <pic:cNvPicPr>
                      <a:picLocks noChangeAspect="1"/>
                    </pic:cNvPicPr>
                  </pic:nvPicPr>
                  <pic:blipFill>
                    <a:blip r:embed="rId13"/>
                    <a:stretch>
                      <a:fillRect/>
                    </a:stretch>
                  </pic:blipFill>
                  <pic:spPr>
                    <a:xfrm>
                      <a:off x="0" y="0"/>
                      <a:ext cx="5539740" cy="3054985"/>
                    </a:xfrm>
                    <a:prstGeom prst="rect">
                      <a:avLst/>
                    </a:prstGeom>
                  </pic:spPr>
                </pic:pic>
              </a:graphicData>
            </a:graphic>
          </wp:inline>
        </w:drawing>
      </w:r>
    </w:p>
    <w:p>
      <w:pPr>
        <w:spacing w:line="560" w:lineRule="exact"/>
        <w:rPr>
          <w:rFonts w:hint="eastAsia" w:ascii="仿宋" w:hAnsi="仿宋" w:eastAsia="仿宋" w:cs="仿宋"/>
          <w:sz w:val="32"/>
          <w:szCs w:val="32"/>
        </w:rPr>
      </w:pPr>
      <w:r>
        <w:rPr>
          <w:rFonts w:hint="eastAsia" w:ascii="仿宋" w:hAnsi="仿宋" w:eastAsia="仿宋" w:cs="仿宋"/>
          <w:sz w:val="32"/>
          <w:szCs w:val="32"/>
        </w:rPr>
        <w:t>十、《项目</w:t>
      </w:r>
      <w:r>
        <w:rPr>
          <w:rFonts w:hint="eastAsia" w:ascii="仿宋" w:hAnsi="仿宋" w:eastAsia="仿宋" w:cs="仿宋"/>
          <w:sz w:val="32"/>
          <w:szCs w:val="32"/>
          <w:lang w:val="en-US" w:eastAsia="zh-CN"/>
        </w:rPr>
        <w:t>整体</w:t>
      </w:r>
      <w:r>
        <w:rPr>
          <w:rFonts w:hint="eastAsia" w:ascii="仿宋" w:hAnsi="仿宋" w:eastAsia="仿宋" w:cs="仿宋"/>
          <w:sz w:val="32"/>
          <w:szCs w:val="32"/>
        </w:rPr>
        <w:t>支出绩效目标表》</w:t>
      </w:r>
    </w:p>
    <w:p>
      <w:pPr>
        <w:pStyle w:val="2"/>
        <w:ind w:firstLine="640" w:firstLineChars="200"/>
        <w:rPr>
          <w:rFonts w:hint="eastAsia" w:eastAsia="仿宋"/>
          <w:lang w:val="en-US" w:eastAsia="zh-CN"/>
        </w:rPr>
      </w:pPr>
      <w:r>
        <w:rPr>
          <w:rFonts w:hint="eastAsia" w:ascii="仿宋" w:hAnsi="仿宋" w:eastAsia="仿宋" w:cs="仿宋"/>
          <w:sz w:val="32"/>
          <w:szCs w:val="32"/>
          <w:lang w:val="en-US" w:eastAsia="zh-CN"/>
        </w:rPr>
        <w:t>无</w:t>
      </w:r>
    </w:p>
    <w:p>
      <w:pPr>
        <w:pStyle w:val="2"/>
        <w:numPr>
          <w:ilvl w:val="0"/>
          <w:numId w:val="4"/>
        </w:numPr>
        <w:rPr>
          <w:rFonts w:hint="eastAsia" w:ascii="仿宋" w:hAnsi="仿宋" w:eastAsia="仿宋" w:cs="仿宋"/>
          <w:sz w:val="32"/>
          <w:szCs w:val="32"/>
        </w:rPr>
      </w:pPr>
      <w:r>
        <w:rPr>
          <w:rFonts w:hint="eastAsia" w:ascii="仿宋" w:hAnsi="仿宋" w:eastAsia="仿宋" w:cs="仿宋"/>
          <w:sz w:val="32"/>
          <w:szCs w:val="32"/>
        </w:rPr>
        <w:t>《项目支出绩效目标表》</w:t>
      </w:r>
    </w:p>
    <w:p>
      <w:pPr>
        <w:pStyle w:val="2"/>
        <w:numPr>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无</w:t>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（二）其他收入：指除财政拨款、事业收入、事业单位经营收入等以外的各项收入。</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w:t>
      </w:r>
      <w:r>
        <w:rPr>
          <w:rFonts w:hint="eastAsia" w:ascii="仿宋" w:hAnsi="仿宋" w:eastAsia="仿宋" w:cs="仿宋"/>
          <w:sz w:val="32"/>
          <w:szCs w:val="32"/>
          <w:lang w:val="en-US" w:eastAsia="zh-CN"/>
        </w:rPr>
        <w:t>非税收入：</w:t>
      </w:r>
      <w:r>
        <w:rPr>
          <w:rFonts w:hint="eastAsia" w:ascii="仿宋" w:hAnsi="仿宋" w:eastAsia="仿宋" w:cs="仿宋"/>
          <w:sz w:val="32"/>
          <w:szCs w:val="32"/>
        </w:rPr>
        <w:t>除税收以外，由各级国家机关、事业单位、代行政府职能的社会团体及其他组织依法利用国家权力、政府信誉和国有资源（资产）所有者权益等取得的各项收入</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rPr>
        <w:t>使用非财政拨款结余：填列历年滚存的非限定用途的非统计财政拨款结余弥补XX年收支差额的数额。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六</w:t>
      </w:r>
      <w:r>
        <w:rPr>
          <w:rFonts w:hint="eastAsia" w:ascii="仿宋" w:hAnsi="仿宋" w:eastAsia="仿宋" w:cs="仿宋"/>
          <w:sz w:val="32"/>
          <w:szCs w:val="32"/>
        </w:rPr>
        <w:t>）上年结转和结余：填列XX年全部结转和结余的资金数，包括当年结转结余资金和历年滚存结转结余资金。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（二）机关事业单位基本养老保险缴费支出：反映机关事业单位实施养老保险制度由单位缴纳的基本养老保险费的支出。</w:t>
      </w:r>
    </w:p>
    <w:p>
      <w:pPr>
        <w:spacing w:line="560" w:lineRule="exact"/>
        <w:ind w:firstLine="681" w:firstLineChars="213"/>
        <w:jc w:val="left"/>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）事业单位医疗：反映财政部门集中安排的事业单位基本医疗保险缴费经费。</w:t>
      </w:r>
    </w:p>
    <w:p>
      <w:pPr>
        <w:pStyle w:val="2"/>
        <w:rPr>
          <w:rFonts w:hint="default" w:eastAsia="仿宋"/>
          <w:lang w:val="en-US" w:eastAsia="zh-CN"/>
        </w:rPr>
      </w:pPr>
      <w:r>
        <w:rPr>
          <w:rFonts w:hint="eastAsia" w:ascii="仿宋" w:hAnsi="仿宋" w:eastAsia="仿宋" w:cs="仿宋"/>
          <w:sz w:val="32"/>
          <w:szCs w:val="32"/>
          <w:lang w:val="en-US" w:eastAsia="zh-CN"/>
        </w:rPr>
        <w:t xml:space="preserve">     （四）教育支出：反应单位用于教育方面的全部支出。</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CDF4F"/>
    <w:multiLevelType w:val="singleLevel"/>
    <w:tmpl w:val="823CDF4F"/>
    <w:lvl w:ilvl="0" w:tentative="0">
      <w:start w:val="11"/>
      <w:numFmt w:val="chineseCounting"/>
      <w:suff w:val="nothing"/>
      <w:lvlText w:val="%1、"/>
      <w:lvlJc w:val="left"/>
      <w:rPr>
        <w:rFonts w:hint="eastAsia"/>
      </w:rPr>
    </w:lvl>
  </w:abstractNum>
  <w:abstractNum w:abstractNumId="1">
    <w:nsid w:val="9AFC4683"/>
    <w:multiLevelType w:val="singleLevel"/>
    <w:tmpl w:val="9AFC4683"/>
    <w:lvl w:ilvl="0" w:tentative="0">
      <w:start w:val="3"/>
      <w:numFmt w:val="chineseCounting"/>
      <w:suff w:val="space"/>
      <w:lvlText w:val="第%1部分"/>
      <w:lvlJc w:val="left"/>
      <w:rPr>
        <w:rFonts w:hint="eastAsia"/>
      </w:rPr>
    </w:lvl>
  </w:abstractNum>
  <w:abstractNum w:abstractNumId="2">
    <w:nsid w:val="1EAB57FD"/>
    <w:multiLevelType w:val="singleLevel"/>
    <w:tmpl w:val="1EAB57FD"/>
    <w:lvl w:ilvl="0" w:tentative="0">
      <w:start w:val="2"/>
      <w:numFmt w:val="chineseCounting"/>
      <w:suff w:val="nothing"/>
      <w:lvlText w:val="%1、"/>
      <w:lvlJc w:val="left"/>
      <w:rPr>
        <w:rFonts w:hint="eastAsia"/>
      </w:rPr>
    </w:lvl>
  </w:abstractNum>
  <w:abstractNum w:abstractNumId="3">
    <w:nsid w:val="5B28581B"/>
    <w:multiLevelType w:val="singleLevel"/>
    <w:tmpl w:val="5B28581B"/>
    <w:lvl w:ilvl="0" w:tentative="0">
      <w:start w:val="5"/>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3ZjU5MTBlYzg5ZjY3YjBkNzkwMjE0ZjdlNDgyZDAifQ=="/>
  </w:docVars>
  <w:rsids>
    <w:rsidRoot w:val="445E02C8"/>
    <w:rsid w:val="00324036"/>
    <w:rsid w:val="01815E42"/>
    <w:rsid w:val="06B16A50"/>
    <w:rsid w:val="0C8750BA"/>
    <w:rsid w:val="128A15D1"/>
    <w:rsid w:val="190F4142"/>
    <w:rsid w:val="2D4744ED"/>
    <w:rsid w:val="334D3EDF"/>
    <w:rsid w:val="34593292"/>
    <w:rsid w:val="399E77CE"/>
    <w:rsid w:val="44544CA0"/>
    <w:rsid w:val="445E02C8"/>
    <w:rsid w:val="473531B0"/>
    <w:rsid w:val="4A7144FF"/>
    <w:rsid w:val="4F2F25C2"/>
    <w:rsid w:val="640D4E41"/>
    <w:rsid w:val="6A745DDA"/>
    <w:rsid w:val="702F7EED"/>
    <w:rsid w:val="79C92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font71"/>
    <w:basedOn w:val="6"/>
    <w:qFormat/>
    <w:uiPriority w:val="0"/>
    <w:rPr>
      <w:rFonts w:hint="default" w:ascii="Times New Roman" w:hAnsi="Times New Roman" w:eastAsia="楷体_GB2312" w:cs="Times New Roman"/>
      <w:sz w:val="28"/>
      <w:szCs w:val="24"/>
    </w:rPr>
  </w:style>
  <w:style w:type="character" w:customStyle="1" w:styleId="8">
    <w:name w:val="font61"/>
    <w:basedOn w:val="6"/>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2811</Words>
  <Characters>3197</Characters>
  <Lines>0</Lines>
  <Paragraphs>0</Paragraphs>
  <TotalTime>4</TotalTime>
  <ScaleCrop>false</ScaleCrop>
  <LinksUpToDate>false</LinksUpToDate>
  <CharactersWithSpaces>3283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风信子A L E X</cp:lastModifiedBy>
  <dcterms:modified xsi:type="dcterms:W3CDTF">2023-06-18T02:56:35Z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20F058F5F78C4E70A6470F5C7344C406_13</vt:lpwstr>
  </property>
</Properties>
</file>