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82" w:line="224" w:lineRule="auto"/>
        <w:ind w:left="68"/>
        <w:rPr>
          <w:rFonts w:hint="eastAsia" w:ascii="黑体" w:hAnsi="黑体" w:eastAsia="黑体" w:cs="黑体"/>
          <w:b/>
          <w:bCs/>
          <w:color w:val="auto"/>
          <w:spacing w:val="-19"/>
          <w:sz w:val="25"/>
          <w:szCs w:val="25"/>
          <w:lang w:val="en-US" w:eastAsia="zh-CN"/>
        </w:rPr>
      </w:pPr>
    </w:p>
    <w:p>
      <w:pPr>
        <w:pStyle w:val="2"/>
        <w:rPr>
          <w:rFonts w:hint="eastAsia"/>
          <w:lang w:val="en-US" w:eastAsia="zh-CN"/>
        </w:rPr>
      </w:pP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 xml:space="preserve"> </w:t>
      </w:r>
      <w:r>
        <w:rPr>
          <w:rFonts w:hint="eastAsia" w:ascii="方正小标宋简体" w:hAnsi="方正小标宋简体" w:eastAsia="方正小标宋简体" w:cs="方正小标宋简体"/>
          <w:b w:val="0"/>
          <w:bCs/>
          <w:color w:val="auto"/>
          <w:sz w:val="44"/>
          <w:szCs w:val="44"/>
          <w:lang w:eastAsia="zh-CN"/>
        </w:rPr>
        <w:t>兴国县方太乡卫生院</w:t>
      </w:r>
      <w:r>
        <w:rPr>
          <w:rFonts w:hint="eastAsia" w:ascii="方正小标宋简体" w:hAnsi="方正小标宋简体" w:eastAsia="方正小标宋简体" w:cs="方正小标宋简体"/>
          <w:b w:val="0"/>
          <w:bCs/>
          <w:color w:val="auto"/>
          <w:sz w:val="44"/>
          <w:szCs w:val="44"/>
          <w:lang w:val="en-US" w:eastAsia="zh-CN"/>
        </w:rPr>
        <w:t>2022年</w:t>
      </w:r>
      <w:r>
        <w:rPr>
          <w:rFonts w:hint="eastAsia" w:ascii="方正小标宋简体" w:hAnsi="方正小标宋简体" w:eastAsia="方正小标宋简体" w:cs="方正小标宋简体"/>
          <w:b w:val="0"/>
          <w:bCs/>
          <w:color w:val="auto"/>
          <w:sz w:val="44"/>
          <w:szCs w:val="44"/>
          <w:lang w:eastAsia="zh-CN"/>
        </w:rPr>
        <w:t>单位</w:t>
      </w:r>
      <w:r>
        <w:rPr>
          <w:rFonts w:hint="eastAsia" w:ascii="方正小标宋简体" w:hAnsi="方正小标宋简体" w:eastAsia="方正小标宋简体" w:cs="方正小标宋简体"/>
          <w:b w:val="0"/>
          <w:bCs/>
          <w:color w:val="auto"/>
          <w:sz w:val="44"/>
          <w:szCs w:val="44"/>
        </w:rPr>
        <w:t>预算编制说明</w:t>
      </w:r>
    </w:p>
    <w:p>
      <w:pPr>
        <w:spacing w:line="560" w:lineRule="exact"/>
        <w:jc w:val="center"/>
        <w:rPr>
          <w:rFonts w:hint="eastAsia" w:ascii="黑体" w:hAnsi="黑体" w:eastAsia="黑体" w:cs="黑体"/>
          <w:color w:val="auto"/>
          <w:sz w:val="36"/>
          <w:szCs w:val="36"/>
        </w:rPr>
      </w:pP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jc w:val="center"/>
        <w:rPr>
          <w:rFonts w:hint="eastAsia" w:ascii="黑体" w:hAnsi="黑体" w:eastAsia="黑体" w:cs="黑体"/>
          <w:color w:val="auto"/>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eastAsia="zh-CN"/>
        </w:rPr>
        <w:t>方太乡卫生院单位</w:t>
      </w:r>
      <w:r>
        <w:rPr>
          <w:rFonts w:hint="eastAsia" w:ascii="仿宋" w:hAnsi="仿宋" w:eastAsia="仿宋" w:cs="仿宋"/>
          <w:b/>
          <w:bCs/>
          <w:color w:val="auto"/>
          <w:sz w:val="32"/>
          <w:szCs w:val="32"/>
        </w:rPr>
        <w:t>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方太乡卫生院</w:t>
      </w:r>
      <w:r>
        <w:rPr>
          <w:rFonts w:hint="eastAsia" w:ascii="仿宋" w:hAnsi="仿宋" w:eastAsia="仿宋" w:cs="仿宋"/>
          <w:b/>
          <w:bCs/>
          <w:color w:val="auto"/>
          <w:sz w:val="32"/>
          <w:szCs w:val="32"/>
        </w:rPr>
        <w:t>单位预算情况说明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年“三公”经费预算情况说明</w:t>
      </w:r>
    </w:p>
    <w:p>
      <w:pPr>
        <w:numPr>
          <w:ilvl w:val="0"/>
          <w:numId w:val="1"/>
        </w:numPr>
        <w:spacing w:line="560" w:lineRule="exact"/>
        <w:ind w:left="641" w:hanging="684" w:hangingChars="213"/>
        <w:rPr>
          <w:rFonts w:hint="eastAsia"/>
          <w:lang w:eastAsia="zh-CN"/>
        </w:rPr>
      </w:pP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方太乡卫生院</w:t>
      </w:r>
      <w:r>
        <w:rPr>
          <w:rFonts w:hint="eastAsia" w:ascii="仿宋" w:hAnsi="仿宋" w:eastAsia="仿宋" w:cs="仿宋"/>
          <w:b/>
          <w:bCs/>
          <w:color w:val="auto"/>
          <w:sz w:val="32"/>
          <w:szCs w:val="32"/>
        </w:rPr>
        <w:t>单位预算表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二、《部门收入总表》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三、《部门支出总表》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line="560" w:lineRule="exact"/>
        <w:ind w:left="634" w:leftChars="284" w:hanging="38" w:hangingChars="12"/>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九、</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国有资本经营预算支出表</w:t>
      </w:r>
      <w:r>
        <w:rPr>
          <w:rFonts w:hint="eastAsia" w:ascii="仿宋" w:hAnsi="仿宋" w:eastAsia="仿宋" w:cs="仿宋"/>
          <w:color w:val="auto"/>
          <w:sz w:val="32"/>
          <w:szCs w:val="32"/>
        </w:rPr>
        <w:t>》</w:t>
      </w:r>
    </w:p>
    <w:p>
      <w:pPr>
        <w:spacing w:line="560" w:lineRule="exact"/>
        <w:ind w:left="634" w:leftChars="284" w:hanging="38" w:hangingChars="12"/>
        <w:rPr>
          <w:rFonts w:hint="eastAsia" w:ascii="仿宋" w:hAnsi="仿宋" w:eastAsia="仿宋" w:cs="仿宋"/>
          <w:b/>
          <w:bCs/>
          <w:color w:val="auto"/>
          <w:sz w:val="32"/>
          <w:szCs w:val="32"/>
        </w:rPr>
      </w:pP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rPr>
        <w:t>、《项目支出绩效目标表》</w:t>
      </w:r>
      <w:r>
        <w:rPr>
          <w:rFonts w:hint="eastAsia" w:ascii="仿宋" w:hAnsi="仿宋" w:eastAsia="仿宋" w:cs="仿宋"/>
          <w:color w:val="auto"/>
          <w:sz w:val="32"/>
          <w:szCs w:val="32"/>
        </w:rPr>
        <w:cr/>
      </w:r>
      <w:r>
        <w:rPr>
          <w:rFonts w:hint="eastAsia" w:ascii="仿宋" w:hAnsi="仿宋" w:eastAsia="仿宋" w:cs="仿宋"/>
          <w:b/>
          <w:bCs/>
          <w:color w:val="auto"/>
          <w:sz w:val="32"/>
          <w:szCs w:val="32"/>
        </w:rPr>
        <w:t>第四部分 名词解释</w:t>
      </w:r>
    </w:p>
    <w:p>
      <w:pPr>
        <w:spacing w:line="560" w:lineRule="exact"/>
        <w:jc w:val="center"/>
        <w:rPr>
          <w:rFonts w:hint="eastAsia" w:ascii="仿宋" w:hAnsi="仿宋" w:eastAsia="仿宋" w:cs="仿宋"/>
          <w:b/>
          <w:bCs/>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eastAsia="zh-CN"/>
        </w:rPr>
        <w:t>方太乡卫生院单位</w:t>
      </w:r>
      <w:r>
        <w:rPr>
          <w:rFonts w:hint="eastAsia" w:ascii="黑体" w:hAnsi="黑体" w:eastAsia="黑体" w:cs="黑体"/>
          <w:b w:val="0"/>
          <w:bCs w:val="0"/>
          <w:color w:val="auto"/>
          <w:sz w:val="32"/>
          <w:szCs w:val="32"/>
        </w:rPr>
        <w:t>部门概况</w:t>
      </w:r>
    </w:p>
    <w:p>
      <w:pPr>
        <w:spacing w:line="560" w:lineRule="exact"/>
        <w:jc w:val="center"/>
        <w:rPr>
          <w:rFonts w:ascii="仿宋" w:hAnsi="仿宋" w:eastAsia="仿宋" w:cs="仿宋"/>
          <w:b/>
          <w:bCs/>
          <w:color w:val="auto"/>
          <w:sz w:val="32"/>
          <w:szCs w:val="32"/>
        </w:rPr>
      </w:pPr>
    </w:p>
    <w:p>
      <w:pPr>
        <w:spacing w:line="360" w:lineRule="auto"/>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单位</w:t>
      </w:r>
      <w:r>
        <w:rPr>
          <w:rFonts w:hint="eastAsia" w:ascii="楷体" w:hAnsi="楷体" w:eastAsia="楷体" w:cs="楷体"/>
          <w:b/>
          <w:bCs/>
          <w:color w:val="auto"/>
          <w:sz w:val="32"/>
          <w:szCs w:val="32"/>
        </w:rPr>
        <w:t>主要职责</w:t>
      </w:r>
    </w:p>
    <w:p>
      <w:pPr>
        <w:spacing w:line="360" w:lineRule="auto"/>
        <w:ind w:firstLine="640" w:firstLineChars="200"/>
        <w:rPr>
          <w:rFonts w:hint="eastAsia" w:ascii="仿宋" w:hAnsi="仿宋" w:eastAsia="仿宋" w:cs="仿宋"/>
          <w:color w:val="auto"/>
          <w:sz w:val="32"/>
          <w:szCs w:val="32"/>
          <w:lang w:eastAsia="zh-CN"/>
        </w:rPr>
      </w:pPr>
      <w:r>
        <w:rPr>
          <w:rFonts w:hint="eastAsia" w:ascii="仿宋" w:hAnsi="仿宋" w:eastAsia="仿宋" w:cs="仿宋"/>
          <w:sz w:val="32"/>
          <w:szCs w:val="32"/>
        </w:rPr>
        <w:t>兴国县</w:t>
      </w:r>
      <w:r>
        <w:rPr>
          <w:rFonts w:hint="eastAsia" w:ascii="仿宋" w:hAnsi="仿宋" w:eastAsia="仿宋" w:cs="仿宋"/>
          <w:sz w:val="32"/>
          <w:szCs w:val="32"/>
          <w:lang w:eastAsia="zh-CN"/>
        </w:rPr>
        <w:t>方太乡</w:t>
      </w:r>
      <w:r>
        <w:rPr>
          <w:rFonts w:hint="eastAsia" w:ascii="仿宋" w:hAnsi="仿宋" w:eastAsia="仿宋" w:cs="仿宋"/>
          <w:sz w:val="32"/>
          <w:szCs w:val="32"/>
        </w:rPr>
        <w:t>卫生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w:t>
      </w:r>
      <w:r>
        <w:rPr>
          <w:rFonts w:hint="eastAsia" w:ascii="仿宋" w:hAnsi="仿宋" w:eastAsia="仿宋" w:cs="仿宋"/>
          <w:sz w:val="32"/>
          <w:szCs w:val="32"/>
          <w:lang w:eastAsia="zh-CN"/>
        </w:rPr>
        <w:t>乡</w:t>
      </w:r>
      <w:r>
        <w:rPr>
          <w:rFonts w:hint="eastAsia" w:ascii="仿宋" w:hAnsi="仿宋" w:eastAsia="仿宋" w:cs="仿宋"/>
          <w:sz w:val="32"/>
          <w:szCs w:val="32"/>
        </w:rPr>
        <w:t>卫生院应承担本</w:t>
      </w:r>
      <w:r>
        <w:rPr>
          <w:rFonts w:hint="eastAsia" w:ascii="仿宋" w:hAnsi="仿宋" w:eastAsia="仿宋" w:cs="仿宋"/>
          <w:sz w:val="32"/>
          <w:szCs w:val="32"/>
          <w:lang w:eastAsia="zh-CN"/>
        </w:rPr>
        <w:t>乡</w:t>
      </w:r>
      <w:r>
        <w:rPr>
          <w:rFonts w:hint="eastAsia" w:ascii="仿宋" w:hAnsi="仿宋" w:eastAsia="仿宋" w:cs="仿宋"/>
          <w:sz w:val="32"/>
          <w:szCs w:val="32"/>
        </w:rPr>
        <w:t>的各项医疗卫生服务和一定的卫生行政管理工作</w:t>
      </w:r>
      <w:r>
        <w:rPr>
          <w:rFonts w:hint="eastAsia" w:ascii="仿宋" w:hAnsi="仿宋" w:eastAsia="仿宋" w:cs="仿宋"/>
          <w:sz w:val="32"/>
          <w:szCs w:val="32"/>
          <w:lang w:eastAsia="zh-CN"/>
        </w:rPr>
        <w:t>。</w:t>
      </w:r>
    </w:p>
    <w:p>
      <w:pPr>
        <w:spacing w:line="360" w:lineRule="auto"/>
        <w:ind w:left="10" w:leftChars="5"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二、</w:t>
      </w:r>
      <w:r>
        <w:rPr>
          <w:rFonts w:hint="eastAsia" w:ascii="仿宋" w:hAnsi="仿宋" w:eastAsia="仿宋" w:cs="仿宋"/>
          <w:b/>
          <w:bCs/>
          <w:color w:val="auto"/>
          <w:sz w:val="32"/>
          <w:szCs w:val="32"/>
          <w:lang w:val="en-US" w:eastAsia="zh-CN"/>
        </w:rPr>
        <w:t>单位</w:t>
      </w:r>
      <w:r>
        <w:rPr>
          <w:rFonts w:hint="eastAsia" w:ascii="仿宋" w:hAnsi="仿宋" w:eastAsia="仿宋" w:cs="仿宋"/>
          <w:b/>
          <w:bCs/>
          <w:color w:val="auto"/>
          <w:sz w:val="32"/>
          <w:szCs w:val="32"/>
        </w:rPr>
        <w:t>基本情况</w:t>
      </w:r>
    </w:p>
    <w:p>
      <w:pPr>
        <w:pStyle w:val="2"/>
        <w:spacing w:before="92" w:line="360" w:lineRule="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兴国县方太乡卫生院单位内设处室</w:t>
      </w:r>
      <w:r>
        <w:rPr>
          <w:rFonts w:hint="eastAsia" w:ascii="仿宋" w:hAnsi="仿宋" w:eastAsia="仿宋" w:cs="仿宋"/>
          <w:color w:val="auto"/>
          <w:sz w:val="32"/>
          <w:szCs w:val="32"/>
          <w:lang w:val="en-US" w:eastAsia="zh-CN"/>
        </w:rPr>
        <w:t>11</w:t>
      </w:r>
      <w:r>
        <w:rPr>
          <w:rFonts w:hint="eastAsia" w:ascii="仿宋" w:hAnsi="仿宋" w:eastAsia="仿宋" w:cs="仿宋"/>
          <w:color w:val="auto"/>
          <w:sz w:val="32"/>
          <w:szCs w:val="32"/>
        </w:rPr>
        <w:t>个，</w:t>
      </w:r>
      <w:r>
        <w:rPr>
          <w:rFonts w:hint="eastAsia" w:ascii="仿宋" w:hAnsi="仿宋" w:eastAsia="仿宋" w:cs="仿宋"/>
          <w:spacing w:val="-11"/>
          <w:sz w:val="32"/>
          <w:szCs w:val="32"/>
        </w:rPr>
        <w:t>包括：内外</w:t>
      </w:r>
      <w:r>
        <w:rPr>
          <w:rFonts w:hint="eastAsia" w:ascii="仿宋" w:hAnsi="仿宋" w:eastAsia="仿宋" w:cs="仿宋"/>
          <w:sz w:val="32"/>
          <w:szCs w:val="32"/>
        </w:rPr>
        <w:t>科、儿科、</w:t>
      </w:r>
      <w:r>
        <w:rPr>
          <w:rFonts w:hint="eastAsia" w:ascii="仿宋" w:hAnsi="仿宋" w:eastAsia="仿宋" w:cs="仿宋"/>
          <w:sz w:val="32"/>
          <w:szCs w:val="32"/>
          <w:lang w:eastAsia="zh-CN"/>
        </w:rPr>
        <w:t>中医科、</w:t>
      </w:r>
      <w:r>
        <w:rPr>
          <w:rFonts w:hint="eastAsia" w:ascii="仿宋" w:hAnsi="仿宋" w:eastAsia="仿宋" w:cs="仿宋"/>
          <w:sz w:val="32"/>
          <w:szCs w:val="32"/>
        </w:rPr>
        <w:t>妇产科、B</w:t>
      </w:r>
      <w:r>
        <w:rPr>
          <w:rFonts w:hint="eastAsia" w:ascii="仿宋" w:hAnsi="仿宋" w:eastAsia="仿宋" w:cs="仿宋"/>
          <w:spacing w:val="-7"/>
          <w:sz w:val="32"/>
          <w:szCs w:val="32"/>
        </w:rPr>
        <w:t xml:space="preserve"> 超室、收费室、护理</w:t>
      </w:r>
      <w:r>
        <w:rPr>
          <w:rFonts w:hint="eastAsia" w:ascii="仿宋" w:hAnsi="仿宋" w:eastAsia="仿宋" w:cs="仿宋"/>
          <w:spacing w:val="-7"/>
          <w:sz w:val="32"/>
          <w:szCs w:val="32"/>
          <w:lang w:eastAsia="zh-CN"/>
        </w:rPr>
        <w:t>部</w:t>
      </w:r>
      <w:r>
        <w:rPr>
          <w:rFonts w:hint="eastAsia" w:ascii="仿宋" w:hAnsi="仿宋" w:eastAsia="仿宋" w:cs="仿宋"/>
          <w:spacing w:val="-7"/>
          <w:sz w:val="32"/>
          <w:szCs w:val="32"/>
        </w:rPr>
        <w:t>、中医馆、财</w:t>
      </w:r>
      <w:r>
        <w:rPr>
          <w:rFonts w:hint="eastAsia" w:ascii="仿宋" w:hAnsi="仿宋" w:eastAsia="仿宋" w:cs="仿宋"/>
          <w:spacing w:val="-10"/>
          <w:sz w:val="32"/>
          <w:szCs w:val="32"/>
        </w:rPr>
        <w:t>务室、公卫科、办公室。</w:t>
      </w:r>
      <w:r>
        <w:rPr>
          <w:rFonts w:hint="eastAsia" w:ascii="仿宋" w:hAnsi="仿宋" w:eastAsia="仿宋" w:cs="仿宋"/>
          <w:color w:val="auto"/>
          <w:sz w:val="32"/>
          <w:szCs w:val="32"/>
        </w:rPr>
        <w:fldChar w:fldCharType="begin"/>
      </w:r>
      <w:r>
        <w:rPr>
          <w:rFonts w:hint="eastAsia" w:ascii="仿宋" w:hAnsi="仿宋" w:eastAsia="仿宋" w:cs="仿宋"/>
          <w:color w:val="auto"/>
          <w:sz w:val="32"/>
          <w:szCs w:val="32"/>
        </w:rPr>
        <w:instrText xml:space="preserve">MERGEFIELD ${page400644146.ds532982397_REP_JX_BAS_AGENCY_INFO_ZYFRS_S_BZRSXJ}</w:instrText>
      </w:r>
      <w:r>
        <w:rPr>
          <w:rFonts w:hint="eastAsia" w:ascii="仿宋" w:hAnsi="仿宋" w:eastAsia="仿宋" w:cs="仿宋"/>
          <w:color w:val="auto"/>
          <w:sz w:val="32"/>
          <w:szCs w:val="32"/>
        </w:rPr>
        <w:fldChar w:fldCharType="separate"/>
      </w:r>
      <w:r>
        <w:rPr>
          <w:rFonts w:hint="eastAsia" w:ascii="仿宋" w:hAnsi="仿宋" w:eastAsia="仿宋" w:cs="仿宋"/>
          <w:color w:val="auto"/>
          <w:sz w:val="32"/>
          <w:szCs w:val="32"/>
        </w:rPr>
        <w:t>编制人数小计</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人,</w:t>
      </w:r>
      <w:r>
        <w:rPr>
          <w:rFonts w:hint="eastAsia" w:ascii="仿宋" w:hAnsi="仿宋" w:eastAsia="仿宋" w:cs="仿宋"/>
          <w:color w:val="auto"/>
          <w:sz w:val="32"/>
          <w:szCs w:val="32"/>
        </w:rPr>
        <w:fldChar w:fldCharType="end"/>
      </w:r>
      <w:r>
        <w:rPr>
          <w:rFonts w:hint="eastAsia" w:ascii="仿宋" w:hAnsi="仿宋" w:eastAsia="仿宋" w:cs="仿宋"/>
          <w:color w:val="auto"/>
          <w:sz w:val="32"/>
          <w:szCs w:val="32"/>
        </w:rPr>
        <w:t>其中：</w:t>
      </w:r>
      <w:r>
        <w:rPr>
          <w:rFonts w:hint="eastAsia" w:ascii="仿宋" w:hAnsi="仿宋" w:eastAsia="仿宋" w:cs="仿宋"/>
          <w:color w:val="auto"/>
          <w:sz w:val="32"/>
          <w:szCs w:val="32"/>
        </w:rPr>
        <w:fldChar w:fldCharType="begin"/>
      </w:r>
      <w:r>
        <w:rPr>
          <w:rFonts w:hint="eastAsia" w:ascii="仿宋" w:hAnsi="仿宋" w:eastAsia="仿宋" w:cs="仿宋"/>
          <w:color w:val="auto"/>
          <w:sz w:val="32"/>
          <w:szCs w:val="32"/>
        </w:rPr>
        <w:instrText xml:space="preserve">MERGEFIELD ${page400644146.ds532982397_REP_JX_BAS_AGENCY_INFO_ZYFRS_S_BZRSMX}</w:instrText>
      </w:r>
      <w:r>
        <w:rPr>
          <w:rFonts w:hint="eastAsia" w:ascii="仿宋" w:hAnsi="仿宋" w:eastAsia="仿宋" w:cs="仿宋"/>
          <w:color w:val="auto"/>
          <w:sz w:val="32"/>
          <w:szCs w:val="32"/>
        </w:rPr>
        <w:fldChar w:fldCharType="separate"/>
      </w:r>
      <w:r>
        <w:rPr>
          <w:rFonts w:hint="eastAsia" w:ascii="仿宋" w:hAnsi="仿宋" w:eastAsia="仿宋" w:cs="仿宋"/>
          <w:color w:val="auto"/>
          <w:sz w:val="32"/>
          <w:szCs w:val="32"/>
        </w:rPr>
        <w:t>行政编制人数</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人,参照公务员管理的事业编制人数</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人,全部补助事业编制人数</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人</w:t>
      </w:r>
      <w:r>
        <w:rPr>
          <w:rFonts w:hint="eastAsia" w:ascii="仿宋" w:hAnsi="仿宋" w:eastAsia="仿宋" w:cs="仿宋"/>
          <w:color w:val="auto"/>
          <w:sz w:val="32"/>
          <w:szCs w:val="32"/>
          <w:lang w:eastAsia="zh-CN"/>
        </w:rPr>
        <w:t>，</w:t>
      </w:r>
      <w:r>
        <w:rPr>
          <w:rFonts w:hint="eastAsia" w:ascii="仿宋" w:hAnsi="仿宋" w:eastAsia="仿宋" w:cs="仿宋"/>
          <w:spacing w:val="-10"/>
          <w:sz w:val="32"/>
          <w:szCs w:val="32"/>
        </w:rPr>
        <w:t xml:space="preserve">差额拨款事业编制人数 </w:t>
      </w:r>
      <w:r>
        <w:rPr>
          <w:rFonts w:hint="eastAsia" w:ascii="仿宋" w:hAnsi="仿宋" w:eastAsia="仿宋" w:cs="仿宋"/>
          <w:spacing w:val="-10"/>
          <w:sz w:val="32"/>
          <w:szCs w:val="32"/>
          <w:lang w:val="en-US" w:eastAsia="zh-CN"/>
        </w:rPr>
        <w:t>15</w:t>
      </w:r>
      <w:r>
        <w:rPr>
          <w:rFonts w:hint="eastAsia" w:ascii="仿宋" w:hAnsi="仿宋" w:eastAsia="仿宋" w:cs="仿宋"/>
          <w:spacing w:val="-9"/>
          <w:sz w:val="32"/>
          <w:szCs w:val="32"/>
        </w:rPr>
        <w:t xml:space="preserve"> 人</w:t>
      </w:r>
      <w:r>
        <w:rPr>
          <w:rFonts w:hint="eastAsia" w:ascii="仿宋" w:hAnsi="仿宋" w:eastAsia="仿宋" w:cs="仿宋"/>
          <w:color w:val="auto"/>
          <w:sz w:val="32"/>
          <w:szCs w:val="32"/>
        </w:rPr>
        <w:t>,自收自支编制人数</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人。</w:t>
      </w:r>
      <w:r>
        <w:rPr>
          <w:rFonts w:hint="eastAsia" w:ascii="仿宋" w:hAnsi="仿宋" w:eastAsia="仿宋" w:cs="仿宋"/>
          <w:color w:val="auto"/>
          <w:sz w:val="32"/>
          <w:szCs w:val="32"/>
        </w:rPr>
        <w:fldChar w:fldCharType="end"/>
      </w:r>
      <w:r>
        <w:rPr>
          <w:rFonts w:hint="eastAsia" w:ascii="仿宋" w:hAnsi="仿宋" w:eastAsia="仿宋" w:cs="仿宋"/>
          <w:color w:val="auto"/>
          <w:sz w:val="32"/>
          <w:szCs w:val="32"/>
        </w:rPr>
        <w:fldChar w:fldCharType="begin"/>
      </w:r>
      <w:r>
        <w:rPr>
          <w:rFonts w:hint="eastAsia" w:ascii="仿宋" w:hAnsi="仿宋" w:eastAsia="仿宋" w:cs="仿宋"/>
          <w:color w:val="auto"/>
          <w:sz w:val="32"/>
          <w:szCs w:val="32"/>
        </w:rPr>
        <w:instrText xml:space="preserve">MERGEFIELD ${page400644146.ds532982397_REP_JX_BAS_AGENCY_INFO_ZYFRS_S_SYRSXJ}</w:instrText>
      </w:r>
      <w:r>
        <w:rPr>
          <w:rFonts w:hint="eastAsia" w:ascii="仿宋" w:hAnsi="仿宋" w:eastAsia="仿宋" w:cs="仿宋"/>
          <w:color w:val="auto"/>
          <w:sz w:val="32"/>
          <w:szCs w:val="32"/>
        </w:rPr>
        <w:fldChar w:fldCharType="separate"/>
      </w:r>
      <w:r>
        <w:rPr>
          <w:rFonts w:hint="eastAsia" w:ascii="仿宋" w:hAnsi="仿宋" w:eastAsia="仿宋" w:cs="仿宋"/>
          <w:color w:val="auto"/>
          <w:sz w:val="32"/>
          <w:szCs w:val="32"/>
        </w:rPr>
        <w:t>实有人数小计</w:t>
      </w:r>
      <w:r>
        <w:rPr>
          <w:rFonts w:hint="eastAsia" w:ascii="仿宋" w:hAnsi="仿宋" w:eastAsia="仿宋" w:cs="仿宋"/>
          <w:color w:val="auto"/>
          <w:sz w:val="32"/>
          <w:szCs w:val="32"/>
          <w:lang w:val="en-US" w:eastAsia="zh-CN"/>
        </w:rPr>
        <w:t>17</w:t>
      </w:r>
      <w:r>
        <w:rPr>
          <w:rFonts w:hint="eastAsia" w:ascii="仿宋" w:hAnsi="仿宋" w:eastAsia="仿宋" w:cs="仿宋"/>
          <w:color w:val="auto"/>
          <w:sz w:val="32"/>
          <w:szCs w:val="32"/>
        </w:rPr>
        <w:t>人,</w:t>
      </w:r>
      <w:r>
        <w:rPr>
          <w:rFonts w:hint="eastAsia" w:ascii="仿宋" w:hAnsi="仿宋" w:eastAsia="仿宋" w:cs="仿宋"/>
          <w:color w:val="auto"/>
          <w:sz w:val="32"/>
          <w:szCs w:val="32"/>
        </w:rPr>
        <w:fldChar w:fldCharType="end"/>
      </w:r>
      <w:r>
        <w:rPr>
          <w:rFonts w:hint="eastAsia" w:ascii="仿宋" w:hAnsi="仿宋" w:eastAsia="仿宋" w:cs="仿宋"/>
          <w:color w:val="auto"/>
          <w:sz w:val="32"/>
          <w:szCs w:val="32"/>
        </w:rPr>
        <w:t>其中：</w:t>
      </w:r>
      <w:r>
        <w:rPr>
          <w:rFonts w:hint="eastAsia" w:ascii="仿宋" w:hAnsi="仿宋" w:eastAsia="仿宋" w:cs="仿宋"/>
          <w:color w:val="auto"/>
          <w:sz w:val="32"/>
          <w:szCs w:val="32"/>
        </w:rPr>
        <w:fldChar w:fldCharType="begin"/>
      </w:r>
      <w:r>
        <w:rPr>
          <w:rFonts w:hint="eastAsia" w:ascii="仿宋" w:hAnsi="仿宋" w:eastAsia="仿宋" w:cs="仿宋"/>
          <w:color w:val="auto"/>
          <w:sz w:val="32"/>
          <w:szCs w:val="32"/>
        </w:rPr>
        <w:instrText xml:space="preserve">MERGEFIELD ${page400644146.ds532982397_REP_JX_BAS_AGENCY_INFO_ZYFRS_S_ZZRSXJ}</w:instrText>
      </w:r>
      <w:r>
        <w:rPr>
          <w:rFonts w:hint="eastAsia" w:ascii="仿宋" w:hAnsi="仿宋" w:eastAsia="仿宋" w:cs="仿宋"/>
          <w:color w:val="auto"/>
          <w:sz w:val="32"/>
          <w:szCs w:val="32"/>
        </w:rPr>
        <w:fldChar w:fldCharType="separate"/>
      </w:r>
      <w:r>
        <w:rPr>
          <w:rFonts w:hint="eastAsia" w:ascii="仿宋" w:hAnsi="仿宋" w:eastAsia="仿宋" w:cs="仿宋"/>
          <w:color w:val="auto"/>
          <w:sz w:val="32"/>
          <w:szCs w:val="32"/>
        </w:rPr>
        <w:t>在职人数小计</w:t>
      </w:r>
      <w:r>
        <w:rPr>
          <w:rFonts w:hint="eastAsia" w:ascii="仿宋" w:hAnsi="仿宋" w:eastAsia="仿宋" w:cs="仿宋"/>
          <w:color w:val="auto"/>
          <w:sz w:val="32"/>
          <w:szCs w:val="32"/>
          <w:lang w:val="en-US" w:eastAsia="zh-CN"/>
        </w:rPr>
        <w:t>17</w:t>
      </w:r>
      <w:r>
        <w:rPr>
          <w:rFonts w:hint="eastAsia" w:ascii="仿宋" w:hAnsi="仿宋" w:eastAsia="仿宋" w:cs="仿宋"/>
          <w:color w:val="auto"/>
          <w:sz w:val="32"/>
          <w:szCs w:val="32"/>
        </w:rPr>
        <w:t>人,</w:t>
      </w:r>
      <w:r>
        <w:rPr>
          <w:rFonts w:hint="eastAsia" w:ascii="仿宋" w:hAnsi="仿宋" w:eastAsia="仿宋" w:cs="仿宋"/>
          <w:color w:val="auto"/>
          <w:sz w:val="32"/>
          <w:szCs w:val="32"/>
        </w:rPr>
        <w:fldChar w:fldCharType="end"/>
      </w:r>
      <w:r>
        <w:rPr>
          <w:rFonts w:hint="eastAsia" w:ascii="仿宋" w:hAnsi="仿宋" w:eastAsia="仿宋" w:cs="仿宋"/>
          <w:color w:val="auto"/>
          <w:sz w:val="32"/>
          <w:szCs w:val="32"/>
        </w:rPr>
        <w:fldChar w:fldCharType="begin"/>
      </w:r>
      <w:r>
        <w:rPr>
          <w:rFonts w:hint="eastAsia" w:ascii="仿宋" w:hAnsi="仿宋" w:eastAsia="仿宋" w:cs="仿宋"/>
          <w:color w:val="auto"/>
          <w:sz w:val="32"/>
          <w:szCs w:val="32"/>
        </w:rPr>
        <w:instrText xml:space="preserve">MERGEFIELD ${page400644146.ds532982397_REP_JX_BAS_AGENCY_INFO_ZYFRS_S_ZZRSMX}</w:instrText>
      </w:r>
      <w:r>
        <w:rPr>
          <w:rFonts w:hint="eastAsia" w:ascii="仿宋" w:hAnsi="仿宋" w:eastAsia="仿宋" w:cs="仿宋"/>
          <w:color w:val="auto"/>
          <w:sz w:val="32"/>
          <w:szCs w:val="32"/>
        </w:rPr>
        <w:fldChar w:fldCharType="separate"/>
      </w:r>
      <w:r>
        <w:rPr>
          <w:rFonts w:hint="eastAsia" w:ascii="仿宋" w:hAnsi="仿宋" w:eastAsia="仿宋" w:cs="仿宋"/>
          <w:color w:val="auto"/>
          <w:sz w:val="32"/>
          <w:szCs w:val="32"/>
        </w:rPr>
        <w:t>行政在职人数</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人,参照公务员管理的事业单位在职人数</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人,全部补助事业在职人数</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人。</w:t>
      </w:r>
      <w:r>
        <w:rPr>
          <w:rFonts w:hint="eastAsia" w:ascii="仿宋" w:hAnsi="仿宋" w:eastAsia="仿宋" w:cs="仿宋"/>
          <w:color w:val="auto"/>
          <w:sz w:val="32"/>
          <w:szCs w:val="32"/>
        </w:rPr>
        <w:fldChar w:fldCharType="end"/>
      </w:r>
      <w:r>
        <w:rPr>
          <w:rFonts w:hint="eastAsia" w:ascii="仿宋" w:hAnsi="仿宋" w:eastAsia="仿宋" w:cs="仿宋"/>
          <w:spacing w:val="-16"/>
          <w:sz w:val="32"/>
          <w:szCs w:val="32"/>
        </w:rPr>
        <w:t xml:space="preserve">差额拨款事业在职人数 </w:t>
      </w:r>
      <w:r>
        <w:rPr>
          <w:rFonts w:hint="eastAsia" w:ascii="仿宋" w:hAnsi="仿宋" w:eastAsia="仿宋" w:cs="仿宋"/>
          <w:sz w:val="32"/>
          <w:szCs w:val="32"/>
        </w:rPr>
        <w:t>19</w:t>
      </w:r>
      <w:r>
        <w:rPr>
          <w:rFonts w:hint="eastAsia" w:ascii="仿宋" w:hAnsi="仿宋" w:eastAsia="仿宋" w:cs="仿宋"/>
          <w:spacing w:val="-6"/>
          <w:sz w:val="32"/>
          <w:szCs w:val="32"/>
        </w:rPr>
        <w:t>人。</w:t>
      </w:r>
      <w:r>
        <w:rPr>
          <w:rFonts w:hint="eastAsia" w:ascii="仿宋" w:hAnsi="仿宋" w:eastAsia="仿宋" w:cs="仿宋"/>
          <w:color w:val="auto"/>
          <w:sz w:val="32"/>
          <w:szCs w:val="32"/>
        </w:rPr>
        <w:fldChar w:fldCharType="begin"/>
      </w:r>
      <w:r>
        <w:rPr>
          <w:rFonts w:hint="eastAsia" w:ascii="仿宋" w:hAnsi="仿宋" w:eastAsia="仿宋" w:cs="仿宋"/>
          <w:color w:val="auto"/>
          <w:sz w:val="32"/>
          <w:szCs w:val="32"/>
        </w:rPr>
        <w:instrText xml:space="preserve">MERGEFIELD ${page400644146.ds532982397_REP_JX_BAS_AGENCY_INFO_ZYFRS_S_QTRSMX}</w:instrText>
      </w:r>
      <w:r>
        <w:rPr>
          <w:rFonts w:hint="eastAsia" w:ascii="仿宋" w:hAnsi="仿宋" w:eastAsia="仿宋" w:cs="仿宋"/>
          <w:color w:val="auto"/>
          <w:sz w:val="32"/>
          <w:szCs w:val="32"/>
        </w:rPr>
        <w:fldChar w:fldCharType="separate"/>
      </w:r>
      <w:r>
        <w:rPr>
          <w:rFonts w:hint="eastAsia" w:ascii="仿宋" w:hAnsi="仿宋" w:eastAsia="仿宋" w:cs="仿宋"/>
          <w:color w:val="auto"/>
          <w:sz w:val="32"/>
          <w:szCs w:val="32"/>
        </w:rPr>
        <w:t>离休人数小计</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人,退休人数小计</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人,退职人员</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人,遗属人数</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人。</w:t>
      </w:r>
      <w:r>
        <w:rPr>
          <w:rFonts w:hint="eastAsia" w:ascii="仿宋" w:hAnsi="仿宋" w:eastAsia="仿宋" w:cs="仿宋"/>
          <w:color w:val="auto"/>
          <w:sz w:val="32"/>
          <w:szCs w:val="32"/>
        </w:rPr>
        <w:fldChar w:fldCharType="end"/>
      </w:r>
    </w:p>
    <w:p>
      <w:pPr>
        <w:spacing w:line="560" w:lineRule="exact"/>
        <w:rPr>
          <w:rFonts w:ascii="仿宋" w:hAnsi="仿宋" w:eastAsia="仿宋" w:cs="仿宋"/>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兴国县</w:t>
      </w:r>
      <w:r>
        <w:rPr>
          <w:rFonts w:hint="eastAsia" w:ascii="黑体" w:hAnsi="黑体" w:eastAsia="黑体" w:cs="黑体"/>
          <w:b w:val="0"/>
          <w:bCs w:val="0"/>
          <w:color w:val="auto"/>
          <w:sz w:val="32"/>
          <w:szCs w:val="32"/>
          <w:lang w:eastAsia="zh-CN"/>
        </w:rPr>
        <w:t>方太乡卫生院单位</w:t>
      </w:r>
      <w:r>
        <w:rPr>
          <w:rFonts w:hint="eastAsia" w:ascii="黑体" w:hAnsi="黑体" w:eastAsia="黑体" w:cs="黑体"/>
          <w:b w:val="0"/>
          <w:bCs w:val="0"/>
          <w:color w:val="auto"/>
          <w:sz w:val="32"/>
          <w:szCs w:val="32"/>
        </w:rPr>
        <w:t>预算情况说明</w:t>
      </w:r>
    </w:p>
    <w:p>
      <w:pPr>
        <w:spacing w:line="560" w:lineRule="exact"/>
        <w:jc w:val="center"/>
        <w:rPr>
          <w:rFonts w:ascii="仿宋" w:hAnsi="仿宋" w:eastAsia="仿宋" w:cs="仿宋"/>
          <w:b/>
          <w:bCs/>
          <w:color w:val="auto"/>
          <w:sz w:val="32"/>
          <w:szCs w:val="32"/>
        </w:rPr>
      </w:pPr>
    </w:p>
    <w:p>
      <w:pPr>
        <w:spacing w:line="360" w:lineRule="auto"/>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2022</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p>
    <w:p>
      <w:pPr>
        <w:spacing w:line="360" w:lineRule="auto"/>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spacing w:line="360" w:lineRule="auto"/>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本单位收入</w:t>
      </w:r>
      <w:r>
        <w:rPr>
          <w:rFonts w:hint="eastAsia" w:ascii="仿宋" w:hAnsi="仿宋" w:eastAsia="仿宋" w:cs="仿宋"/>
          <w:color w:val="auto"/>
          <w:sz w:val="32"/>
          <w:szCs w:val="32"/>
        </w:rPr>
        <w:t>预算</w:t>
      </w:r>
      <w:r>
        <w:rPr>
          <w:rFonts w:hint="eastAsia" w:ascii="仿宋" w:hAnsi="仿宋" w:eastAsia="仿宋" w:cs="仿宋"/>
          <w:color w:val="auto"/>
          <w:sz w:val="32"/>
          <w:szCs w:val="32"/>
          <w:lang w:eastAsia="zh-CN"/>
        </w:rPr>
        <w:t>总额</w:t>
      </w:r>
      <w:r>
        <w:rPr>
          <w:rFonts w:hint="eastAsia" w:ascii="仿宋" w:hAnsi="仿宋" w:eastAsia="仿宋" w:cs="仿宋"/>
          <w:color w:val="auto"/>
          <w:sz w:val="32"/>
          <w:szCs w:val="32"/>
          <w:lang w:val="en-US" w:eastAsia="zh-CN"/>
        </w:rPr>
        <w:t>669.62</w:t>
      </w:r>
      <w:r>
        <w:rPr>
          <w:rFonts w:hint="eastAsia" w:ascii="仿宋" w:hAnsi="仿宋" w:eastAsia="仿宋" w:cs="仿宋"/>
          <w:color w:val="auto"/>
          <w:sz w:val="32"/>
          <w:szCs w:val="32"/>
        </w:rPr>
        <w:t>万元，较上年预算安排增</w:t>
      </w:r>
      <w:r>
        <w:rPr>
          <w:rFonts w:hint="eastAsia" w:ascii="仿宋" w:hAnsi="仿宋" w:eastAsia="仿宋" w:cs="仿宋"/>
          <w:color w:val="auto"/>
          <w:sz w:val="32"/>
          <w:szCs w:val="32"/>
          <w:lang w:val="en-US" w:eastAsia="zh-CN"/>
        </w:rPr>
        <w:t>274.14.</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长69%</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增减变化主要原因是：事业收入大幅增加。</w:t>
      </w:r>
    </w:p>
    <w:p>
      <w:pPr>
        <w:bidi w:val="0"/>
        <w:spacing w:line="360" w:lineRule="auto"/>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 xml:space="preserve">具体为：财政拨款收入 </w:t>
      </w:r>
      <w:r>
        <w:rPr>
          <w:rFonts w:hint="eastAsia" w:ascii="仿宋" w:hAnsi="仿宋" w:eastAsia="仿宋" w:cs="仿宋"/>
          <w:sz w:val="32"/>
          <w:szCs w:val="32"/>
          <w:lang w:val="en-US" w:eastAsia="zh-CN"/>
        </w:rPr>
        <w:t>121.98</w:t>
      </w:r>
      <w:r>
        <w:rPr>
          <w:rFonts w:hint="eastAsia" w:ascii="仿宋" w:hAnsi="仿宋" w:eastAsia="仿宋" w:cs="仿宋"/>
          <w:sz w:val="32"/>
          <w:szCs w:val="32"/>
        </w:rPr>
        <w:t>万元，占收入预算总额的1</w:t>
      </w:r>
      <w:r>
        <w:rPr>
          <w:rFonts w:hint="eastAsia" w:ascii="仿宋" w:hAnsi="仿宋" w:eastAsia="仿宋" w:cs="仿宋"/>
          <w:sz w:val="32"/>
          <w:szCs w:val="32"/>
          <w:lang w:val="en-US" w:eastAsia="zh-CN"/>
        </w:rPr>
        <w:t>8.22</w:t>
      </w:r>
      <w:r>
        <w:rPr>
          <w:rFonts w:hint="eastAsia" w:ascii="仿宋" w:hAnsi="仿宋" w:eastAsia="仿宋" w:cs="仿宋"/>
          <w:sz w:val="32"/>
          <w:szCs w:val="32"/>
        </w:rPr>
        <w:t xml:space="preserve">%，较上年预算安排增加 </w:t>
      </w:r>
      <w:r>
        <w:rPr>
          <w:rFonts w:hint="eastAsia" w:ascii="仿宋" w:hAnsi="仿宋" w:eastAsia="仿宋" w:cs="仿宋"/>
          <w:sz w:val="32"/>
          <w:szCs w:val="32"/>
          <w:lang w:val="en-US" w:eastAsia="zh-CN"/>
        </w:rPr>
        <w:t>3.79</w:t>
      </w:r>
      <w:r>
        <w:rPr>
          <w:rFonts w:hint="eastAsia" w:ascii="仿宋" w:hAnsi="仿宋" w:eastAsia="仿宋" w:cs="仿宋"/>
          <w:sz w:val="32"/>
          <w:szCs w:val="32"/>
        </w:rPr>
        <w:t xml:space="preserve"> 万元；事业收入 </w:t>
      </w:r>
      <w:r>
        <w:rPr>
          <w:rFonts w:hint="eastAsia" w:ascii="仿宋" w:hAnsi="仿宋" w:eastAsia="仿宋" w:cs="仿宋"/>
          <w:sz w:val="32"/>
          <w:szCs w:val="32"/>
          <w:lang w:val="en-US" w:eastAsia="zh-CN"/>
        </w:rPr>
        <w:t>547.64</w:t>
      </w:r>
      <w:r>
        <w:rPr>
          <w:rFonts w:hint="eastAsia" w:ascii="仿宋" w:hAnsi="仿宋" w:eastAsia="仿宋" w:cs="仿宋"/>
          <w:sz w:val="32"/>
          <w:szCs w:val="32"/>
        </w:rPr>
        <w:t xml:space="preserve">万元，占收入预算总额的 </w:t>
      </w:r>
      <w:r>
        <w:rPr>
          <w:rFonts w:hint="eastAsia" w:ascii="仿宋" w:hAnsi="仿宋" w:eastAsia="仿宋" w:cs="仿宋"/>
          <w:sz w:val="32"/>
          <w:szCs w:val="32"/>
          <w:lang w:val="en-US" w:eastAsia="zh-CN"/>
        </w:rPr>
        <w:t>81.78</w:t>
      </w:r>
      <w:r>
        <w:rPr>
          <w:rFonts w:hint="eastAsia" w:ascii="仿宋" w:hAnsi="仿宋" w:eastAsia="仿宋" w:cs="仿宋"/>
          <w:sz w:val="32"/>
          <w:szCs w:val="32"/>
        </w:rPr>
        <w:t>%，较上年预算安排</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270.35</w:t>
      </w:r>
      <w:r>
        <w:rPr>
          <w:rFonts w:hint="eastAsia" w:ascii="仿宋" w:hAnsi="仿宋" w:eastAsia="仿宋" w:cs="仿宋"/>
          <w:sz w:val="32"/>
          <w:szCs w:val="32"/>
        </w:rPr>
        <w:t xml:space="preserve"> 万元。</w:t>
      </w:r>
    </w:p>
    <w:p>
      <w:pPr>
        <w:spacing w:line="360" w:lineRule="auto"/>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支出预算</w:t>
      </w:r>
      <w:r>
        <w:rPr>
          <w:rFonts w:hint="eastAsia" w:ascii="仿宋" w:hAnsi="仿宋" w:eastAsia="仿宋" w:cs="仿宋"/>
          <w:color w:val="auto"/>
          <w:sz w:val="32"/>
          <w:szCs w:val="32"/>
          <w:lang w:eastAsia="zh-CN"/>
        </w:rPr>
        <w:t>总额</w:t>
      </w:r>
      <w:r>
        <w:rPr>
          <w:rFonts w:hint="eastAsia" w:ascii="仿宋" w:hAnsi="仿宋" w:eastAsia="仿宋" w:cs="仿宋"/>
          <w:color w:val="auto"/>
          <w:sz w:val="32"/>
          <w:szCs w:val="32"/>
          <w:lang w:val="en-US" w:eastAsia="zh-CN"/>
        </w:rPr>
        <w:t>669.62</w:t>
      </w:r>
      <w:r>
        <w:rPr>
          <w:rFonts w:hint="eastAsia" w:ascii="仿宋" w:hAnsi="仿宋" w:eastAsia="仿宋" w:cs="仿宋"/>
          <w:color w:val="auto"/>
          <w:sz w:val="32"/>
          <w:szCs w:val="32"/>
        </w:rPr>
        <w:t>万元，较上年预算安排增</w:t>
      </w:r>
      <w:r>
        <w:rPr>
          <w:rFonts w:hint="eastAsia" w:ascii="仿宋" w:hAnsi="仿宋" w:eastAsia="仿宋" w:cs="仿宋"/>
          <w:color w:val="auto"/>
          <w:sz w:val="32"/>
          <w:szCs w:val="32"/>
          <w:lang w:val="en-US" w:eastAsia="zh-CN"/>
        </w:rPr>
        <w:t>加274.14</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长69%</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增减变化主要原因是准备增加设备与改善就医环境。</w:t>
      </w:r>
      <w:r>
        <w:rPr>
          <w:rFonts w:hint="eastAsia" w:ascii="仿宋" w:hAnsi="仿宋" w:eastAsia="仿宋" w:cs="仿宋"/>
          <w:color w:val="auto"/>
          <w:sz w:val="32"/>
          <w:szCs w:val="32"/>
        </w:rPr>
        <w:t>具体为：</w:t>
      </w:r>
    </w:p>
    <w:p>
      <w:pPr>
        <w:spacing w:before="7" w:line="240" w:lineRule="auto"/>
        <w:ind w:left="0" w:right="257" w:firstLine="0"/>
        <w:jc w:val="center"/>
        <w:rPr>
          <w:rFonts w:hint="eastAsia" w:ascii="仿宋" w:hAnsi="仿宋" w:eastAsia="仿宋" w:cs="仿宋"/>
          <w:sz w:val="32"/>
          <w:szCs w:val="32"/>
        </w:rPr>
      </w:pPr>
      <w:r>
        <w:rPr>
          <w:rFonts w:hint="eastAsia" w:ascii="仿宋" w:hAnsi="仿宋" w:eastAsia="仿宋" w:cs="仿宋"/>
          <w:spacing w:val="-5"/>
          <w:sz w:val="32"/>
          <w:szCs w:val="32"/>
          <w:lang w:val="en-US" w:eastAsia="zh-CN"/>
        </w:rPr>
        <w:t xml:space="preserve">   </w:t>
      </w:r>
      <w:r>
        <w:rPr>
          <w:rFonts w:hint="eastAsia" w:ascii="仿宋" w:hAnsi="仿宋" w:eastAsia="仿宋" w:cs="仿宋"/>
          <w:spacing w:val="-5"/>
          <w:sz w:val="32"/>
          <w:szCs w:val="32"/>
        </w:rPr>
        <w:t xml:space="preserve">按支出项目类别及经济分类科目划分：基本支出 </w:t>
      </w:r>
      <w:r>
        <w:rPr>
          <w:rFonts w:hint="eastAsia" w:ascii="仿宋" w:hAnsi="仿宋" w:eastAsia="仿宋" w:cs="仿宋"/>
          <w:spacing w:val="-5"/>
          <w:sz w:val="32"/>
          <w:szCs w:val="32"/>
          <w:lang w:val="en-US" w:eastAsia="zh-CN"/>
        </w:rPr>
        <w:t>669.62</w:t>
      </w:r>
      <w:r>
        <w:rPr>
          <w:rFonts w:hint="eastAsia" w:ascii="仿宋" w:hAnsi="仿宋" w:eastAsia="仿宋" w:cs="仿宋"/>
          <w:sz w:val="32"/>
          <w:szCs w:val="32"/>
        </w:rPr>
        <w:t>万</w:t>
      </w:r>
    </w:p>
    <w:p>
      <w:pPr>
        <w:spacing w:before="150" w:line="360" w:lineRule="auto"/>
        <w:ind w:right="303"/>
        <w:jc w:val="both"/>
        <w:rPr>
          <w:sz w:val="32"/>
          <w:szCs w:val="32"/>
        </w:rPr>
      </w:pPr>
      <w:r>
        <w:rPr>
          <w:rFonts w:hint="eastAsia" w:ascii="仿宋" w:hAnsi="仿宋" w:eastAsia="仿宋" w:cs="仿宋"/>
          <w:sz w:val="32"/>
          <w:szCs w:val="32"/>
        </w:rPr>
        <w:t>元，</w:t>
      </w:r>
      <w:r>
        <w:rPr>
          <w:rFonts w:hint="eastAsia" w:ascii="仿宋" w:hAnsi="仿宋" w:eastAsia="仿宋" w:cs="仿宋"/>
          <w:spacing w:val="-9"/>
          <w:sz w:val="32"/>
          <w:szCs w:val="32"/>
        </w:rPr>
        <w:t>较上年预算安排</w:t>
      </w:r>
      <w:r>
        <w:rPr>
          <w:rFonts w:hint="eastAsia" w:ascii="仿宋" w:hAnsi="仿宋" w:eastAsia="仿宋" w:cs="仿宋"/>
          <w:spacing w:val="-9"/>
          <w:sz w:val="32"/>
          <w:szCs w:val="32"/>
          <w:lang w:eastAsia="zh-CN"/>
        </w:rPr>
        <w:t>增加</w:t>
      </w:r>
      <w:r>
        <w:rPr>
          <w:rFonts w:hint="eastAsia" w:ascii="仿宋" w:hAnsi="仿宋" w:eastAsia="仿宋" w:cs="仿宋"/>
          <w:spacing w:val="-9"/>
          <w:sz w:val="32"/>
          <w:szCs w:val="32"/>
          <w:lang w:val="en-US" w:eastAsia="zh-CN"/>
        </w:rPr>
        <w:t>274.14</w:t>
      </w:r>
      <w:r>
        <w:rPr>
          <w:rFonts w:hint="eastAsia" w:ascii="仿宋" w:hAnsi="仿宋" w:eastAsia="仿宋" w:cs="仿宋"/>
          <w:spacing w:val="-21"/>
          <w:sz w:val="32"/>
          <w:szCs w:val="32"/>
        </w:rPr>
        <w:t xml:space="preserve"> 万元。</w:t>
      </w:r>
      <w:r>
        <w:rPr>
          <w:rFonts w:hint="eastAsia" w:ascii="仿宋" w:hAnsi="仿宋" w:eastAsia="仿宋" w:cs="仿宋"/>
          <w:sz w:val="32"/>
          <w:szCs w:val="32"/>
        </w:rPr>
        <w:t>其中：工资福利支出</w:t>
      </w:r>
      <w:r>
        <w:rPr>
          <w:rFonts w:hint="eastAsia" w:ascii="仿宋" w:hAnsi="仿宋" w:eastAsia="仿宋" w:cs="仿宋"/>
          <w:spacing w:val="-3"/>
          <w:sz w:val="32"/>
          <w:szCs w:val="32"/>
          <w:lang w:val="en-US" w:eastAsia="zh-CN"/>
        </w:rPr>
        <w:t>183.49</w:t>
      </w:r>
      <w:r>
        <w:rPr>
          <w:rFonts w:hint="eastAsia" w:ascii="仿宋" w:hAnsi="仿宋" w:eastAsia="仿宋" w:cs="仿宋"/>
          <w:spacing w:val="-3"/>
          <w:sz w:val="32"/>
          <w:szCs w:val="32"/>
        </w:rPr>
        <w:t xml:space="preserve">万元，占支出预算总额的 </w:t>
      </w:r>
      <w:r>
        <w:rPr>
          <w:rFonts w:hint="eastAsia" w:ascii="仿宋" w:hAnsi="仿宋" w:eastAsia="仿宋" w:cs="仿宋"/>
          <w:sz w:val="32"/>
          <w:szCs w:val="32"/>
          <w:lang w:val="en-US" w:eastAsia="zh-CN"/>
        </w:rPr>
        <w:t>27.40</w:t>
      </w:r>
      <w:r>
        <w:rPr>
          <w:rFonts w:hint="eastAsia" w:ascii="仿宋" w:hAnsi="仿宋" w:eastAsia="仿宋" w:cs="仿宋"/>
          <w:sz w:val="32"/>
          <w:szCs w:val="32"/>
        </w:rPr>
        <w:t>%，</w:t>
      </w:r>
      <w:r>
        <w:rPr>
          <w:rFonts w:hint="eastAsia" w:ascii="仿宋" w:hAnsi="仿宋" w:eastAsia="仿宋" w:cs="仿宋"/>
          <w:spacing w:val="6"/>
          <w:sz w:val="32"/>
          <w:szCs w:val="32"/>
        </w:rPr>
        <w:t>较上年预算安排</w:t>
      </w:r>
      <w:r>
        <w:rPr>
          <w:rFonts w:hint="eastAsia" w:ascii="仿宋" w:hAnsi="仿宋" w:eastAsia="仿宋" w:cs="仿宋"/>
          <w:spacing w:val="6"/>
          <w:sz w:val="32"/>
          <w:szCs w:val="32"/>
          <w:lang w:eastAsia="zh-CN"/>
        </w:rPr>
        <w:t>减少</w:t>
      </w:r>
      <w:r>
        <w:rPr>
          <w:rFonts w:hint="eastAsia" w:ascii="仿宋" w:hAnsi="仿宋" w:eastAsia="仿宋" w:cs="仿宋"/>
          <w:spacing w:val="-37"/>
          <w:sz w:val="32"/>
          <w:szCs w:val="32"/>
          <w:lang w:val="en-US" w:eastAsia="zh-CN"/>
        </w:rPr>
        <w:t>27.77</w:t>
      </w:r>
      <w:r>
        <w:rPr>
          <w:rFonts w:hint="eastAsia" w:ascii="仿宋" w:hAnsi="仿宋" w:eastAsia="仿宋" w:cs="仿宋"/>
          <w:spacing w:val="-41"/>
          <w:sz w:val="32"/>
          <w:szCs w:val="32"/>
        </w:rPr>
        <w:t>万元；</w:t>
      </w:r>
      <w:r>
        <w:rPr>
          <w:rFonts w:hint="eastAsia" w:ascii="仿宋" w:hAnsi="仿宋" w:eastAsia="仿宋" w:cs="仿宋"/>
          <w:spacing w:val="-10"/>
          <w:sz w:val="32"/>
          <w:szCs w:val="32"/>
        </w:rPr>
        <w:t xml:space="preserve">商品和服务支出 </w:t>
      </w:r>
      <w:r>
        <w:rPr>
          <w:rFonts w:hint="eastAsia" w:ascii="仿宋" w:hAnsi="仿宋" w:eastAsia="仿宋" w:cs="仿宋"/>
          <w:sz w:val="32"/>
          <w:szCs w:val="32"/>
          <w:lang w:val="en-US" w:eastAsia="zh-CN"/>
        </w:rPr>
        <w:t>458.73</w:t>
      </w:r>
      <w:r>
        <w:rPr>
          <w:rFonts w:hint="eastAsia" w:ascii="仿宋" w:hAnsi="仿宋" w:eastAsia="仿宋" w:cs="仿宋"/>
          <w:spacing w:val="-81"/>
          <w:sz w:val="32"/>
          <w:szCs w:val="32"/>
        </w:rPr>
        <w:t xml:space="preserve"> </w:t>
      </w:r>
      <w:r>
        <w:rPr>
          <w:rFonts w:hint="eastAsia" w:ascii="仿宋" w:hAnsi="仿宋" w:eastAsia="仿宋" w:cs="仿宋"/>
          <w:spacing w:val="-11"/>
          <w:sz w:val="32"/>
          <w:szCs w:val="32"/>
        </w:rPr>
        <w:t>万元，占支出预算总额</w:t>
      </w:r>
      <w:r>
        <w:rPr>
          <w:rFonts w:hint="eastAsia" w:ascii="仿宋" w:hAnsi="仿宋" w:eastAsia="仿宋" w:cs="仿宋"/>
          <w:spacing w:val="-41"/>
          <w:sz w:val="32"/>
          <w:szCs w:val="32"/>
        </w:rPr>
        <w:t xml:space="preserve">的 </w:t>
      </w:r>
      <w:r>
        <w:rPr>
          <w:rFonts w:hint="eastAsia" w:ascii="仿宋" w:hAnsi="仿宋" w:eastAsia="仿宋" w:cs="仿宋"/>
          <w:sz w:val="32"/>
          <w:szCs w:val="32"/>
          <w:lang w:val="en-US" w:eastAsia="zh-CN"/>
        </w:rPr>
        <w:t>68.50</w:t>
      </w:r>
      <w:r>
        <w:rPr>
          <w:rFonts w:hint="eastAsia" w:ascii="仿宋" w:hAnsi="仿宋" w:eastAsia="仿宋" w:cs="仿宋"/>
          <w:sz w:val="32"/>
          <w:szCs w:val="32"/>
        </w:rPr>
        <w:t>%，</w:t>
      </w:r>
      <w:r>
        <w:rPr>
          <w:rFonts w:hint="eastAsia" w:ascii="仿宋" w:hAnsi="仿宋" w:eastAsia="仿宋" w:cs="仿宋"/>
          <w:spacing w:val="-9"/>
          <w:sz w:val="32"/>
          <w:szCs w:val="32"/>
        </w:rPr>
        <w:t>较上年预算安排</w:t>
      </w:r>
      <w:r>
        <w:rPr>
          <w:rFonts w:hint="eastAsia" w:ascii="仿宋" w:hAnsi="仿宋" w:eastAsia="仿宋" w:cs="仿宋"/>
          <w:spacing w:val="-9"/>
          <w:sz w:val="32"/>
          <w:szCs w:val="32"/>
          <w:lang w:eastAsia="zh-CN"/>
        </w:rPr>
        <w:t>增加</w:t>
      </w:r>
      <w:r>
        <w:rPr>
          <w:rFonts w:hint="eastAsia" w:ascii="仿宋" w:hAnsi="仿宋" w:eastAsia="仿宋" w:cs="仿宋"/>
          <w:spacing w:val="-9"/>
          <w:sz w:val="32"/>
          <w:szCs w:val="32"/>
        </w:rPr>
        <w:t xml:space="preserve"> </w:t>
      </w:r>
      <w:r>
        <w:rPr>
          <w:rFonts w:hint="eastAsia" w:ascii="仿宋" w:hAnsi="仿宋" w:eastAsia="仿宋" w:cs="仿宋"/>
          <w:sz w:val="32"/>
          <w:szCs w:val="32"/>
          <w:lang w:val="en-US" w:eastAsia="zh-CN"/>
        </w:rPr>
        <w:t>385.18</w:t>
      </w:r>
      <w:r>
        <w:rPr>
          <w:rFonts w:hint="eastAsia" w:ascii="仿宋" w:hAnsi="仿宋" w:eastAsia="仿宋" w:cs="仿宋"/>
          <w:spacing w:val="-29"/>
          <w:sz w:val="32"/>
          <w:szCs w:val="32"/>
        </w:rPr>
        <w:t xml:space="preserve"> 万元</w:t>
      </w:r>
      <w:r>
        <w:rPr>
          <w:rFonts w:hint="eastAsia" w:ascii="仿宋" w:hAnsi="仿宋" w:eastAsia="仿宋" w:cs="仿宋"/>
          <w:spacing w:val="-2"/>
          <w:sz w:val="32"/>
          <w:szCs w:val="32"/>
        </w:rPr>
        <w:t>；对个人和家庭</w:t>
      </w:r>
      <w:r>
        <w:rPr>
          <w:rFonts w:hint="eastAsia" w:ascii="仿宋" w:hAnsi="仿宋" w:eastAsia="仿宋" w:cs="仿宋"/>
          <w:spacing w:val="-3"/>
          <w:sz w:val="32"/>
          <w:szCs w:val="32"/>
        </w:rPr>
        <w:t xml:space="preserve">的补助 </w:t>
      </w:r>
      <w:r>
        <w:rPr>
          <w:rFonts w:hint="eastAsia" w:ascii="仿宋" w:hAnsi="仿宋" w:eastAsia="仿宋" w:cs="仿宋"/>
          <w:sz w:val="32"/>
          <w:szCs w:val="32"/>
          <w:lang w:val="en-US" w:eastAsia="zh-CN"/>
        </w:rPr>
        <w:t>2.4</w:t>
      </w:r>
      <w:r>
        <w:rPr>
          <w:rFonts w:hint="eastAsia" w:ascii="仿宋" w:hAnsi="仿宋" w:eastAsia="仿宋" w:cs="仿宋"/>
          <w:spacing w:val="-17"/>
          <w:sz w:val="32"/>
          <w:szCs w:val="32"/>
        </w:rPr>
        <w:t>万元，占支出预算总额的</w:t>
      </w:r>
      <w:r>
        <w:rPr>
          <w:rFonts w:hint="eastAsia" w:ascii="仿宋" w:hAnsi="仿宋" w:eastAsia="仿宋" w:cs="仿宋"/>
          <w:spacing w:val="-17"/>
          <w:sz w:val="32"/>
          <w:szCs w:val="32"/>
          <w:lang w:val="en-US" w:eastAsia="zh-CN"/>
        </w:rPr>
        <w:t>0.36</w:t>
      </w:r>
      <w:r>
        <w:rPr>
          <w:rFonts w:hint="eastAsia" w:ascii="仿宋" w:hAnsi="仿宋" w:eastAsia="仿宋" w:cs="仿宋"/>
          <w:spacing w:val="-11"/>
          <w:sz w:val="32"/>
          <w:szCs w:val="32"/>
        </w:rPr>
        <w:t>%，</w:t>
      </w:r>
      <w:r>
        <w:rPr>
          <w:rFonts w:hint="eastAsia" w:ascii="仿宋" w:hAnsi="仿宋" w:eastAsia="仿宋" w:cs="仿宋"/>
          <w:spacing w:val="-8"/>
          <w:sz w:val="32"/>
          <w:szCs w:val="32"/>
        </w:rPr>
        <w:t>较上年预算安排</w:t>
      </w:r>
      <w:r>
        <w:rPr>
          <w:rFonts w:hint="eastAsia" w:ascii="仿宋" w:hAnsi="仿宋" w:eastAsia="仿宋" w:cs="仿宋"/>
          <w:spacing w:val="-8"/>
          <w:sz w:val="32"/>
          <w:szCs w:val="32"/>
          <w:lang w:eastAsia="zh-CN"/>
        </w:rPr>
        <w:t>增加</w:t>
      </w:r>
      <w:r>
        <w:rPr>
          <w:rFonts w:hint="eastAsia" w:ascii="仿宋" w:hAnsi="仿宋" w:eastAsia="仿宋" w:cs="仿宋"/>
          <w:spacing w:val="-8"/>
          <w:sz w:val="32"/>
          <w:szCs w:val="32"/>
          <w:lang w:val="en-US" w:eastAsia="zh-CN"/>
        </w:rPr>
        <w:t>0.79</w:t>
      </w:r>
      <w:r>
        <w:rPr>
          <w:rFonts w:hint="eastAsia" w:ascii="仿宋" w:hAnsi="仿宋" w:eastAsia="仿宋" w:cs="仿宋"/>
          <w:spacing w:val="7"/>
          <w:sz w:val="32"/>
          <w:szCs w:val="32"/>
        </w:rPr>
        <w:t>万元</w:t>
      </w:r>
      <w:r>
        <w:rPr>
          <w:rFonts w:hint="eastAsia" w:ascii="仿宋" w:hAnsi="仿宋" w:eastAsia="仿宋" w:cs="仿宋"/>
          <w:spacing w:val="-6"/>
          <w:sz w:val="32"/>
          <w:szCs w:val="32"/>
        </w:rPr>
        <w:t xml:space="preserve">；资本性支出 </w:t>
      </w:r>
      <w:r>
        <w:rPr>
          <w:rFonts w:hint="eastAsia" w:ascii="仿宋" w:hAnsi="仿宋" w:eastAsia="仿宋" w:cs="仿宋"/>
          <w:sz w:val="32"/>
          <w:szCs w:val="32"/>
          <w:lang w:val="en-US" w:eastAsia="zh-CN"/>
        </w:rPr>
        <w:t>25</w:t>
      </w:r>
      <w:r>
        <w:rPr>
          <w:rFonts w:hint="eastAsia" w:ascii="仿宋" w:hAnsi="仿宋" w:eastAsia="仿宋" w:cs="仿宋"/>
          <w:spacing w:val="-71"/>
          <w:sz w:val="32"/>
          <w:szCs w:val="32"/>
        </w:rPr>
        <w:t xml:space="preserve"> </w:t>
      </w:r>
      <w:r>
        <w:rPr>
          <w:rFonts w:hint="eastAsia" w:ascii="仿宋" w:hAnsi="仿宋" w:eastAsia="仿宋" w:cs="仿宋"/>
          <w:spacing w:val="-1"/>
          <w:sz w:val="32"/>
          <w:szCs w:val="32"/>
        </w:rPr>
        <w:t xml:space="preserve">万元，占支出预算总额的 </w:t>
      </w:r>
      <w:r>
        <w:rPr>
          <w:rFonts w:hint="eastAsia" w:ascii="仿宋" w:hAnsi="仿宋" w:eastAsia="仿宋" w:cs="仿宋"/>
          <w:sz w:val="32"/>
          <w:szCs w:val="32"/>
          <w:lang w:val="en-US" w:eastAsia="zh-CN"/>
        </w:rPr>
        <w:t>3.74</w:t>
      </w:r>
      <w:r>
        <w:rPr>
          <w:rFonts w:hint="eastAsia" w:ascii="仿宋" w:hAnsi="仿宋" w:eastAsia="仿宋" w:cs="仿宋"/>
          <w:sz w:val="32"/>
          <w:szCs w:val="32"/>
        </w:rPr>
        <w:t>%，较</w:t>
      </w:r>
      <w:r>
        <w:rPr>
          <w:rFonts w:hint="eastAsia" w:ascii="仿宋" w:hAnsi="仿宋" w:eastAsia="仿宋" w:cs="仿宋"/>
          <w:spacing w:val="-10"/>
          <w:sz w:val="32"/>
          <w:szCs w:val="32"/>
        </w:rPr>
        <w:t>上年预算安排</w:t>
      </w:r>
      <w:r>
        <w:rPr>
          <w:rFonts w:hint="eastAsia" w:ascii="仿宋" w:hAnsi="仿宋" w:eastAsia="仿宋" w:cs="仿宋"/>
          <w:spacing w:val="-10"/>
          <w:sz w:val="32"/>
          <w:szCs w:val="32"/>
          <w:lang w:eastAsia="zh-CN"/>
        </w:rPr>
        <w:t>减少</w:t>
      </w:r>
      <w:r>
        <w:rPr>
          <w:rFonts w:hint="eastAsia" w:ascii="仿宋" w:hAnsi="仿宋" w:eastAsia="仿宋" w:cs="仿宋"/>
          <w:spacing w:val="-10"/>
          <w:sz w:val="32"/>
          <w:szCs w:val="32"/>
          <w:lang w:val="en-US" w:eastAsia="zh-CN"/>
        </w:rPr>
        <w:t>84.06</w:t>
      </w:r>
      <w:r>
        <w:rPr>
          <w:rFonts w:hint="eastAsia" w:ascii="仿宋" w:hAnsi="仿宋" w:eastAsia="仿宋" w:cs="仿宋"/>
          <w:spacing w:val="-28"/>
          <w:sz w:val="32"/>
          <w:szCs w:val="32"/>
        </w:rPr>
        <w:t xml:space="preserve"> 万元</w:t>
      </w:r>
      <w:r>
        <w:rPr>
          <w:rFonts w:hint="eastAsia" w:ascii="仿宋" w:hAnsi="仿宋" w:eastAsia="仿宋" w:cs="仿宋"/>
          <w:spacing w:val="-15"/>
          <w:sz w:val="32"/>
          <w:szCs w:val="32"/>
        </w:rPr>
        <w:t xml:space="preserve">；项目支出 </w:t>
      </w:r>
      <w:r>
        <w:rPr>
          <w:rFonts w:hint="eastAsia" w:ascii="仿宋" w:hAnsi="仿宋" w:eastAsia="仿宋" w:cs="仿宋"/>
          <w:sz w:val="32"/>
          <w:szCs w:val="32"/>
        </w:rPr>
        <w:t>0</w:t>
      </w:r>
      <w:r>
        <w:rPr>
          <w:rFonts w:hint="eastAsia" w:ascii="仿宋" w:hAnsi="仿宋" w:eastAsia="仿宋" w:cs="仿宋"/>
          <w:spacing w:val="-82"/>
          <w:sz w:val="32"/>
          <w:szCs w:val="32"/>
        </w:rPr>
        <w:t xml:space="preserve"> </w:t>
      </w:r>
      <w:r>
        <w:rPr>
          <w:rFonts w:hint="eastAsia" w:ascii="仿宋" w:hAnsi="仿宋" w:eastAsia="仿宋" w:cs="仿宋"/>
          <w:spacing w:val="-1"/>
          <w:sz w:val="32"/>
          <w:szCs w:val="32"/>
        </w:rPr>
        <w:t>万元，</w:t>
      </w:r>
      <w:r>
        <w:rPr>
          <w:rFonts w:hint="eastAsia" w:ascii="仿宋" w:hAnsi="仿宋" w:eastAsia="仿宋" w:cs="仿宋"/>
          <w:sz w:val="32"/>
          <w:szCs w:val="32"/>
        </w:rPr>
        <w:t>较上年预算安</w:t>
      </w:r>
      <w:r>
        <w:rPr>
          <w:rFonts w:hint="eastAsia" w:ascii="仿宋" w:hAnsi="仿宋" w:eastAsia="仿宋" w:cs="仿宋"/>
          <w:spacing w:val="-21"/>
          <w:sz w:val="32"/>
          <w:szCs w:val="32"/>
        </w:rPr>
        <w:t xml:space="preserve">排增加 </w:t>
      </w:r>
      <w:r>
        <w:rPr>
          <w:rFonts w:hint="eastAsia" w:ascii="仿宋" w:hAnsi="仿宋" w:eastAsia="仿宋" w:cs="仿宋"/>
          <w:sz w:val="32"/>
          <w:szCs w:val="32"/>
        </w:rPr>
        <w:t>0</w:t>
      </w:r>
      <w:r>
        <w:rPr>
          <w:rFonts w:hint="eastAsia" w:ascii="仿宋" w:hAnsi="仿宋" w:eastAsia="仿宋" w:cs="仿宋"/>
          <w:spacing w:val="-27"/>
          <w:sz w:val="32"/>
          <w:szCs w:val="32"/>
        </w:rPr>
        <w:t xml:space="preserve"> 万元</w:t>
      </w:r>
      <w:r>
        <w:rPr>
          <w:rFonts w:hint="eastAsia" w:ascii="仿宋" w:hAnsi="仿宋" w:eastAsia="仿宋" w:cs="仿宋"/>
          <w:sz w:val="32"/>
          <w:szCs w:val="32"/>
        </w:rPr>
        <w:t>。</w:t>
      </w:r>
    </w:p>
    <w:p>
      <w:pPr>
        <w:spacing w:line="360" w:lineRule="auto"/>
        <w:ind w:firstLine="640" w:firstLineChars="200"/>
        <w:rPr>
          <w:rFonts w:hint="eastAsia" w:ascii="仿宋" w:hAnsi="仿宋" w:eastAsia="仿宋" w:cs="仿宋"/>
          <w:color w:val="auto"/>
          <w:sz w:val="32"/>
          <w:szCs w:val="32"/>
          <w:lang w:eastAsia="zh-CN"/>
        </w:rPr>
      </w:pPr>
      <w:r>
        <w:rPr>
          <w:rFonts w:hint="eastAsia" w:ascii="仿宋" w:hAnsi="仿宋" w:eastAsia="仿宋" w:cs="仿宋"/>
          <w:sz w:val="32"/>
          <w:szCs w:val="32"/>
        </w:rPr>
        <w:t>按支出功能分类科目划分：</w:t>
      </w:r>
      <w:r>
        <w:rPr>
          <w:rFonts w:hint="eastAsia" w:ascii="仿宋" w:hAnsi="仿宋" w:eastAsia="仿宋" w:cs="仿宋"/>
          <w:spacing w:val="-11"/>
          <w:sz w:val="32"/>
          <w:szCs w:val="32"/>
        </w:rPr>
        <w:t xml:space="preserve">社会保障和就业 </w:t>
      </w:r>
      <w:r>
        <w:rPr>
          <w:rFonts w:hint="eastAsia" w:ascii="仿宋" w:hAnsi="仿宋" w:eastAsia="仿宋" w:cs="仿宋"/>
          <w:spacing w:val="-11"/>
          <w:sz w:val="32"/>
          <w:szCs w:val="32"/>
          <w:lang w:val="en-US" w:eastAsia="zh-CN"/>
        </w:rPr>
        <w:t>15.46</w:t>
      </w:r>
      <w:r>
        <w:rPr>
          <w:rFonts w:hint="eastAsia" w:ascii="仿宋" w:hAnsi="仿宋" w:eastAsia="仿宋" w:cs="仿宋"/>
          <w:spacing w:val="-28"/>
          <w:sz w:val="32"/>
          <w:szCs w:val="32"/>
        </w:rPr>
        <w:t xml:space="preserve"> 万元</w:t>
      </w:r>
      <w:r>
        <w:rPr>
          <w:rFonts w:hint="eastAsia" w:ascii="仿宋" w:hAnsi="仿宋" w:eastAsia="仿宋" w:cs="仿宋"/>
          <w:spacing w:val="-14"/>
          <w:sz w:val="32"/>
          <w:szCs w:val="32"/>
        </w:rPr>
        <w:t xml:space="preserve">， </w:t>
      </w:r>
      <w:r>
        <w:rPr>
          <w:rFonts w:hint="eastAsia" w:ascii="仿宋" w:hAnsi="仿宋" w:eastAsia="仿宋" w:cs="仿宋"/>
          <w:spacing w:val="-9"/>
          <w:sz w:val="32"/>
          <w:szCs w:val="32"/>
        </w:rPr>
        <w:t xml:space="preserve">占支出预算总额的 </w:t>
      </w:r>
      <w:r>
        <w:rPr>
          <w:rFonts w:hint="eastAsia" w:ascii="仿宋" w:hAnsi="仿宋" w:eastAsia="仿宋" w:cs="仿宋"/>
          <w:sz w:val="32"/>
          <w:szCs w:val="32"/>
          <w:lang w:val="en-US" w:eastAsia="zh-CN"/>
        </w:rPr>
        <w:t>2.21</w:t>
      </w:r>
      <w:r>
        <w:rPr>
          <w:rFonts w:hint="eastAsia" w:ascii="仿宋" w:hAnsi="仿宋" w:eastAsia="仿宋" w:cs="仿宋"/>
          <w:sz w:val="32"/>
          <w:szCs w:val="32"/>
        </w:rPr>
        <w:t>%</w:t>
      </w:r>
      <w:r>
        <w:rPr>
          <w:rFonts w:hint="eastAsia" w:ascii="仿宋" w:hAnsi="仿宋" w:eastAsia="仿宋" w:cs="仿宋"/>
          <w:spacing w:val="-8"/>
          <w:sz w:val="32"/>
          <w:szCs w:val="32"/>
        </w:rPr>
        <w:t>，较上年预算安排</w:t>
      </w:r>
      <w:r>
        <w:rPr>
          <w:rFonts w:hint="eastAsia" w:ascii="仿宋" w:hAnsi="仿宋" w:eastAsia="仿宋" w:cs="仿宋"/>
          <w:spacing w:val="-8"/>
          <w:sz w:val="32"/>
          <w:szCs w:val="32"/>
          <w:lang w:eastAsia="zh-CN"/>
        </w:rPr>
        <w:t>减少</w:t>
      </w:r>
      <w:r>
        <w:rPr>
          <w:rFonts w:hint="eastAsia" w:ascii="仿宋" w:hAnsi="仿宋" w:eastAsia="仿宋" w:cs="仿宋"/>
          <w:spacing w:val="-8"/>
          <w:sz w:val="32"/>
          <w:szCs w:val="32"/>
          <w:lang w:val="en-US" w:eastAsia="zh-CN"/>
        </w:rPr>
        <w:t>9.87</w:t>
      </w:r>
      <w:r>
        <w:rPr>
          <w:rFonts w:hint="eastAsia" w:ascii="仿宋" w:hAnsi="仿宋" w:eastAsia="仿宋" w:cs="仿宋"/>
          <w:spacing w:val="-28"/>
          <w:sz w:val="32"/>
          <w:szCs w:val="32"/>
        </w:rPr>
        <w:t xml:space="preserve"> 万元</w:t>
      </w:r>
      <w:r>
        <w:rPr>
          <w:rFonts w:hint="eastAsia" w:ascii="仿宋" w:hAnsi="仿宋" w:eastAsia="仿宋" w:cs="仿宋"/>
          <w:sz w:val="32"/>
          <w:szCs w:val="32"/>
        </w:rPr>
        <w:t>；卫生</w:t>
      </w:r>
      <w:r>
        <w:rPr>
          <w:rFonts w:hint="eastAsia" w:ascii="仿宋" w:hAnsi="仿宋" w:eastAsia="仿宋" w:cs="仿宋"/>
          <w:sz w:val="32"/>
          <w:szCs w:val="32"/>
          <w:lang w:eastAsia="zh-CN"/>
        </w:rPr>
        <w:t>健康</w:t>
      </w:r>
      <w:r>
        <w:rPr>
          <w:rFonts w:hint="eastAsia" w:ascii="仿宋" w:hAnsi="仿宋" w:eastAsia="仿宋" w:cs="仿宋"/>
          <w:sz w:val="32"/>
          <w:szCs w:val="32"/>
        </w:rPr>
        <w:t>支出</w:t>
      </w:r>
      <w:r>
        <w:rPr>
          <w:rFonts w:hint="eastAsia" w:ascii="仿宋" w:hAnsi="仿宋" w:eastAsia="仿宋" w:cs="仿宋"/>
          <w:sz w:val="32"/>
          <w:szCs w:val="32"/>
          <w:lang w:val="en-US" w:eastAsia="zh-CN"/>
        </w:rPr>
        <w:t>633.95</w:t>
      </w:r>
      <w:r>
        <w:rPr>
          <w:rFonts w:hint="eastAsia" w:ascii="仿宋" w:hAnsi="仿宋" w:eastAsia="仿宋" w:cs="仿宋"/>
          <w:sz w:val="32"/>
          <w:szCs w:val="32"/>
        </w:rPr>
        <w:t>万元，占支出预算总额的</w:t>
      </w:r>
      <w:r>
        <w:rPr>
          <w:rFonts w:hint="eastAsia" w:ascii="仿宋" w:hAnsi="仿宋" w:eastAsia="仿宋" w:cs="仿宋"/>
          <w:sz w:val="32"/>
          <w:szCs w:val="32"/>
          <w:lang w:val="en-US" w:eastAsia="zh-CN"/>
        </w:rPr>
        <w:t>94.67</w:t>
      </w:r>
      <w:r>
        <w:rPr>
          <w:rFonts w:hint="eastAsia" w:ascii="仿宋" w:hAnsi="仿宋" w:eastAsia="仿宋" w:cs="仿宋"/>
          <w:sz w:val="32"/>
          <w:szCs w:val="32"/>
        </w:rPr>
        <w:t>%</w:t>
      </w:r>
      <w:r>
        <w:rPr>
          <w:rFonts w:hint="eastAsia" w:ascii="仿宋" w:hAnsi="仿宋" w:eastAsia="仿宋" w:cs="仿宋"/>
          <w:sz w:val="32"/>
          <w:szCs w:val="32"/>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274.39</w:t>
      </w:r>
      <w:r>
        <w:rPr>
          <w:rFonts w:hint="eastAsia" w:ascii="仿宋" w:hAnsi="仿宋" w:eastAsia="仿宋" w:cs="仿宋"/>
          <w:color w:val="auto"/>
          <w:sz w:val="32"/>
          <w:szCs w:val="32"/>
          <w:lang w:eastAsia="zh-CN"/>
        </w:rPr>
        <w:t>万元</w:t>
      </w:r>
      <w:r>
        <w:rPr>
          <w:rFonts w:hint="eastAsia" w:ascii="仿宋" w:hAnsi="仿宋" w:eastAsia="仿宋" w:cs="仿宋"/>
          <w:sz w:val="32"/>
          <w:szCs w:val="32"/>
        </w:rPr>
        <w:t>；住房保障支出</w:t>
      </w:r>
      <w:r>
        <w:rPr>
          <w:rFonts w:hint="eastAsia" w:ascii="仿宋" w:hAnsi="仿宋" w:eastAsia="仿宋" w:cs="仿宋"/>
          <w:sz w:val="32"/>
          <w:szCs w:val="32"/>
          <w:lang w:val="en-US" w:eastAsia="zh-CN"/>
        </w:rPr>
        <w:t>20.22</w:t>
      </w:r>
      <w:r>
        <w:rPr>
          <w:rFonts w:hint="eastAsia" w:ascii="仿宋" w:hAnsi="仿宋" w:eastAsia="仿宋" w:cs="仿宋"/>
          <w:sz w:val="32"/>
          <w:szCs w:val="32"/>
        </w:rPr>
        <w:t>万元，占支出预算总额的</w:t>
      </w:r>
      <w:r>
        <w:rPr>
          <w:rFonts w:hint="eastAsia" w:ascii="仿宋" w:hAnsi="仿宋" w:eastAsia="仿宋" w:cs="仿宋"/>
          <w:sz w:val="32"/>
          <w:szCs w:val="32"/>
          <w:lang w:val="en-US" w:eastAsia="zh-CN"/>
        </w:rPr>
        <w:t>3</w:t>
      </w:r>
      <w:r>
        <w:rPr>
          <w:rFonts w:hint="eastAsia" w:ascii="仿宋" w:hAnsi="仿宋" w:eastAsia="仿宋" w:cs="仿宋"/>
          <w:sz w:val="32"/>
          <w:szCs w:val="32"/>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9.63</w:t>
      </w:r>
      <w:r>
        <w:rPr>
          <w:rFonts w:hint="eastAsia" w:ascii="仿宋" w:hAnsi="仿宋" w:eastAsia="仿宋" w:cs="仿宋"/>
          <w:color w:val="auto"/>
          <w:sz w:val="32"/>
          <w:szCs w:val="32"/>
          <w:lang w:eastAsia="zh-CN"/>
        </w:rPr>
        <w:t>万元。</w:t>
      </w:r>
    </w:p>
    <w:p>
      <w:pPr>
        <w:spacing w:line="360" w:lineRule="auto"/>
        <w:rPr>
          <w:rFonts w:ascii="仿宋" w:hAnsi="仿宋" w:eastAsia="仿宋" w:cs="仿宋"/>
          <w:b/>
          <w:bCs/>
          <w:color w:val="auto"/>
          <w:sz w:val="32"/>
          <w:szCs w:val="32"/>
        </w:rPr>
      </w:pPr>
      <w:r>
        <w:rPr>
          <w:rFonts w:hint="eastAsia" w:ascii="仿宋" w:hAnsi="仿宋" w:eastAsia="仿宋" w:cs="仿宋"/>
          <w:b/>
          <w:bCs/>
          <w:color w:val="auto"/>
          <w:sz w:val="32"/>
          <w:szCs w:val="32"/>
        </w:rPr>
        <w:t>（三）财政拨款支出情况</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2022年本单位财政拨款（补助）支出预算121.98万元，占本年支出预算额的18.22%，，较上年预算安排增3.79万元，增3.21%。增减变化主要原因是：人员工资福利增加。</w:t>
      </w:r>
    </w:p>
    <w:p>
      <w:pPr>
        <w:spacing w:line="560" w:lineRule="exac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具体为：</w:t>
      </w:r>
    </w:p>
    <w:p>
      <w:pPr>
        <w:spacing w:before="149" w:line="326" w:lineRule="auto"/>
        <w:ind w:left="120" w:right="258" w:firstLine="640" w:firstLineChars="200"/>
        <w:jc w:val="left"/>
        <w:rPr>
          <w:rFonts w:hint="eastAsia" w:ascii="仿宋" w:hAnsi="仿宋" w:eastAsia="仿宋" w:cs="仿宋"/>
          <w:sz w:val="32"/>
          <w:szCs w:val="32"/>
        </w:rPr>
      </w:pPr>
      <w:r>
        <w:rPr>
          <w:rFonts w:hint="eastAsia" w:ascii="仿宋" w:hAnsi="仿宋" w:eastAsia="仿宋" w:cs="仿宋"/>
          <w:color w:val="auto"/>
          <w:sz w:val="32"/>
          <w:szCs w:val="32"/>
          <w:lang w:val="en-US" w:eastAsia="zh-CN"/>
        </w:rPr>
        <w:t>按支出经济分类科目划分：基本支出121.98万元，较上年预算安排增3.79万元，</w:t>
      </w:r>
      <w:r>
        <w:rPr>
          <w:rFonts w:hint="eastAsia" w:ascii="仿宋" w:hAnsi="仿宋" w:eastAsia="仿宋" w:cs="仿宋"/>
          <w:spacing w:val="-23"/>
          <w:sz w:val="32"/>
          <w:szCs w:val="32"/>
        </w:rPr>
        <w:t xml:space="preserve">其中：工资福利支出 </w:t>
      </w:r>
      <w:r>
        <w:rPr>
          <w:rFonts w:hint="eastAsia" w:ascii="仿宋" w:hAnsi="仿宋" w:eastAsia="仿宋" w:cs="仿宋"/>
          <w:sz w:val="32"/>
          <w:szCs w:val="32"/>
          <w:lang w:val="en-US" w:eastAsia="zh-CN"/>
        </w:rPr>
        <w:t>121.98</w:t>
      </w:r>
      <w:r>
        <w:rPr>
          <w:rFonts w:hint="eastAsia" w:ascii="仿宋" w:hAnsi="仿宋" w:eastAsia="仿宋" w:cs="仿宋"/>
          <w:sz w:val="32"/>
          <w:szCs w:val="32"/>
        </w:rPr>
        <w:t xml:space="preserve"> </w:t>
      </w:r>
      <w:r>
        <w:rPr>
          <w:rFonts w:hint="eastAsia" w:ascii="仿宋" w:hAnsi="仿宋" w:eastAsia="仿宋" w:cs="仿宋"/>
          <w:spacing w:val="21"/>
          <w:sz w:val="32"/>
          <w:szCs w:val="32"/>
        </w:rPr>
        <w:t>万元，</w:t>
      </w:r>
      <w:r>
        <w:rPr>
          <w:rFonts w:hint="eastAsia" w:ascii="仿宋" w:hAnsi="仿宋" w:eastAsia="仿宋" w:cs="仿宋"/>
          <w:spacing w:val="10"/>
          <w:sz w:val="32"/>
          <w:szCs w:val="32"/>
        </w:rPr>
        <w:t xml:space="preserve">占财政拨款预算总额的 </w:t>
      </w:r>
      <w:r>
        <w:rPr>
          <w:rFonts w:hint="eastAsia" w:ascii="仿宋" w:hAnsi="仿宋" w:eastAsia="仿宋" w:cs="仿宋"/>
          <w:spacing w:val="8"/>
          <w:sz w:val="32"/>
          <w:szCs w:val="32"/>
        </w:rPr>
        <w:t>100%，</w:t>
      </w:r>
      <w:r>
        <w:rPr>
          <w:rFonts w:hint="eastAsia" w:ascii="仿宋" w:hAnsi="仿宋" w:eastAsia="仿宋" w:cs="仿宋"/>
          <w:spacing w:val="17"/>
          <w:sz w:val="32"/>
          <w:szCs w:val="32"/>
        </w:rPr>
        <w:t>较上年预算安排</w:t>
      </w:r>
      <w:r>
        <w:rPr>
          <w:rFonts w:hint="eastAsia" w:ascii="仿宋" w:hAnsi="仿宋" w:eastAsia="仿宋" w:cs="仿宋"/>
          <w:spacing w:val="17"/>
          <w:sz w:val="32"/>
          <w:szCs w:val="32"/>
          <w:lang w:eastAsia="zh-CN"/>
        </w:rPr>
        <w:t>增加</w:t>
      </w:r>
      <w:r>
        <w:rPr>
          <w:rFonts w:hint="eastAsia" w:ascii="仿宋" w:hAnsi="仿宋" w:eastAsia="仿宋" w:cs="仿宋"/>
          <w:sz w:val="32"/>
          <w:szCs w:val="32"/>
        </w:rPr>
        <w:t>3</w:t>
      </w:r>
      <w:r>
        <w:rPr>
          <w:rFonts w:hint="eastAsia" w:ascii="仿宋" w:hAnsi="仿宋" w:eastAsia="仿宋" w:cs="仿宋"/>
          <w:sz w:val="32"/>
          <w:szCs w:val="32"/>
          <w:lang w:val="en-US" w:eastAsia="zh-CN"/>
        </w:rPr>
        <w:t>.79</w:t>
      </w:r>
      <w:r>
        <w:rPr>
          <w:rFonts w:hint="eastAsia" w:ascii="仿宋" w:hAnsi="仿宋" w:eastAsia="仿宋" w:cs="仿宋"/>
          <w:spacing w:val="-24"/>
          <w:sz w:val="32"/>
          <w:szCs w:val="32"/>
        </w:rPr>
        <w:t xml:space="preserve"> 万元；项目支出 </w:t>
      </w:r>
      <w:r>
        <w:rPr>
          <w:rFonts w:hint="eastAsia" w:ascii="仿宋" w:hAnsi="仿宋" w:eastAsia="仿宋" w:cs="仿宋"/>
          <w:sz w:val="32"/>
          <w:szCs w:val="32"/>
        </w:rPr>
        <w:t>0</w:t>
      </w:r>
      <w:r>
        <w:rPr>
          <w:rFonts w:hint="eastAsia" w:ascii="仿宋" w:hAnsi="仿宋" w:eastAsia="仿宋" w:cs="仿宋"/>
          <w:spacing w:val="-29"/>
          <w:sz w:val="32"/>
          <w:szCs w:val="32"/>
        </w:rPr>
        <w:t xml:space="preserve"> 万元，</w:t>
      </w:r>
      <w:r>
        <w:rPr>
          <w:rFonts w:hint="eastAsia" w:ascii="仿宋" w:hAnsi="仿宋" w:eastAsia="仿宋" w:cs="仿宋"/>
          <w:spacing w:val="-8"/>
          <w:sz w:val="32"/>
          <w:szCs w:val="32"/>
        </w:rPr>
        <w:t xml:space="preserve">占财政拨款预算总额的 </w:t>
      </w:r>
      <w:r>
        <w:rPr>
          <w:rFonts w:hint="eastAsia" w:ascii="仿宋" w:hAnsi="仿宋" w:eastAsia="仿宋" w:cs="仿宋"/>
          <w:spacing w:val="-10"/>
          <w:sz w:val="32"/>
          <w:szCs w:val="32"/>
        </w:rPr>
        <w:t>0%，</w:t>
      </w:r>
      <w:r>
        <w:rPr>
          <w:rFonts w:hint="eastAsia" w:ascii="仿宋" w:hAnsi="仿宋" w:eastAsia="仿宋" w:cs="仿宋"/>
          <w:spacing w:val="-11"/>
          <w:sz w:val="32"/>
          <w:szCs w:val="32"/>
        </w:rPr>
        <w:t>较</w:t>
      </w:r>
      <w:r>
        <w:rPr>
          <w:rFonts w:hint="eastAsia" w:ascii="仿宋" w:hAnsi="仿宋" w:eastAsia="仿宋" w:cs="仿宋"/>
          <w:spacing w:val="-9"/>
          <w:sz w:val="32"/>
          <w:szCs w:val="32"/>
        </w:rPr>
        <w:t xml:space="preserve">上年预算安排增加 </w:t>
      </w:r>
      <w:r>
        <w:rPr>
          <w:rFonts w:hint="eastAsia" w:ascii="仿宋" w:hAnsi="仿宋" w:eastAsia="仿宋" w:cs="仿宋"/>
          <w:sz w:val="32"/>
          <w:szCs w:val="32"/>
        </w:rPr>
        <w:t>0</w:t>
      </w:r>
      <w:r>
        <w:rPr>
          <w:rFonts w:hint="eastAsia" w:ascii="仿宋" w:hAnsi="仿宋" w:eastAsia="仿宋" w:cs="仿宋"/>
          <w:spacing w:val="-21"/>
          <w:sz w:val="32"/>
          <w:szCs w:val="32"/>
        </w:rPr>
        <w:t xml:space="preserve"> 万元。</w:t>
      </w:r>
    </w:p>
    <w:p>
      <w:pPr>
        <w:bidi w:val="0"/>
        <w:spacing w:line="360" w:lineRule="auto"/>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sz w:val="32"/>
          <w:szCs w:val="32"/>
          <w:lang w:val="en-US" w:eastAsia="zh-CN"/>
        </w:rPr>
        <w:t>按支出功能分类科目划分：</w:t>
      </w:r>
      <w:r>
        <w:rPr>
          <w:rFonts w:hint="eastAsia" w:ascii="仿宋" w:hAnsi="仿宋" w:eastAsia="仿宋" w:cs="仿宋"/>
          <w:sz w:val="32"/>
          <w:szCs w:val="32"/>
        </w:rPr>
        <w:t>社会保障和就业 15.</w:t>
      </w:r>
      <w:r>
        <w:rPr>
          <w:rFonts w:hint="eastAsia" w:ascii="仿宋" w:hAnsi="仿宋" w:eastAsia="仿宋" w:cs="仿宋"/>
          <w:sz w:val="32"/>
          <w:szCs w:val="32"/>
          <w:lang w:val="en-US" w:eastAsia="zh-CN"/>
        </w:rPr>
        <w:t>46</w:t>
      </w:r>
      <w:r>
        <w:rPr>
          <w:rFonts w:hint="eastAsia" w:ascii="仿宋" w:hAnsi="仿宋" w:eastAsia="仿宋" w:cs="仿宋"/>
          <w:sz w:val="32"/>
          <w:szCs w:val="32"/>
        </w:rPr>
        <w:t xml:space="preserve"> 万元， 占财政拨款预算总额的 1</w:t>
      </w:r>
      <w:r>
        <w:rPr>
          <w:rFonts w:hint="eastAsia" w:ascii="仿宋" w:hAnsi="仿宋" w:eastAsia="仿宋" w:cs="仿宋"/>
          <w:sz w:val="32"/>
          <w:szCs w:val="32"/>
          <w:lang w:val="en-US" w:eastAsia="zh-CN"/>
        </w:rPr>
        <w:t>2.67</w:t>
      </w:r>
      <w:r>
        <w:rPr>
          <w:rFonts w:hint="eastAsia" w:ascii="仿宋" w:hAnsi="仿宋" w:eastAsia="仿宋" w:cs="仿宋"/>
          <w:sz w:val="32"/>
          <w:szCs w:val="32"/>
        </w:rPr>
        <w:t xml:space="preserve">%，较上年预算安排增加 </w:t>
      </w:r>
      <w:r>
        <w:rPr>
          <w:rFonts w:hint="eastAsia" w:ascii="仿宋" w:hAnsi="仿宋" w:eastAsia="仿宋" w:cs="仿宋"/>
          <w:sz w:val="32"/>
          <w:szCs w:val="32"/>
          <w:lang w:val="en-US" w:eastAsia="zh-CN"/>
        </w:rPr>
        <w:t>0</w:t>
      </w:r>
      <w:r>
        <w:rPr>
          <w:rFonts w:hint="eastAsia" w:ascii="仿宋" w:hAnsi="仿宋" w:eastAsia="仿宋" w:cs="仿宋"/>
          <w:sz w:val="32"/>
          <w:szCs w:val="32"/>
        </w:rPr>
        <w:t>.41 万元；</w:t>
      </w:r>
      <w:r>
        <w:rPr>
          <w:rFonts w:hint="eastAsia" w:ascii="仿宋" w:hAnsi="仿宋" w:eastAsia="仿宋" w:cs="仿宋"/>
          <w:sz w:val="32"/>
          <w:szCs w:val="32"/>
          <w:lang w:eastAsia="zh-CN"/>
        </w:rPr>
        <w:t>卫生健康支出</w:t>
      </w:r>
      <w:r>
        <w:rPr>
          <w:rFonts w:hint="eastAsia" w:ascii="仿宋" w:hAnsi="仿宋" w:eastAsia="仿宋" w:cs="仿宋"/>
          <w:sz w:val="32"/>
          <w:szCs w:val="32"/>
          <w:lang w:val="en-US" w:eastAsia="zh-CN"/>
        </w:rPr>
        <w:t>106.52</w:t>
      </w:r>
      <w:r>
        <w:rPr>
          <w:rFonts w:hint="eastAsia" w:ascii="仿宋" w:hAnsi="仿宋" w:eastAsia="仿宋" w:cs="仿宋"/>
          <w:sz w:val="32"/>
          <w:szCs w:val="32"/>
        </w:rPr>
        <w:t xml:space="preserve"> 万元，占财政拨款预算总额的 </w:t>
      </w:r>
      <w:r>
        <w:rPr>
          <w:rFonts w:hint="eastAsia" w:ascii="仿宋" w:hAnsi="仿宋" w:eastAsia="仿宋" w:cs="仿宋"/>
          <w:sz w:val="32"/>
          <w:szCs w:val="32"/>
          <w:lang w:val="en-US" w:eastAsia="zh-CN"/>
        </w:rPr>
        <w:t>87.33</w:t>
      </w:r>
      <w:r>
        <w:rPr>
          <w:rFonts w:hint="eastAsia" w:ascii="仿宋" w:hAnsi="仿宋" w:eastAsia="仿宋" w:cs="仿宋"/>
          <w:sz w:val="32"/>
          <w:szCs w:val="32"/>
        </w:rPr>
        <w:t xml:space="preserve">%， 较上年预算安排减少 </w:t>
      </w:r>
      <w:r>
        <w:rPr>
          <w:rFonts w:hint="eastAsia" w:ascii="仿宋" w:hAnsi="仿宋" w:eastAsia="仿宋" w:cs="仿宋"/>
          <w:sz w:val="32"/>
          <w:szCs w:val="32"/>
          <w:lang w:val="en-US" w:eastAsia="zh-CN"/>
        </w:rPr>
        <w:t>3.38</w:t>
      </w:r>
      <w:r>
        <w:rPr>
          <w:rFonts w:hint="eastAsia" w:ascii="仿宋" w:hAnsi="仿宋" w:eastAsia="仿宋" w:cs="仿宋"/>
          <w:sz w:val="32"/>
          <w:szCs w:val="32"/>
        </w:rPr>
        <w:t xml:space="preserve"> 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（四）政府性基金情况</w:t>
      </w:r>
    </w:p>
    <w:p>
      <w:pPr>
        <w:spacing w:line="560" w:lineRule="exact"/>
        <w:ind w:firstLine="640" w:firstLineChars="200"/>
        <w:rPr>
          <w:rFonts w:hint="eastAsia" w:ascii="仿宋" w:hAnsi="仿宋" w:cs="仿宋" w:eastAsiaTheme="minorEastAsia"/>
          <w:color w:val="auto"/>
          <w:sz w:val="24"/>
          <w:szCs w:val="24"/>
          <w:lang w:eastAsia="zh-CN"/>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sz w:val="32"/>
          <w:szCs w:val="32"/>
        </w:rPr>
        <w:t>无政府性基金预算拨款安排的支出</w:t>
      </w:r>
      <w:r>
        <w:rPr>
          <w:rFonts w:hint="eastAsia" w:ascii="仿宋" w:hAnsi="仿宋" w:eastAsia="仿宋" w:cs="仿宋"/>
          <w:sz w:val="32"/>
          <w:szCs w:val="32"/>
          <w:lang w:eastAsia="zh-CN"/>
        </w:rPr>
        <w:t>。</w:t>
      </w:r>
    </w:p>
    <w:p>
      <w:pPr>
        <w:spacing w:line="560" w:lineRule="exact"/>
        <w:ind w:firstLine="643" w:firstLineChars="200"/>
        <w:rPr>
          <w:rFonts w:hint="default" w:ascii="仿宋" w:hAnsi="仿宋" w:eastAsia="仿宋" w:cs="仿宋"/>
          <w:color w:val="auto"/>
          <w:sz w:val="32"/>
          <w:szCs w:val="32"/>
          <w:lang w:val="en-US" w:eastAsia="zh-CN"/>
        </w:rPr>
      </w:pPr>
      <w:r>
        <w:rPr>
          <w:rFonts w:hint="eastAsia" w:ascii="仿宋" w:hAnsi="仿宋" w:eastAsia="仿宋" w:cs="仿宋"/>
          <w:b/>
          <w:bCs/>
          <w:color w:val="auto"/>
          <w:sz w:val="32"/>
          <w:szCs w:val="32"/>
        </w:rPr>
        <w:t>（五）</w:t>
      </w:r>
      <w:r>
        <w:rPr>
          <w:rFonts w:hint="eastAsia" w:ascii="仿宋" w:hAnsi="仿宋" w:eastAsia="仿宋" w:cs="仿宋"/>
          <w:b/>
          <w:bCs/>
          <w:color w:val="auto"/>
          <w:sz w:val="32"/>
          <w:szCs w:val="32"/>
          <w:lang w:eastAsia="zh-CN"/>
        </w:rPr>
        <w:t>国有</w:t>
      </w:r>
      <w:r>
        <w:rPr>
          <w:rFonts w:hint="eastAsia" w:ascii="仿宋" w:hAnsi="仿宋" w:eastAsia="仿宋" w:cs="仿宋"/>
          <w:b/>
          <w:bCs/>
          <w:color w:val="auto"/>
          <w:sz w:val="32"/>
          <w:szCs w:val="32"/>
          <w:lang w:val="en-US" w:eastAsia="zh-CN"/>
        </w:rPr>
        <w:t>资本经营情况</w:t>
      </w:r>
    </w:p>
    <w:p>
      <w:pPr>
        <w:spacing w:line="560" w:lineRule="exact"/>
        <w:ind w:firstLine="640" w:firstLineChars="200"/>
        <w:rPr>
          <w:rFonts w:hint="eastAsia" w:ascii="仿宋" w:hAnsi="仿宋" w:eastAsia="仿宋" w:cs="仿宋"/>
          <w:color w:val="auto"/>
          <w:sz w:val="24"/>
          <w:szCs w:val="24"/>
          <w:lang w:eastAsia="zh-CN"/>
        </w:rPr>
      </w:pPr>
      <w:r>
        <w:rPr>
          <w:rFonts w:hint="eastAsia" w:ascii="仿宋" w:hAnsi="仿宋" w:eastAsia="仿宋" w:cs="仿宋"/>
          <w:color w:val="auto"/>
          <w:sz w:val="32"/>
          <w:szCs w:val="32"/>
          <w:lang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本单位</w:t>
      </w:r>
      <w:r>
        <w:rPr>
          <w:rFonts w:hint="eastAsia" w:ascii="仿宋" w:hAnsi="仿宋" w:eastAsia="仿宋" w:cs="仿宋"/>
          <w:color w:val="auto"/>
          <w:sz w:val="32"/>
          <w:szCs w:val="32"/>
        </w:rPr>
        <w:t>国有资本经营支出预算为0万元，本单位无</w:t>
      </w:r>
      <w:r>
        <w:rPr>
          <w:rFonts w:hint="eastAsia" w:ascii="仿宋" w:hAnsi="仿宋" w:eastAsia="仿宋" w:cs="仿宋"/>
          <w:color w:val="auto"/>
          <w:sz w:val="32"/>
          <w:szCs w:val="32"/>
        </w:rPr>
        <w:fldChar w:fldCharType="begin"/>
      </w:r>
      <w:r>
        <w:rPr>
          <w:rFonts w:hint="eastAsia" w:ascii="仿宋" w:hAnsi="仿宋" w:eastAsia="仿宋" w:cs="仿宋"/>
          <w:color w:val="auto"/>
          <w:sz w:val="32"/>
          <w:szCs w:val="32"/>
        </w:rPr>
        <w:instrText xml:space="preserve">MERGEFIELD ${page400644146.ds215660413_REP_BGT_T_HC1100002019_DXQ02_S_AMTGYZBJYYSZJ}</w:instrText>
      </w:r>
      <w:r>
        <w:rPr>
          <w:rFonts w:hint="eastAsia" w:ascii="仿宋" w:hAnsi="仿宋" w:eastAsia="仿宋" w:cs="仿宋"/>
          <w:color w:val="auto"/>
          <w:sz w:val="32"/>
          <w:szCs w:val="32"/>
        </w:rPr>
        <w:fldChar w:fldCharType="separate"/>
      </w:r>
      <w:r>
        <w:rPr>
          <w:rFonts w:hint="eastAsia" w:ascii="仿宋" w:hAnsi="仿宋" w:eastAsia="仿宋" w:cs="仿宋"/>
          <w:color w:val="auto"/>
          <w:sz w:val="32"/>
          <w:szCs w:val="32"/>
        </w:rPr>
        <w:fldChar w:fldCharType="end"/>
      </w:r>
      <w:r>
        <w:rPr>
          <w:rFonts w:hint="eastAsia" w:ascii="仿宋" w:hAnsi="仿宋" w:eastAsia="仿宋" w:cs="仿宋"/>
          <w:color w:val="auto"/>
          <w:sz w:val="32"/>
          <w:szCs w:val="32"/>
        </w:rPr>
        <w:t>国有资本经营预算收入</w:t>
      </w:r>
      <w:r>
        <w:rPr>
          <w:rFonts w:hint="eastAsia" w:ascii="仿宋" w:hAnsi="仿宋" w:eastAsia="仿宋" w:cs="仿宋"/>
          <w:color w:val="auto"/>
          <w:sz w:val="32"/>
          <w:szCs w:val="32"/>
          <w:lang w:eastAsia="zh-CN"/>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六</w:t>
      </w:r>
      <w:r>
        <w:rPr>
          <w:rFonts w:hint="eastAsia" w:ascii="仿宋" w:hAnsi="仿宋" w:eastAsia="仿宋" w:cs="仿宋"/>
          <w:b/>
          <w:bCs/>
          <w:color w:val="auto"/>
          <w:sz w:val="32"/>
          <w:szCs w:val="32"/>
        </w:rPr>
        <w:t>）机关运行经费等重要事项的说明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机关运行费预算</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w:t>
      </w:r>
      <w:r>
        <w:rPr>
          <w:rFonts w:hint="eastAsia" w:ascii="仿宋" w:hAnsi="仿宋" w:eastAsia="仿宋" w:cs="仿宋"/>
          <w:color w:val="auto"/>
          <w:sz w:val="32"/>
          <w:szCs w:val="32"/>
          <w:lang w:val="en-US" w:eastAsia="zh-CN"/>
        </w:rPr>
        <w:t>2021</w:t>
      </w:r>
      <w:r>
        <w:rPr>
          <w:rFonts w:hint="eastAsia" w:ascii="仿宋" w:hAnsi="仿宋" w:eastAsia="仿宋" w:cs="仿宋"/>
          <w:color w:val="auto"/>
          <w:sz w:val="32"/>
          <w:szCs w:val="32"/>
        </w:rPr>
        <w:t>年(上一年度）预算增加</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万元，增长</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七</w:t>
      </w:r>
      <w:r>
        <w:rPr>
          <w:rFonts w:hint="eastAsia" w:ascii="仿宋" w:hAnsi="仿宋" w:eastAsia="仿宋" w:cs="仿宋"/>
          <w:b/>
          <w:bCs/>
          <w:color w:val="auto"/>
          <w:sz w:val="32"/>
          <w:szCs w:val="32"/>
        </w:rPr>
        <w:t>）政府采购情况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年单位政府采购总额</w:t>
      </w:r>
      <w:r>
        <w:rPr>
          <w:rFonts w:hint="eastAsia" w:ascii="仿宋" w:hAnsi="仿宋" w:eastAsia="仿宋" w:cs="仿宋"/>
          <w:color w:val="auto"/>
          <w:sz w:val="32"/>
          <w:szCs w:val="32"/>
          <w:lang w:val="en-US" w:eastAsia="zh-CN"/>
        </w:rPr>
        <w:t>25</w:t>
      </w:r>
      <w:r>
        <w:rPr>
          <w:rFonts w:hint="eastAsia" w:ascii="仿宋" w:hAnsi="仿宋" w:eastAsia="仿宋" w:cs="仿宋"/>
          <w:color w:val="auto"/>
          <w:sz w:val="32"/>
          <w:szCs w:val="32"/>
        </w:rPr>
        <w:t>万元，其中：政府采购货物预算</w:t>
      </w:r>
      <w:r>
        <w:rPr>
          <w:rFonts w:hint="eastAsia" w:ascii="仿宋" w:hAnsi="仿宋" w:eastAsia="仿宋" w:cs="仿宋"/>
          <w:color w:val="auto"/>
          <w:sz w:val="32"/>
          <w:szCs w:val="32"/>
          <w:lang w:val="en-US" w:eastAsia="zh-CN"/>
        </w:rPr>
        <w:t>25</w:t>
      </w:r>
      <w:r>
        <w:rPr>
          <w:rFonts w:hint="eastAsia" w:ascii="仿宋" w:hAnsi="仿宋" w:eastAsia="仿宋" w:cs="仿宋"/>
          <w:color w:val="auto"/>
          <w:sz w:val="32"/>
          <w:szCs w:val="32"/>
        </w:rPr>
        <w:t>万元、政府采购工程预算</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万元、政府采购服务预算</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八</w:t>
      </w:r>
      <w:r>
        <w:rPr>
          <w:rFonts w:hint="eastAsia" w:ascii="仿宋" w:hAnsi="仿宋" w:eastAsia="仿宋" w:cs="仿宋"/>
          <w:b/>
          <w:bCs/>
          <w:color w:val="auto"/>
          <w:sz w:val="32"/>
          <w:szCs w:val="32"/>
        </w:rPr>
        <w:t>）国有资产占有使用情况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截至</w:t>
      </w:r>
      <w:r>
        <w:rPr>
          <w:rFonts w:hint="eastAsia" w:ascii="仿宋" w:hAnsi="仿宋" w:eastAsia="仿宋" w:cs="仿宋"/>
          <w:b w:val="0"/>
          <w:bCs w:val="0"/>
          <w:color w:val="auto"/>
          <w:sz w:val="32"/>
          <w:szCs w:val="32"/>
          <w:lang w:val="en-US" w:eastAsia="zh-CN"/>
        </w:rPr>
        <w:t>2022年</w:t>
      </w:r>
      <w:r>
        <w:rPr>
          <w:rFonts w:hint="eastAsia" w:ascii="仿宋" w:hAnsi="仿宋" w:eastAsia="仿宋" w:cs="仿宋"/>
          <w:color w:val="auto"/>
          <w:sz w:val="32"/>
          <w:szCs w:val="32"/>
        </w:rPr>
        <w:t>12月31日</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共有车辆</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其中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一般公务用车</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辆、执法执勤用车</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辆</w:t>
      </w:r>
      <w:r>
        <w:rPr>
          <w:rFonts w:hint="eastAsia" w:ascii="仿宋" w:hAnsi="仿宋" w:eastAsia="仿宋" w:cs="仿宋"/>
          <w:color w:val="auto"/>
          <w:sz w:val="32"/>
          <w:szCs w:val="32"/>
          <w:lang w:eastAsia="zh-CN"/>
        </w:rPr>
        <w:t>、</w:t>
      </w:r>
      <w:r>
        <w:rPr>
          <w:rFonts w:hint="eastAsia" w:ascii="仿宋" w:hAnsi="仿宋" w:eastAsia="仿宋" w:cs="仿宋"/>
          <w:spacing w:val="-20"/>
          <w:sz w:val="32"/>
          <w:szCs w:val="32"/>
        </w:rPr>
        <w:t xml:space="preserve">特殊用途车 </w:t>
      </w:r>
      <w:r>
        <w:rPr>
          <w:rFonts w:hint="eastAsia" w:ascii="仿宋" w:hAnsi="仿宋" w:eastAsia="仿宋" w:cs="仿宋"/>
          <w:sz w:val="32"/>
          <w:szCs w:val="32"/>
        </w:rPr>
        <w:t>1</w:t>
      </w:r>
      <w:r>
        <w:rPr>
          <w:rFonts w:hint="eastAsia" w:ascii="仿宋" w:hAnsi="仿宋" w:eastAsia="仿宋" w:cs="仿宋"/>
          <w:spacing w:val="-28"/>
          <w:sz w:val="32"/>
          <w:szCs w:val="32"/>
        </w:rPr>
        <w:t xml:space="preserve"> 辆</w:t>
      </w:r>
      <w:r>
        <w:rPr>
          <w:rFonts w:hint="eastAsia" w:ascii="仿宋" w:hAnsi="仿宋" w:eastAsia="仿宋" w:cs="仿宋"/>
          <w:color w:val="auto"/>
          <w:sz w:val="32"/>
          <w:szCs w:val="32"/>
        </w:rPr>
        <w:t>。</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lang w:val="en-US" w:eastAsia="zh-CN"/>
        </w:rPr>
        <w:t>2022年本</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预算安排购置车辆</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辆，安排购置单位价值200万元以上大型设备具为：</w:t>
      </w:r>
      <w:r>
        <w:rPr>
          <w:rFonts w:hint="eastAsia" w:ascii="仿宋" w:hAnsi="仿宋" w:eastAsia="仿宋" w:cs="仿宋"/>
          <w:color w:val="auto"/>
          <w:sz w:val="32"/>
          <w:szCs w:val="32"/>
          <w:lang w:eastAsia="zh-CN"/>
        </w:rPr>
        <w:t>无</w:t>
      </w:r>
      <w:r>
        <w:rPr>
          <w:rFonts w:hint="eastAsia" w:ascii="仿宋" w:hAnsi="仿宋" w:eastAsia="仿宋" w:cs="仿宋"/>
          <w:color w:val="auto"/>
          <w:sz w:val="32"/>
          <w:szCs w:val="32"/>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九</w:t>
      </w:r>
      <w:r>
        <w:rPr>
          <w:rFonts w:hint="eastAsia" w:ascii="仿宋" w:hAnsi="仿宋" w:eastAsia="仿宋" w:cs="仿宋"/>
          <w:b/>
          <w:bCs/>
          <w:color w:val="auto"/>
          <w:sz w:val="32"/>
          <w:szCs w:val="32"/>
        </w:rPr>
        <w:t>）绩效目标设置情况</w:t>
      </w:r>
    </w:p>
    <w:p>
      <w:pPr>
        <w:spacing w:line="560" w:lineRule="exact"/>
        <w:ind w:left="634" w:leftChars="284" w:hanging="38" w:hangingChars="12"/>
        <w:rPr>
          <w:rFonts w:hint="eastAsia" w:ascii="仿宋" w:hAnsi="仿宋" w:eastAsia="仿宋" w:cs="仿宋"/>
          <w:color w:val="auto"/>
          <w:sz w:val="24"/>
          <w:szCs w:val="24"/>
          <w:highlight w:val="none"/>
          <w:lang w:eastAsia="zh-CN"/>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年实行绩效目标管理的项目</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个，涉及资金</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2022年</w:t>
      </w:r>
      <w:r>
        <w:rPr>
          <w:rFonts w:hint="eastAsia" w:ascii="楷体" w:hAnsi="楷体" w:eastAsia="楷体" w:cs="楷体"/>
          <w:b/>
          <w:bCs/>
          <w:color w:val="auto"/>
          <w:sz w:val="32"/>
          <w:szCs w:val="32"/>
        </w:rPr>
        <w:t>“三公”经费预算情况说明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“三公”经费一般公共预算安排</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万元。其中：</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万元，主</w:t>
      </w:r>
    </w:p>
    <w:p>
      <w:pPr>
        <w:spacing w:line="560" w:lineRule="exact"/>
        <w:ind w:firstLine="0" w:firstLineChars="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万元，主要原因</w:t>
      </w:r>
    </w:p>
    <w:p>
      <w:pPr>
        <w:spacing w:line="560" w:lineRule="exact"/>
        <w:ind w:firstLine="0" w:firstLineChars="0"/>
        <w:rPr>
          <w:rFonts w:ascii="仿宋" w:hAnsi="仿宋" w:eastAsia="仿宋" w:cs="仿宋"/>
          <w:color w:val="auto"/>
          <w:sz w:val="32"/>
          <w:szCs w:val="32"/>
        </w:rPr>
      </w:pPr>
      <w:r>
        <w:rPr>
          <w:rFonts w:hint="eastAsia" w:ascii="仿宋" w:hAnsi="仿宋" w:eastAsia="仿宋" w:cs="仿宋"/>
          <w:color w:val="auto"/>
          <w:sz w:val="32"/>
          <w:szCs w:val="32"/>
        </w:rPr>
        <w:t>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p>
    <w:p>
      <w:pPr>
        <w:spacing w:line="560" w:lineRule="exact"/>
        <w:ind w:firstLine="0" w:firstLineChars="0"/>
        <w:rPr>
          <w:rFonts w:ascii="仿宋" w:hAnsi="仿宋" w:eastAsia="仿宋" w:cs="仿宋"/>
          <w:color w:val="auto"/>
          <w:sz w:val="32"/>
          <w:szCs w:val="32"/>
        </w:rPr>
      </w:pPr>
      <w:r>
        <w:rPr>
          <w:rFonts w:hint="eastAsia" w:ascii="仿宋" w:hAnsi="仿宋" w:eastAsia="仿宋" w:cs="仿宋"/>
          <w:color w:val="auto"/>
          <w:sz w:val="32"/>
          <w:szCs w:val="32"/>
        </w:rPr>
        <w:t>主要原因是：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万元，主要</w:t>
      </w:r>
    </w:p>
    <w:p>
      <w:pPr>
        <w:spacing w:line="560" w:lineRule="exact"/>
        <w:ind w:firstLine="0" w:firstLineChars="0"/>
        <w:rPr>
          <w:rFonts w:hint="eastAsia" w:ascii="仿宋" w:hAnsi="仿宋" w:eastAsia="仿宋" w:cs="仿宋"/>
          <w:color w:val="auto"/>
          <w:sz w:val="24"/>
          <w:szCs w:val="24"/>
          <w:lang w:eastAsia="zh-CN"/>
        </w:rPr>
      </w:pPr>
      <w:r>
        <w:rPr>
          <w:rFonts w:hint="eastAsia" w:ascii="仿宋" w:hAnsi="仿宋" w:eastAsia="仿宋" w:cs="仿宋"/>
          <w:color w:val="auto"/>
          <w:sz w:val="32"/>
          <w:szCs w:val="32"/>
        </w:rPr>
        <w:t>原因是：</w:t>
      </w:r>
      <w:r>
        <w:rPr>
          <w:rFonts w:hint="eastAsia" w:ascii="仿宋" w:hAnsi="仿宋" w:eastAsia="仿宋" w:cs="仿宋"/>
          <w:color w:val="auto"/>
          <w:sz w:val="32"/>
          <w:szCs w:val="32"/>
          <w:lang w:eastAsia="zh-CN"/>
        </w:rPr>
        <w:t>与上年安排保持一致。</w:t>
      </w: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both"/>
        <w:rPr>
          <w:rFonts w:hint="eastAsia" w:eastAsia="仿宋"/>
          <w:color w:val="auto"/>
          <w:lang w:eastAsia="zh-CN"/>
        </w:rPr>
        <w:sectPr>
          <w:pgSz w:w="11910" w:h="16840"/>
          <w:pgMar w:top="1520" w:right="1540" w:bottom="280" w:left="1680" w:header="720" w:footer="720" w:gutter="0"/>
          <w:cols w:space="720" w:num="1"/>
        </w:sectPr>
      </w:pPr>
    </w:p>
    <w:p>
      <w:pPr>
        <w:spacing w:line="560" w:lineRule="exact"/>
        <w:jc w:val="center"/>
        <w:rPr>
          <w:rFonts w:hint="eastAsia" w:ascii="黑体" w:hAnsi="黑体" w:eastAsia="黑体" w:cs="黑体"/>
          <w:color w:val="auto"/>
          <w:sz w:val="32"/>
          <w:szCs w:val="32"/>
        </w:rPr>
      </w:pPr>
      <w:r>
        <w:rPr>
          <w:rFonts w:hint="eastAsia" w:ascii="黑体" w:hAnsi="黑体" w:eastAsia="黑体" w:cs="黑体"/>
          <w:b w:val="0"/>
          <w:bCs w:val="0"/>
          <w:color w:val="auto"/>
          <w:sz w:val="32"/>
          <w:szCs w:val="32"/>
        </w:rPr>
        <w:t>第三部分 兴国县</w:t>
      </w:r>
      <w:r>
        <w:rPr>
          <w:rFonts w:hint="eastAsia" w:ascii="黑体" w:hAnsi="黑体" w:eastAsia="黑体" w:cs="黑体"/>
          <w:b w:val="0"/>
          <w:bCs w:val="0"/>
          <w:color w:val="auto"/>
          <w:sz w:val="32"/>
          <w:szCs w:val="32"/>
          <w:lang w:eastAsia="zh-CN"/>
        </w:rPr>
        <w:t>方太乡卫生院</w:t>
      </w:r>
      <w:r>
        <w:rPr>
          <w:rFonts w:hint="eastAsia" w:ascii="黑体" w:hAnsi="黑体" w:eastAsia="黑体" w:cs="黑体"/>
          <w:b w:val="0"/>
          <w:bCs w:val="0"/>
          <w:color w:val="auto"/>
          <w:sz w:val="32"/>
          <w:szCs w:val="32"/>
        </w:rPr>
        <w:t>单位</w:t>
      </w:r>
      <w:r>
        <w:rPr>
          <w:rFonts w:hint="eastAsia" w:ascii="黑体" w:hAnsi="黑体" w:eastAsia="黑体" w:cs="黑体"/>
          <w:b w:val="0"/>
          <w:bCs w:val="0"/>
          <w:color w:val="auto"/>
          <w:sz w:val="32"/>
          <w:szCs w:val="32"/>
          <w:lang w:val="en-US" w:eastAsia="zh-CN"/>
        </w:rPr>
        <w:t>2022年</w:t>
      </w:r>
      <w:r>
        <w:rPr>
          <w:rFonts w:hint="eastAsia" w:ascii="黑体" w:hAnsi="黑体" w:eastAsia="黑体" w:cs="黑体"/>
          <w:b w:val="0"/>
          <w:bCs w:val="0"/>
          <w:color w:val="auto"/>
          <w:sz w:val="32"/>
          <w:szCs w:val="32"/>
        </w:rPr>
        <w:t>预算表</w:t>
      </w:r>
    </w:p>
    <w:p>
      <w:pPr>
        <w:pStyle w:val="2"/>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tbl>
      <w:tblPr>
        <w:tblStyle w:val="5"/>
        <w:tblW w:w="159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242"/>
        <w:gridCol w:w="2472"/>
        <w:gridCol w:w="4376"/>
        <w:gridCol w:w="28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15900" w:type="dxa"/>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收支预算总表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填报单位:[403022]兴国县方太乡卫生院</w:t>
            </w:r>
          </w:p>
        </w:tc>
        <w:tc>
          <w:tcPr>
            <w:tcW w:w="0" w:type="auto"/>
            <w:tcBorders>
              <w:top w:val="nil"/>
              <w:left w:val="nil"/>
              <w:bottom w:val="nil"/>
              <w:right w:val="nil"/>
            </w:tcBorders>
            <w:shd w:val="clear" w:color="auto" w:fill="auto"/>
            <w:noWrap/>
            <w:vAlign w:val="bottom"/>
          </w:tcPr>
          <w:p>
            <w:pPr>
              <w:rPr>
                <w:rFonts w:hint="eastAsia" w:ascii="Calibri" w:hAnsi="Calibri" w:cs="Calibri"/>
                <w:i w:val="0"/>
                <w:iCs w:val="0"/>
                <w:color w:val="000000"/>
                <w:sz w:val="22"/>
                <w:szCs w:val="22"/>
                <w:u w:val="none"/>
              </w:rPr>
            </w:pPr>
          </w:p>
        </w:tc>
        <w:tc>
          <w:tcPr>
            <w:tcW w:w="0" w:type="auto"/>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0" w:type="auto"/>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      入</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项目(按支出功能科目类级)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一、财政拨款收入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121.98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社会保障和就业支出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（一）一般公共预算收入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121.98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633.95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（二）政府性基金预算收入</w:t>
            </w:r>
          </w:p>
        </w:tc>
        <w:tc>
          <w:tcPr>
            <w:tcW w:w="25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住房保障支出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（三）国有资本经营预算收入</w:t>
            </w:r>
          </w:p>
        </w:tc>
        <w:tc>
          <w:tcPr>
            <w:tcW w:w="25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二、教育收费资金收入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三、事业收入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547.64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四、事业单位经营收入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五、附属单位上缴收入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六、上级补助收入</w:t>
            </w:r>
          </w:p>
        </w:tc>
        <w:tc>
          <w:tcPr>
            <w:tcW w:w="25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七、其他收入</w:t>
            </w:r>
          </w:p>
        </w:tc>
        <w:tc>
          <w:tcPr>
            <w:tcW w:w="25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25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4"/>
                <w:szCs w:val="24"/>
                <w:u w:val="none"/>
              </w:rPr>
            </w:pPr>
          </w:p>
        </w:tc>
        <w:tc>
          <w:tcPr>
            <w:tcW w:w="25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本年收入合计</w:t>
            </w:r>
          </w:p>
        </w:tc>
        <w:tc>
          <w:tcPr>
            <w:tcW w:w="2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669.63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本年支出合计</w:t>
            </w:r>
          </w:p>
        </w:tc>
        <w:tc>
          <w:tcPr>
            <w:tcW w:w="2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669.63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八、使用非财政拨款结余</w:t>
            </w:r>
          </w:p>
        </w:tc>
        <w:tc>
          <w:tcPr>
            <w:tcW w:w="25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结转下年</w:t>
            </w:r>
          </w:p>
        </w:tc>
        <w:tc>
          <w:tcPr>
            <w:tcW w:w="2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九、上年结转（结余）</w:t>
            </w:r>
          </w:p>
        </w:tc>
        <w:tc>
          <w:tcPr>
            <w:tcW w:w="25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25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27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收入总计</w:t>
            </w:r>
          </w:p>
        </w:tc>
        <w:tc>
          <w:tcPr>
            <w:tcW w:w="25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669.63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支出总计</w:t>
            </w:r>
          </w:p>
        </w:tc>
        <w:tc>
          <w:tcPr>
            <w:tcW w:w="27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669.63</w:t>
            </w:r>
          </w:p>
        </w:tc>
      </w:tr>
    </w:tbl>
    <w:p>
      <w:pPr>
        <w:pStyle w:val="2"/>
        <w:rPr>
          <w:rFonts w:hint="eastAsia" w:eastAsia="仿宋"/>
          <w:color w:val="auto"/>
          <w:lang w:eastAsia="zh-CN"/>
        </w:rPr>
        <w:sectPr>
          <w:pgSz w:w="16840" w:h="11910" w:orient="landscape"/>
          <w:pgMar w:top="1680" w:right="1520" w:bottom="1540" w:left="280" w:header="720" w:footer="720" w:gutter="0"/>
          <w:cols w:space="720" w:num="1"/>
        </w:sectPr>
      </w:pPr>
    </w:p>
    <w:p>
      <w:pPr>
        <w:pStyle w:val="2"/>
        <w:rPr>
          <w:rFonts w:hint="eastAsia" w:eastAsia="仿宋"/>
          <w:color w:val="auto"/>
          <w:lang w:eastAsia="zh-CN"/>
        </w:rPr>
      </w:pPr>
    </w:p>
    <w:p>
      <w:pPr>
        <w:pStyle w:val="2"/>
        <w:numPr>
          <w:ilvl w:val="0"/>
          <w:numId w:val="2"/>
        </w:numPr>
        <w:rPr>
          <w:rFonts w:hint="eastAsia" w:ascii="仿宋" w:hAnsi="仿宋" w:eastAsia="仿宋" w:cs="仿宋"/>
          <w:color w:val="auto"/>
          <w:sz w:val="32"/>
          <w:szCs w:val="32"/>
        </w:rPr>
      </w:pPr>
      <w:r>
        <w:rPr>
          <w:rFonts w:hint="eastAsia" w:ascii="仿宋" w:hAnsi="仿宋" w:eastAsia="仿宋" w:cs="仿宋"/>
          <w:color w:val="auto"/>
          <w:sz w:val="32"/>
          <w:szCs w:val="32"/>
        </w:rPr>
        <w:t>《部门收入总表》</w:t>
      </w:r>
    </w:p>
    <w:tbl>
      <w:tblPr>
        <w:tblStyle w:val="5"/>
        <w:tblW w:w="1512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075"/>
        <w:gridCol w:w="2914"/>
        <w:gridCol w:w="993"/>
        <w:gridCol w:w="582"/>
        <w:gridCol w:w="996"/>
        <w:gridCol w:w="1022"/>
        <w:gridCol w:w="683"/>
        <w:gridCol w:w="847"/>
        <w:gridCol w:w="600"/>
        <w:gridCol w:w="818"/>
        <w:gridCol w:w="470"/>
        <w:gridCol w:w="537"/>
        <w:gridCol w:w="463"/>
        <w:gridCol w:w="662"/>
        <w:gridCol w:w="349"/>
        <w:gridCol w:w="11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114" w:type="dxa"/>
          <w:trHeight w:val="560" w:hRule="atLeast"/>
        </w:trPr>
        <w:tc>
          <w:tcPr>
            <w:tcW w:w="14011" w:type="dxa"/>
            <w:gridSpan w:val="1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部门收入总表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9" w:hRule="atLeast"/>
        </w:trPr>
        <w:tc>
          <w:tcPr>
            <w:tcW w:w="2075"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1"/>
                <w:szCs w:val="21"/>
                <w:u w:val="none"/>
                <w:lang w:val="en-US" w:eastAsia="zh-CN" w:bidi="ar"/>
              </w:rPr>
              <w:t>[403022]兴国县方太乡卫生院</w:t>
            </w:r>
          </w:p>
        </w:tc>
        <w:tc>
          <w:tcPr>
            <w:tcW w:w="2914" w:type="dxa"/>
            <w:tcBorders>
              <w:top w:val="nil"/>
              <w:left w:val="nil"/>
              <w:bottom w:val="nil"/>
              <w:right w:val="nil"/>
            </w:tcBorders>
            <w:shd w:val="clear" w:color="auto" w:fill="auto"/>
            <w:noWrap/>
            <w:vAlign w:val="bottom"/>
          </w:tcPr>
          <w:p>
            <w:pPr>
              <w:rPr>
                <w:rFonts w:hint="eastAsia" w:ascii="Calibri" w:hAnsi="Calibri" w:cs="Calibri"/>
                <w:i w:val="0"/>
                <w:iCs w:val="0"/>
                <w:color w:val="000000"/>
                <w:sz w:val="24"/>
                <w:szCs w:val="24"/>
                <w:u w:val="none"/>
              </w:rPr>
            </w:pPr>
          </w:p>
        </w:tc>
        <w:tc>
          <w:tcPr>
            <w:tcW w:w="993" w:type="dxa"/>
            <w:tcBorders>
              <w:top w:val="nil"/>
              <w:left w:val="nil"/>
              <w:bottom w:val="nil"/>
              <w:right w:val="nil"/>
            </w:tcBorders>
            <w:shd w:val="clear" w:color="auto" w:fill="auto"/>
            <w:noWrap/>
            <w:vAlign w:val="bottom"/>
          </w:tcPr>
          <w:p>
            <w:pPr>
              <w:rPr>
                <w:rFonts w:hint="default" w:ascii="Calibri" w:hAnsi="Calibri" w:cs="Calibri"/>
                <w:i w:val="0"/>
                <w:iCs w:val="0"/>
                <w:color w:val="000000"/>
                <w:sz w:val="24"/>
                <w:szCs w:val="24"/>
                <w:u w:val="none"/>
              </w:rPr>
            </w:pPr>
          </w:p>
        </w:tc>
        <w:tc>
          <w:tcPr>
            <w:tcW w:w="582" w:type="dxa"/>
            <w:tcBorders>
              <w:top w:val="nil"/>
              <w:left w:val="nil"/>
              <w:bottom w:val="nil"/>
              <w:right w:val="nil"/>
            </w:tcBorders>
            <w:shd w:val="clear" w:color="auto" w:fill="auto"/>
            <w:noWrap/>
            <w:vAlign w:val="bottom"/>
          </w:tcPr>
          <w:p>
            <w:pPr>
              <w:rPr>
                <w:rFonts w:hint="default" w:ascii="Calibri" w:hAnsi="Calibri" w:cs="Calibri"/>
                <w:i w:val="0"/>
                <w:iCs w:val="0"/>
                <w:color w:val="000000"/>
                <w:sz w:val="24"/>
                <w:szCs w:val="24"/>
                <w:u w:val="none"/>
              </w:rPr>
            </w:pPr>
          </w:p>
        </w:tc>
        <w:tc>
          <w:tcPr>
            <w:tcW w:w="996" w:type="dxa"/>
            <w:tcBorders>
              <w:top w:val="nil"/>
              <w:left w:val="nil"/>
              <w:bottom w:val="nil"/>
              <w:right w:val="nil"/>
            </w:tcBorders>
            <w:shd w:val="clear" w:color="auto" w:fill="auto"/>
            <w:noWrap/>
            <w:vAlign w:val="bottom"/>
          </w:tcPr>
          <w:p>
            <w:pPr>
              <w:rPr>
                <w:rFonts w:hint="default" w:ascii="Calibri" w:hAnsi="Calibri" w:cs="Calibri"/>
                <w:i w:val="0"/>
                <w:iCs w:val="0"/>
                <w:color w:val="000000"/>
                <w:sz w:val="24"/>
                <w:szCs w:val="24"/>
                <w:u w:val="none"/>
              </w:rPr>
            </w:pPr>
          </w:p>
        </w:tc>
        <w:tc>
          <w:tcPr>
            <w:tcW w:w="1022" w:type="dxa"/>
            <w:tcBorders>
              <w:top w:val="nil"/>
              <w:left w:val="nil"/>
              <w:bottom w:val="nil"/>
              <w:right w:val="nil"/>
            </w:tcBorders>
            <w:shd w:val="clear" w:color="auto" w:fill="auto"/>
            <w:noWrap/>
            <w:vAlign w:val="bottom"/>
          </w:tcPr>
          <w:p>
            <w:pPr>
              <w:rPr>
                <w:rFonts w:hint="default" w:ascii="Calibri" w:hAnsi="Calibri" w:cs="Calibri"/>
                <w:i w:val="0"/>
                <w:iCs w:val="0"/>
                <w:color w:val="000000"/>
                <w:sz w:val="24"/>
                <w:szCs w:val="24"/>
                <w:u w:val="none"/>
              </w:rPr>
            </w:pPr>
          </w:p>
        </w:tc>
        <w:tc>
          <w:tcPr>
            <w:tcW w:w="683" w:type="dxa"/>
            <w:tcBorders>
              <w:top w:val="nil"/>
              <w:left w:val="nil"/>
              <w:bottom w:val="nil"/>
              <w:right w:val="nil"/>
            </w:tcBorders>
            <w:shd w:val="clear" w:color="auto" w:fill="auto"/>
            <w:noWrap/>
            <w:vAlign w:val="bottom"/>
          </w:tcPr>
          <w:p>
            <w:pPr>
              <w:rPr>
                <w:rFonts w:hint="default" w:ascii="Calibri" w:hAnsi="Calibri" w:cs="Calibri"/>
                <w:i w:val="0"/>
                <w:iCs w:val="0"/>
                <w:color w:val="000000"/>
                <w:sz w:val="24"/>
                <w:szCs w:val="24"/>
                <w:u w:val="none"/>
              </w:rPr>
            </w:pPr>
          </w:p>
        </w:tc>
        <w:tc>
          <w:tcPr>
            <w:tcW w:w="847" w:type="dxa"/>
            <w:tcBorders>
              <w:top w:val="nil"/>
              <w:left w:val="nil"/>
              <w:bottom w:val="nil"/>
              <w:right w:val="nil"/>
            </w:tcBorders>
            <w:shd w:val="clear" w:color="auto" w:fill="auto"/>
            <w:noWrap/>
            <w:vAlign w:val="bottom"/>
          </w:tcPr>
          <w:p>
            <w:pPr>
              <w:rPr>
                <w:rFonts w:hint="default" w:ascii="Calibri" w:hAnsi="Calibri" w:cs="Calibri"/>
                <w:i w:val="0"/>
                <w:iCs w:val="0"/>
                <w:color w:val="000000"/>
                <w:sz w:val="24"/>
                <w:szCs w:val="24"/>
                <w:u w:val="none"/>
              </w:rPr>
            </w:pPr>
          </w:p>
        </w:tc>
        <w:tc>
          <w:tcPr>
            <w:tcW w:w="600" w:type="dxa"/>
            <w:tcBorders>
              <w:top w:val="nil"/>
              <w:left w:val="nil"/>
              <w:bottom w:val="nil"/>
              <w:right w:val="nil"/>
            </w:tcBorders>
            <w:shd w:val="clear" w:color="auto" w:fill="auto"/>
            <w:noWrap/>
            <w:vAlign w:val="bottom"/>
          </w:tcPr>
          <w:p>
            <w:pPr>
              <w:rPr>
                <w:rFonts w:hint="default" w:ascii="Calibri" w:hAnsi="Calibri" w:cs="Calibri"/>
                <w:i w:val="0"/>
                <w:iCs w:val="0"/>
                <w:color w:val="000000"/>
                <w:sz w:val="24"/>
                <w:szCs w:val="24"/>
                <w:u w:val="none"/>
              </w:rPr>
            </w:pPr>
          </w:p>
        </w:tc>
        <w:tc>
          <w:tcPr>
            <w:tcW w:w="818" w:type="dxa"/>
            <w:tcBorders>
              <w:top w:val="nil"/>
              <w:left w:val="nil"/>
              <w:bottom w:val="nil"/>
              <w:right w:val="nil"/>
            </w:tcBorders>
            <w:shd w:val="clear" w:color="auto" w:fill="auto"/>
            <w:noWrap/>
            <w:vAlign w:val="bottom"/>
          </w:tcPr>
          <w:p>
            <w:pPr>
              <w:rPr>
                <w:rFonts w:hint="default" w:ascii="Calibri" w:hAnsi="Calibri" w:cs="Calibri"/>
                <w:i w:val="0"/>
                <w:iCs w:val="0"/>
                <w:color w:val="000000"/>
                <w:sz w:val="24"/>
                <w:szCs w:val="24"/>
                <w:u w:val="none"/>
              </w:rPr>
            </w:pPr>
          </w:p>
        </w:tc>
        <w:tc>
          <w:tcPr>
            <w:tcW w:w="470" w:type="dxa"/>
            <w:tcBorders>
              <w:top w:val="nil"/>
              <w:left w:val="nil"/>
              <w:bottom w:val="nil"/>
              <w:right w:val="nil"/>
            </w:tcBorders>
            <w:shd w:val="clear" w:color="auto" w:fill="auto"/>
            <w:noWrap/>
            <w:vAlign w:val="bottom"/>
          </w:tcPr>
          <w:p>
            <w:pPr>
              <w:rPr>
                <w:rFonts w:hint="default" w:ascii="Calibri" w:hAnsi="Calibri" w:cs="Calibri"/>
                <w:i w:val="0"/>
                <w:iCs w:val="0"/>
                <w:color w:val="000000"/>
                <w:sz w:val="24"/>
                <w:szCs w:val="24"/>
                <w:u w:val="none"/>
              </w:rPr>
            </w:pPr>
          </w:p>
        </w:tc>
        <w:tc>
          <w:tcPr>
            <w:tcW w:w="537" w:type="dxa"/>
            <w:tcBorders>
              <w:top w:val="nil"/>
              <w:left w:val="nil"/>
              <w:bottom w:val="nil"/>
              <w:right w:val="nil"/>
            </w:tcBorders>
            <w:shd w:val="clear" w:color="auto" w:fill="auto"/>
            <w:noWrap/>
            <w:vAlign w:val="bottom"/>
          </w:tcPr>
          <w:p>
            <w:pPr>
              <w:rPr>
                <w:rFonts w:hint="default" w:ascii="Calibri" w:hAnsi="Calibri" w:cs="Calibri"/>
                <w:i w:val="0"/>
                <w:iCs w:val="0"/>
                <w:color w:val="000000"/>
                <w:sz w:val="24"/>
                <w:szCs w:val="24"/>
                <w:u w:val="none"/>
              </w:rPr>
            </w:pPr>
          </w:p>
        </w:tc>
        <w:tc>
          <w:tcPr>
            <w:tcW w:w="463" w:type="dxa"/>
            <w:tcBorders>
              <w:top w:val="nil"/>
              <w:left w:val="nil"/>
              <w:bottom w:val="nil"/>
              <w:right w:val="nil"/>
            </w:tcBorders>
            <w:shd w:val="clear" w:color="auto" w:fill="auto"/>
            <w:noWrap/>
            <w:vAlign w:val="bottom"/>
          </w:tcPr>
          <w:p>
            <w:pPr>
              <w:rPr>
                <w:rFonts w:hint="default" w:ascii="Calibri" w:hAnsi="Calibri" w:cs="Calibri"/>
                <w:i w:val="0"/>
                <w:iCs w:val="0"/>
                <w:color w:val="000000"/>
                <w:sz w:val="24"/>
                <w:szCs w:val="24"/>
                <w:u w:val="none"/>
              </w:rPr>
            </w:pPr>
          </w:p>
        </w:tc>
        <w:tc>
          <w:tcPr>
            <w:tcW w:w="662" w:type="dxa"/>
            <w:tcBorders>
              <w:top w:val="nil"/>
              <w:left w:val="nil"/>
              <w:bottom w:val="nil"/>
              <w:right w:val="nil"/>
            </w:tcBorders>
            <w:shd w:val="clear" w:color="auto" w:fill="auto"/>
            <w:noWrap/>
            <w:vAlign w:val="bottom"/>
          </w:tcPr>
          <w:p>
            <w:pPr>
              <w:rPr>
                <w:rFonts w:hint="default" w:ascii="Calibri" w:hAnsi="Calibri" w:cs="Calibri"/>
                <w:i w:val="0"/>
                <w:iCs w:val="0"/>
                <w:color w:val="000000"/>
                <w:sz w:val="24"/>
                <w:szCs w:val="24"/>
                <w:u w:val="none"/>
              </w:rPr>
            </w:pPr>
          </w:p>
        </w:tc>
        <w:tc>
          <w:tcPr>
            <w:tcW w:w="1463" w:type="dxa"/>
            <w:gridSpan w:val="2"/>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07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功能科目编码</w:t>
            </w:r>
          </w:p>
        </w:tc>
        <w:tc>
          <w:tcPr>
            <w:tcW w:w="291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功能科目名称</w:t>
            </w:r>
          </w:p>
        </w:tc>
        <w:tc>
          <w:tcPr>
            <w:tcW w:w="993" w:type="dxa"/>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58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上年结转</w:t>
            </w:r>
          </w:p>
        </w:tc>
        <w:tc>
          <w:tcPr>
            <w:tcW w:w="354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财政拨款</w:t>
            </w:r>
          </w:p>
        </w:tc>
        <w:tc>
          <w:tcPr>
            <w:tcW w:w="600"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教育收费资金收入</w:t>
            </w:r>
          </w:p>
        </w:tc>
        <w:tc>
          <w:tcPr>
            <w:tcW w:w="818"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事业收入</w:t>
            </w:r>
          </w:p>
        </w:tc>
        <w:tc>
          <w:tcPr>
            <w:tcW w:w="470"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事业单位经营收入</w:t>
            </w:r>
          </w:p>
        </w:tc>
        <w:tc>
          <w:tcPr>
            <w:tcW w:w="537"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附属单位上缴收入</w:t>
            </w:r>
          </w:p>
        </w:tc>
        <w:tc>
          <w:tcPr>
            <w:tcW w:w="463"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上级补助收入</w:t>
            </w:r>
          </w:p>
        </w:tc>
        <w:tc>
          <w:tcPr>
            <w:tcW w:w="662"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其他收入</w:t>
            </w:r>
          </w:p>
        </w:tc>
        <w:tc>
          <w:tcPr>
            <w:tcW w:w="146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使用非财政拨款结余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90" w:hRule="atLeast"/>
        </w:trPr>
        <w:tc>
          <w:tcPr>
            <w:tcW w:w="207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291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993" w:type="dxa"/>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5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小计</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一般公共预算拨款收入</w:t>
            </w:r>
          </w:p>
        </w:tc>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政府性基金预算拨款收入</w:t>
            </w:r>
          </w:p>
        </w:tc>
        <w:tc>
          <w:tcPr>
            <w:tcW w:w="8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国有资本经营预算收入</w:t>
            </w:r>
          </w:p>
        </w:tc>
        <w:tc>
          <w:tcPr>
            <w:tcW w:w="60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18"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470"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537"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463"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662"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46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075"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2914"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993"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82"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996"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022"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683"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47"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600"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818"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470"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37"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463"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662"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463" w:type="dxa"/>
            <w:gridSpan w:val="2"/>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2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合计</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669.63</w:t>
            </w:r>
          </w:p>
        </w:tc>
        <w:tc>
          <w:tcPr>
            <w:tcW w:w="5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121.98</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121.98</w:t>
            </w: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547.64</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4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4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8" w:hRule="atLeast"/>
        </w:trPr>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208</w:t>
            </w:r>
          </w:p>
        </w:tc>
        <w:tc>
          <w:tcPr>
            <w:tcW w:w="2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社会保障和就业支出</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15.46</w:t>
            </w:r>
          </w:p>
        </w:tc>
        <w:tc>
          <w:tcPr>
            <w:tcW w:w="5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15.46</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15.46</w:t>
            </w: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4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4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05</w:t>
            </w:r>
          </w:p>
        </w:tc>
        <w:tc>
          <w:tcPr>
            <w:tcW w:w="2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行政事业单位养老支出</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15.46</w:t>
            </w:r>
          </w:p>
        </w:tc>
        <w:tc>
          <w:tcPr>
            <w:tcW w:w="5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15.46</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15.46</w:t>
            </w: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4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4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2080505</w:t>
            </w:r>
          </w:p>
        </w:tc>
        <w:tc>
          <w:tcPr>
            <w:tcW w:w="2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机关事业单位基本养老保险缴费支出</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10.31</w:t>
            </w:r>
          </w:p>
        </w:tc>
        <w:tc>
          <w:tcPr>
            <w:tcW w:w="5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10.31</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10.31</w:t>
            </w: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4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4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2080506</w:t>
            </w:r>
          </w:p>
        </w:tc>
        <w:tc>
          <w:tcPr>
            <w:tcW w:w="2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机关事业单位职业年金缴费支出</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5.15</w:t>
            </w:r>
          </w:p>
        </w:tc>
        <w:tc>
          <w:tcPr>
            <w:tcW w:w="5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5.15</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5.15</w:t>
            </w: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4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4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210</w:t>
            </w:r>
          </w:p>
        </w:tc>
        <w:tc>
          <w:tcPr>
            <w:tcW w:w="2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卫生健康支出</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633.95</w:t>
            </w:r>
          </w:p>
        </w:tc>
        <w:tc>
          <w:tcPr>
            <w:tcW w:w="5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106.52</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106.52</w:t>
            </w: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527.43</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4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4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03</w:t>
            </w:r>
          </w:p>
        </w:tc>
        <w:tc>
          <w:tcPr>
            <w:tcW w:w="2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基层医疗卫生机构</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629.43</w:t>
            </w:r>
          </w:p>
        </w:tc>
        <w:tc>
          <w:tcPr>
            <w:tcW w:w="5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102.01</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102.01</w:t>
            </w: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527.43</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4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4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2100302</w:t>
            </w:r>
          </w:p>
        </w:tc>
        <w:tc>
          <w:tcPr>
            <w:tcW w:w="2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乡镇卫生院</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629.43</w:t>
            </w:r>
          </w:p>
        </w:tc>
        <w:tc>
          <w:tcPr>
            <w:tcW w:w="5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102.01</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102.01</w:t>
            </w: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527.43</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4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4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11</w:t>
            </w:r>
          </w:p>
        </w:tc>
        <w:tc>
          <w:tcPr>
            <w:tcW w:w="2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行政事业单位医疗</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4.51</w:t>
            </w:r>
          </w:p>
        </w:tc>
        <w:tc>
          <w:tcPr>
            <w:tcW w:w="5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4.51</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4.51</w:t>
            </w: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4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4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2101102</w:t>
            </w:r>
          </w:p>
        </w:tc>
        <w:tc>
          <w:tcPr>
            <w:tcW w:w="2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事业单位医疗</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4.51</w:t>
            </w:r>
          </w:p>
        </w:tc>
        <w:tc>
          <w:tcPr>
            <w:tcW w:w="5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4.51</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4.51</w:t>
            </w: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4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4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221</w:t>
            </w:r>
          </w:p>
        </w:tc>
        <w:tc>
          <w:tcPr>
            <w:tcW w:w="2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住房保障支出</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20.22</w:t>
            </w:r>
          </w:p>
        </w:tc>
        <w:tc>
          <w:tcPr>
            <w:tcW w:w="5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20.22</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4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4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02</w:t>
            </w:r>
          </w:p>
        </w:tc>
        <w:tc>
          <w:tcPr>
            <w:tcW w:w="2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住房改革支出</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20.22</w:t>
            </w:r>
          </w:p>
        </w:tc>
        <w:tc>
          <w:tcPr>
            <w:tcW w:w="5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20.22</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4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4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20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2210201</w:t>
            </w:r>
          </w:p>
        </w:tc>
        <w:tc>
          <w:tcPr>
            <w:tcW w:w="2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住房公积金</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20.22</w:t>
            </w:r>
          </w:p>
        </w:tc>
        <w:tc>
          <w:tcPr>
            <w:tcW w:w="5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6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8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18"/>
                <w:szCs w:val="18"/>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20.22</w:t>
            </w:r>
          </w:p>
        </w:tc>
        <w:tc>
          <w:tcPr>
            <w:tcW w:w="4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53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46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66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c>
          <w:tcPr>
            <w:tcW w:w="14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18"/>
                <w:szCs w:val="18"/>
                <w:u w:val="none"/>
              </w:rPr>
            </w:pPr>
          </w:p>
        </w:tc>
      </w:tr>
    </w:tbl>
    <w:p>
      <w:pPr>
        <w:numPr>
          <w:ilvl w:val="0"/>
          <w:numId w:val="2"/>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《部门支出总表》</w:t>
      </w:r>
    </w:p>
    <w:p>
      <w:pPr>
        <w:pStyle w:val="2"/>
        <w:numPr>
          <w:ilvl w:val="0"/>
          <w:numId w:val="0"/>
        </w:numPr>
        <w:rPr>
          <w:rFonts w:hint="eastAsia" w:ascii="仿宋" w:hAnsi="仿宋" w:eastAsia="仿宋" w:cs="仿宋"/>
          <w:color w:val="auto"/>
          <w:sz w:val="32"/>
          <w:szCs w:val="32"/>
        </w:rPr>
      </w:pPr>
    </w:p>
    <w:tbl>
      <w:tblPr>
        <w:tblStyle w:val="5"/>
        <w:tblW w:w="1318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289"/>
        <w:gridCol w:w="4538"/>
        <w:gridCol w:w="2262"/>
        <w:gridCol w:w="2232"/>
        <w:gridCol w:w="18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295"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4545"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2265"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2235"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845"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0" w:type="auto"/>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部门支出总表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填报单位[403022]兴国县方太乡卫生院</w:t>
            </w:r>
          </w:p>
        </w:tc>
        <w:tc>
          <w:tcPr>
            <w:tcW w:w="0" w:type="auto"/>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支出功能分类科目</w:t>
            </w:r>
          </w:p>
        </w:tc>
        <w:tc>
          <w:tcPr>
            <w:tcW w:w="2265"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0" w:type="auto"/>
            <w:vMerge w:val="restar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基本支出</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科目编码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科目名称 </w:t>
            </w:r>
          </w:p>
        </w:tc>
        <w:tc>
          <w:tcPr>
            <w:tcW w:w="2265" w:type="dxa"/>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669.63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669.63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社会保障和就业支出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行政事业单位养老支出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2080505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机关事业单位基本养老保险缴费支出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2080506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机关事业单位职业年金缴费支出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633.95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633.95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基层医疗卫生机构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629.43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629.43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2100302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乡镇卫生院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629.43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629.43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行政事业单位医疗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2101102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事业单位医疗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住房保障支出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住房改革支出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2210201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住房公积金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2"/>
                <w:szCs w:val="22"/>
                <w:u w:val="none"/>
              </w:rPr>
            </w:pPr>
          </w:p>
        </w:tc>
      </w:tr>
    </w:tbl>
    <w:p>
      <w:pPr>
        <w:pStyle w:val="2"/>
        <w:numPr>
          <w:ilvl w:val="0"/>
          <w:numId w:val="0"/>
        </w:numPr>
        <w:rPr>
          <w:rFonts w:hint="eastAsia" w:eastAsia="仿宋"/>
          <w:color w:val="auto"/>
          <w:lang w:eastAsia="zh-CN"/>
        </w:rPr>
        <w:sectPr>
          <w:pgSz w:w="16840" w:h="11910" w:orient="landscape"/>
          <w:pgMar w:top="91" w:right="1520" w:bottom="125" w:left="280" w:header="720" w:footer="720" w:gutter="0"/>
          <w:cols w:space="0" w:num="1"/>
          <w:rtlGutter w:val="0"/>
          <w:docGrid w:linePitch="0" w:charSpace="0"/>
        </w:sectPr>
      </w:pPr>
    </w:p>
    <w:p>
      <w:pPr>
        <w:pStyle w:val="2"/>
        <w:numPr>
          <w:ilvl w:val="0"/>
          <w:numId w:val="0"/>
        </w:numPr>
        <w:rPr>
          <w:rFonts w:ascii="仿宋" w:hAnsi="仿宋" w:eastAsia="仿宋" w:cs="仿宋"/>
          <w:color w:val="auto"/>
          <w:sz w:val="32"/>
          <w:szCs w:val="32"/>
        </w:rPr>
      </w:pPr>
    </w:p>
    <w:p>
      <w:pPr>
        <w:numPr>
          <w:ilvl w:val="0"/>
          <w:numId w:val="2"/>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《部门支出总表》</w:t>
      </w:r>
    </w:p>
    <w:tbl>
      <w:tblPr>
        <w:tblStyle w:val="5"/>
        <w:tblW w:w="1359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420"/>
        <w:gridCol w:w="2017"/>
        <w:gridCol w:w="2488"/>
        <w:gridCol w:w="985"/>
        <w:gridCol w:w="1845"/>
        <w:gridCol w:w="1370"/>
        <w:gridCol w:w="14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12125" w:type="dxa"/>
            <w:gridSpan w:val="6"/>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财政拨款收支总表</w:t>
            </w:r>
          </w:p>
        </w:tc>
        <w:tc>
          <w:tcPr>
            <w:tcW w:w="1465"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3420"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[403022]兴国县方太乡卫生院</w:t>
            </w:r>
          </w:p>
        </w:tc>
        <w:tc>
          <w:tcPr>
            <w:tcW w:w="2017"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2488"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985"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1845"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1370" w:type="dxa"/>
            <w:tcBorders>
              <w:top w:val="nil"/>
              <w:left w:val="nil"/>
              <w:bottom w:val="nil"/>
              <w:right w:val="nil"/>
            </w:tcBorders>
            <w:shd w:val="clear" w:color="auto" w:fill="auto"/>
            <w:noWrap/>
            <w:vAlign w:val="center"/>
          </w:tcPr>
          <w:p>
            <w:pPr>
              <w:jc w:val="right"/>
              <w:rPr>
                <w:rFonts w:hint="eastAsia" w:ascii="宋体" w:hAnsi="宋体" w:eastAsia="宋体" w:cs="宋体"/>
                <w:i w:val="0"/>
                <w:iCs w:val="0"/>
                <w:color w:val="000000"/>
                <w:sz w:val="24"/>
                <w:szCs w:val="24"/>
                <w:u w:val="none"/>
              </w:rPr>
            </w:pPr>
          </w:p>
        </w:tc>
        <w:tc>
          <w:tcPr>
            <w:tcW w:w="1465"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543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      入</w:t>
            </w:r>
          </w:p>
        </w:tc>
        <w:tc>
          <w:tcPr>
            <w:tcW w:w="815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支出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7" w:hRule="atLeast"/>
        </w:trPr>
        <w:tc>
          <w:tcPr>
            <w:tcW w:w="3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预算数</w:t>
            </w:r>
          </w:p>
        </w:tc>
        <w:tc>
          <w:tcPr>
            <w:tcW w:w="2488"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项目(按支出功能科目类级)</w:t>
            </w:r>
          </w:p>
        </w:tc>
        <w:tc>
          <w:tcPr>
            <w:tcW w:w="98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184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一般公共预算支出</w:t>
            </w:r>
          </w:p>
        </w:tc>
        <w:tc>
          <w:tcPr>
            <w:tcW w:w="13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政府性基金预算支出</w:t>
            </w:r>
          </w:p>
        </w:tc>
        <w:tc>
          <w:tcPr>
            <w:tcW w:w="1465"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国有资本经营预算支出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3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一、财政拨款收入</w:t>
            </w:r>
          </w:p>
        </w:tc>
        <w:tc>
          <w:tcPr>
            <w:tcW w:w="20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121.9820</w:t>
            </w:r>
          </w:p>
        </w:tc>
        <w:tc>
          <w:tcPr>
            <w:tcW w:w="2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一、本年支出</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121.9820</w:t>
            </w:r>
          </w:p>
        </w:tc>
        <w:tc>
          <w:tcPr>
            <w:tcW w:w="1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121.9820</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4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3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一般公共预算拨款收入</w:t>
            </w:r>
          </w:p>
        </w:tc>
        <w:tc>
          <w:tcPr>
            <w:tcW w:w="20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121.9820</w:t>
            </w:r>
          </w:p>
        </w:tc>
        <w:tc>
          <w:tcPr>
            <w:tcW w:w="2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社会保障和就业支出</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15.4604</w:t>
            </w:r>
          </w:p>
        </w:tc>
        <w:tc>
          <w:tcPr>
            <w:tcW w:w="1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15.4604</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4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3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政府性基金预算拨款收入</w:t>
            </w:r>
          </w:p>
        </w:tc>
        <w:tc>
          <w:tcPr>
            <w:tcW w:w="20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卫生健康支出</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106.5216</w:t>
            </w:r>
          </w:p>
        </w:tc>
        <w:tc>
          <w:tcPr>
            <w:tcW w:w="1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106.5216</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4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3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国有资本经营预算收入</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2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4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3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4"/>
                <w:szCs w:val="24"/>
                <w:u w:val="none"/>
              </w:rPr>
            </w:pP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2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4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3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二、上年结转</w:t>
            </w:r>
          </w:p>
        </w:tc>
        <w:tc>
          <w:tcPr>
            <w:tcW w:w="2017"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right"/>
              <w:rPr>
                <w:rFonts w:hint="eastAsia" w:ascii="宋体" w:hAnsi="宋体" w:eastAsia="宋体" w:cs="宋体"/>
                <w:i w:val="0"/>
                <w:iCs w:val="0"/>
                <w:color w:val="000000"/>
                <w:sz w:val="24"/>
                <w:szCs w:val="24"/>
                <w:u w:val="none"/>
              </w:rPr>
            </w:pPr>
          </w:p>
        </w:tc>
        <w:tc>
          <w:tcPr>
            <w:tcW w:w="2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二、结转下年</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4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34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一般公共预算拨款结转</w:t>
            </w:r>
          </w:p>
        </w:tc>
        <w:tc>
          <w:tcPr>
            <w:tcW w:w="201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2"/>
                <w:szCs w:val="22"/>
                <w:u w:val="none"/>
              </w:rPr>
            </w:pPr>
          </w:p>
        </w:tc>
        <w:tc>
          <w:tcPr>
            <w:tcW w:w="2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4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3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政府性基金预算拨款结转</w:t>
            </w:r>
          </w:p>
        </w:tc>
        <w:tc>
          <w:tcPr>
            <w:tcW w:w="20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4"/>
                <w:szCs w:val="24"/>
                <w:u w:val="none"/>
              </w:rPr>
            </w:pPr>
          </w:p>
        </w:tc>
        <w:tc>
          <w:tcPr>
            <w:tcW w:w="2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4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3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4"/>
                <w:szCs w:val="24"/>
                <w:u w:val="none"/>
              </w:rPr>
            </w:pP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2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4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3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4"/>
                <w:szCs w:val="24"/>
                <w:u w:val="none"/>
              </w:rPr>
            </w:pP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2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4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34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收入总计</w:t>
            </w:r>
          </w:p>
        </w:tc>
        <w:tc>
          <w:tcPr>
            <w:tcW w:w="20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121.98</w:t>
            </w:r>
          </w:p>
        </w:tc>
        <w:tc>
          <w:tcPr>
            <w:tcW w:w="24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支出总计</w:t>
            </w:r>
          </w:p>
        </w:tc>
        <w:tc>
          <w:tcPr>
            <w:tcW w:w="9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121.98</w:t>
            </w:r>
          </w:p>
        </w:tc>
        <w:tc>
          <w:tcPr>
            <w:tcW w:w="1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121.98</w:t>
            </w:r>
          </w:p>
        </w:tc>
        <w:tc>
          <w:tcPr>
            <w:tcW w:w="1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c>
          <w:tcPr>
            <w:tcW w:w="146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p>
        </w:tc>
      </w:tr>
    </w:tbl>
    <w:p>
      <w:pPr>
        <w:pStyle w:val="2"/>
        <w:rPr>
          <w:rFonts w:hint="eastAsia" w:eastAsia="仿宋"/>
          <w:color w:val="auto"/>
          <w:lang w:eastAsia="zh-CN"/>
        </w:rPr>
        <w:sectPr>
          <w:pgSz w:w="16840" w:h="11910" w:orient="landscape"/>
          <w:pgMar w:top="1680" w:right="1520" w:bottom="1540" w:left="280" w:header="720" w:footer="720" w:gutter="0"/>
          <w:cols w:space="720" w:num="1"/>
        </w:sectPr>
      </w:pPr>
    </w:p>
    <w:p>
      <w:pPr>
        <w:numPr>
          <w:ilvl w:val="0"/>
          <w:numId w:val="0"/>
        </w:numPr>
        <w:spacing w:line="560" w:lineRule="exact"/>
        <w:ind w:leftChars="0"/>
        <w:rPr>
          <w:color w:val="auto"/>
        </w:rPr>
      </w:pPr>
    </w:p>
    <w:p>
      <w:pPr>
        <w:numPr>
          <w:ilvl w:val="0"/>
          <w:numId w:val="2"/>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《一般公共预算支出表》</w:t>
      </w:r>
    </w:p>
    <w:tbl>
      <w:tblPr>
        <w:tblStyle w:val="5"/>
        <w:tblW w:w="126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336"/>
        <w:gridCol w:w="4665"/>
        <w:gridCol w:w="1950"/>
        <w:gridCol w:w="2265"/>
        <w:gridCol w:w="20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8" w:hRule="atLeast"/>
        </w:trPr>
        <w:tc>
          <w:tcPr>
            <w:tcW w:w="1755"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4665"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950"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2265"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2025"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0" w:type="auto"/>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一般公共预算支出表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[403022]兴国县方太乡卫生院</w:t>
            </w:r>
          </w:p>
        </w:tc>
        <w:tc>
          <w:tcPr>
            <w:tcW w:w="0" w:type="auto"/>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支出功能分类科目</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科目编码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科目名称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121.98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121.98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社会保障和就业支出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行政事业单位养老支出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2080505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机关事业单位基本养老保险缴费支出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2080506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机关事业单位职业年金缴费支出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106.52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106.52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基层医疗卫生机构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102.01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102.01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2100302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乡镇卫生院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102.01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102.01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行政事业单位医疗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2101102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事业单位医疗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auto"/>
            <w:noWrap/>
            <w:vAlign w:val="bottom"/>
          </w:tcPr>
          <w:p>
            <w:pPr>
              <w:rPr>
                <w:rFonts w:hint="eastAsia" w:ascii="Calibri" w:hAnsi="Calibri" w:cs="Calibri"/>
                <w:i w:val="0"/>
                <w:iCs w:val="0"/>
                <w:color w:val="000000"/>
                <w:sz w:val="22"/>
                <w:szCs w:val="22"/>
                <w:u w:val="none"/>
              </w:rPr>
            </w:pPr>
          </w:p>
        </w:tc>
        <w:tc>
          <w:tcPr>
            <w:tcW w:w="0" w:type="auto"/>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0" w:type="auto"/>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0" w:type="auto"/>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0" w:type="auto"/>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r>
    </w:tbl>
    <w:p>
      <w:pPr>
        <w:pStyle w:val="2"/>
        <w:rPr>
          <w:color w:val="auto"/>
        </w:rPr>
      </w:pPr>
    </w:p>
    <w:p>
      <w:pPr>
        <w:numPr>
          <w:ilvl w:val="0"/>
          <w:numId w:val="2"/>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《一般公共预算基本支出表》</w:t>
      </w:r>
    </w:p>
    <w:tbl>
      <w:tblPr>
        <w:tblStyle w:val="5"/>
        <w:tblW w:w="128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336"/>
        <w:gridCol w:w="3816"/>
        <w:gridCol w:w="1965"/>
        <w:gridCol w:w="2175"/>
        <w:gridCol w:w="20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940"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3690"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965"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2175"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2070"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0" w:type="auto"/>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一般公共预算基本支出表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[403022]兴国县方太乡卫生院</w:t>
            </w:r>
          </w:p>
        </w:tc>
        <w:tc>
          <w:tcPr>
            <w:tcW w:w="0" w:type="auto"/>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支出经济分类科目</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2022年基本支出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科目编码</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科目名称 </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人员经费</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121.98</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121.98</w:t>
            </w:r>
          </w:p>
        </w:tc>
        <w:tc>
          <w:tcPr>
            <w:tcW w:w="20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工资福利支出</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121.98</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121.98</w:t>
            </w:r>
          </w:p>
        </w:tc>
        <w:tc>
          <w:tcPr>
            <w:tcW w:w="20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基本工资</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64.28</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64.28</w:t>
            </w:r>
          </w:p>
        </w:tc>
        <w:tc>
          <w:tcPr>
            <w:tcW w:w="20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津贴补贴</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37.73</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37.73</w:t>
            </w:r>
          </w:p>
        </w:tc>
        <w:tc>
          <w:tcPr>
            <w:tcW w:w="20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机关事业单位基本养老保险缴费</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10.31</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10.31</w:t>
            </w:r>
          </w:p>
        </w:tc>
        <w:tc>
          <w:tcPr>
            <w:tcW w:w="20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职业年金缴费</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5.15</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5.15</w:t>
            </w:r>
          </w:p>
        </w:tc>
        <w:tc>
          <w:tcPr>
            <w:tcW w:w="20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30110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职工基本医疗保险缴费</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4.51</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4.51</w:t>
            </w:r>
          </w:p>
        </w:tc>
        <w:tc>
          <w:tcPr>
            <w:tcW w:w="20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bl>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numPr>
          <w:ilvl w:val="0"/>
          <w:numId w:val="2"/>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《一般公共预算“三公”经费支出表》</w:t>
      </w:r>
    </w:p>
    <w:tbl>
      <w:tblPr>
        <w:tblStyle w:val="5"/>
        <w:tblW w:w="149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296"/>
        <w:gridCol w:w="2404"/>
        <w:gridCol w:w="2531"/>
        <w:gridCol w:w="1590"/>
        <w:gridCol w:w="1365"/>
        <w:gridCol w:w="1509"/>
        <w:gridCol w:w="12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4296" w:type="dxa"/>
            <w:tcBorders>
              <w:top w:val="nil"/>
              <w:left w:val="nil"/>
              <w:bottom w:val="nil"/>
              <w:right w:val="nil"/>
            </w:tcBorders>
            <w:shd w:val="clear" w:color="auto" w:fill="auto"/>
            <w:noWrap/>
            <w:vAlign w:val="bottom"/>
          </w:tcPr>
          <w:p>
            <w:pPr>
              <w:rPr>
                <w:rFonts w:hint="eastAsia" w:ascii="Calibri" w:hAnsi="Calibri" w:cs="Calibri"/>
                <w:i w:val="0"/>
                <w:iCs w:val="0"/>
                <w:color w:val="000000"/>
                <w:sz w:val="22"/>
                <w:szCs w:val="22"/>
                <w:u w:val="none"/>
              </w:rPr>
            </w:pPr>
          </w:p>
        </w:tc>
        <w:tc>
          <w:tcPr>
            <w:tcW w:w="2404"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2531"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590"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4079" w:type="dxa"/>
            <w:gridSpan w:val="3"/>
            <w:tcBorders>
              <w:top w:val="nil"/>
              <w:left w:val="nil"/>
              <w:bottom w:val="nil"/>
              <w:right w:val="nil"/>
            </w:tcBorders>
            <w:shd w:val="clear" w:color="auto" w:fill="auto"/>
            <w:noWrap/>
            <w:vAlign w:val="bottom"/>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4900" w:type="dxa"/>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一般公共预算“三公”经费支出表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4296"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填报单位[403022]兴国县方太乡卫生院</w:t>
            </w:r>
          </w:p>
        </w:tc>
        <w:tc>
          <w:tcPr>
            <w:tcW w:w="2404"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2531"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159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1365" w:type="dxa"/>
            <w:tcBorders>
              <w:top w:val="nil"/>
              <w:left w:val="nil"/>
              <w:bottom w:val="nil"/>
              <w:right w:val="nil"/>
            </w:tcBorders>
            <w:shd w:val="clear" w:color="auto" w:fill="auto"/>
            <w:noWrap/>
            <w:vAlign w:val="bottom"/>
          </w:tcPr>
          <w:p>
            <w:pPr>
              <w:rPr>
                <w:rFonts w:hint="default" w:ascii="Calibri" w:hAnsi="Calibri" w:cs="Calibri"/>
                <w:i w:val="0"/>
                <w:iCs w:val="0"/>
                <w:color w:val="000000"/>
                <w:sz w:val="24"/>
                <w:szCs w:val="24"/>
                <w:u w:val="none"/>
              </w:rPr>
            </w:pPr>
          </w:p>
        </w:tc>
        <w:tc>
          <w:tcPr>
            <w:tcW w:w="1509" w:type="dxa"/>
            <w:tcBorders>
              <w:top w:val="nil"/>
              <w:left w:val="nil"/>
              <w:bottom w:val="nil"/>
              <w:right w:val="nil"/>
            </w:tcBorders>
            <w:shd w:val="clear" w:color="auto" w:fill="auto"/>
            <w:noWrap/>
            <w:vAlign w:val="bottom"/>
          </w:tcPr>
          <w:p>
            <w:pPr>
              <w:rPr>
                <w:rFonts w:hint="default" w:ascii="Calibri" w:hAnsi="Calibri" w:cs="Calibri"/>
                <w:i w:val="0"/>
                <w:iCs w:val="0"/>
                <w:color w:val="000000"/>
                <w:sz w:val="24"/>
                <w:szCs w:val="24"/>
                <w:u w:val="none"/>
              </w:rPr>
            </w:pPr>
          </w:p>
        </w:tc>
        <w:tc>
          <w:tcPr>
            <w:tcW w:w="1205"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429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部门编码</w:t>
            </w:r>
          </w:p>
        </w:tc>
        <w:tc>
          <w:tcPr>
            <w:tcW w:w="240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部门名称</w:t>
            </w:r>
          </w:p>
        </w:tc>
        <w:tc>
          <w:tcPr>
            <w:tcW w:w="253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15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因公出国(境)费</w:t>
            </w:r>
          </w:p>
        </w:tc>
        <w:tc>
          <w:tcPr>
            <w:tcW w:w="13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公务接待费</w:t>
            </w:r>
          </w:p>
        </w:tc>
        <w:tc>
          <w:tcPr>
            <w:tcW w:w="150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公务用车运行维护费</w:t>
            </w:r>
          </w:p>
        </w:tc>
        <w:tc>
          <w:tcPr>
            <w:tcW w:w="12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公务用车购置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429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40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253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5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5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2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4296"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2404"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2531"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590"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365"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509"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20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4296" w:type="dxa"/>
            <w:tcBorders>
              <w:top w:val="single" w:color="000000" w:sz="4" w:space="0"/>
              <w:left w:val="single" w:color="000000" w:sz="4" w:space="0"/>
              <w:bottom w:val="single" w:color="000000" w:sz="4" w:space="0"/>
              <w:right w:val="nil"/>
            </w:tcBorders>
            <w:shd w:val="clear" w:color="auto" w:fill="auto"/>
            <w:vAlign w:val="center"/>
          </w:tcPr>
          <w:p>
            <w:pPr>
              <w:jc w:val="left"/>
              <w:rPr>
                <w:rFonts w:hint="eastAsia" w:ascii="宋体" w:hAnsi="宋体" w:eastAsia="宋体" w:cs="宋体"/>
                <w:i w:val="0"/>
                <w:iCs w:val="0"/>
                <w:color w:val="000000"/>
                <w:sz w:val="24"/>
                <w:szCs w:val="24"/>
                <w:u w:val="none"/>
              </w:rPr>
            </w:pPr>
          </w:p>
        </w:tc>
        <w:tc>
          <w:tcPr>
            <w:tcW w:w="2404" w:type="dxa"/>
            <w:tcBorders>
              <w:top w:val="single" w:color="000000" w:sz="4" w:space="0"/>
              <w:left w:val="single" w:color="000000" w:sz="4" w:space="0"/>
              <w:bottom w:val="single" w:color="000000" w:sz="4" w:space="0"/>
              <w:right w:val="nil"/>
            </w:tcBorders>
            <w:shd w:val="clear" w:color="auto" w:fill="auto"/>
            <w:vAlign w:val="center"/>
          </w:tcPr>
          <w:p>
            <w:pPr>
              <w:jc w:val="left"/>
              <w:rPr>
                <w:rFonts w:hint="eastAsia" w:ascii="宋体" w:hAnsi="宋体" w:eastAsia="宋体" w:cs="宋体"/>
                <w:i w:val="0"/>
                <w:iCs w:val="0"/>
                <w:color w:val="000000"/>
                <w:sz w:val="24"/>
                <w:szCs w:val="24"/>
                <w:u w:val="none"/>
              </w:rPr>
            </w:pPr>
          </w:p>
        </w:tc>
        <w:tc>
          <w:tcPr>
            <w:tcW w:w="25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1365" w:type="dxa"/>
            <w:tcBorders>
              <w:top w:val="single" w:color="000000" w:sz="4" w:space="0"/>
              <w:left w:val="single" w:color="000000" w:sz="4" w:space="0"/>
              <w:bottom w:val="single" w:color="000000" w:sz="4" w:space="0"/>
              <w:right w:val="nil"/>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150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4296"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2404"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2531"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590"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365"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509"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205"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r>
    </w:tbl>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numPr>
          <w:ilvl w:val="0"/>
          <w:numId w:val="2"/>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《政府性基金预算支出表》</w:t>
      </w:r>
    </w:p>
    <w:tbl>
      <w:tblPr>
        <w:tblStyle w:val="5"/>
        <w:tblW w:w="1438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755"/>
        <w:gridCol w:w="2955"/>
        <w:gridCol w:w="3127"/>
        <w:gridCol w:w="3125"/>
        <w:gridCol w:w="34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755"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2955"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3127"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6550" w:type="dxa"/>
            <w:gridSpan w:val="2"/>
            <w:tcBorders>
              <w:top w:val="nil"/>
              <w:left w:val="nil"/>
              <w:bottom w:val="nil"/>
              <w:right w:val="nil"/>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注：若为空表，则为该部门（单位）无政府性基金收支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14387" w:type="dxa"/>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政府性基金预算支出表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755" w:type="dxa"/>
            <w:tcBorders>
              <w:top w:val="nil"/>
              <w:left w:val="nil"/>
              <w:bottom w:val="nil"/>
              <w:right w:val="nil"/>
            </w:tcBorders>
            <w:shd w:val="clear" w:color="auto" w:fill="auto"/>
            <w:noWrap/>
            <w:vAlign w:val="center"/>
          </w:tcPr>
          <w:p>
            <w:pPr>
              <w:jc w:val="left"/>
              <w:rPr>
                <w:rFonts w:hint="eastAsia" w:ascii="宋体" w:hAnsi="宋体" w:eastAsia="宋体" w:cs="宋体"/>
                <w:i w:val="0"/>
                <w:iCs w:val="0"/>
                <w:color w:val="000000"/>
                <w:sz w:val="24"/>
                <w:szCs w:val="24"/>
                <w:u w:val="none"/>
              </w:rPr>
            </w:pPr>
          </w:p>
        </w:tc>
        <w:tc>
          <w:tcPr>
            <w:tcW w:w="2955"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3127"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3125"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3425"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471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支出功能分类科目</w:t>
            </w:r>
          </w:p>
        </w:tc>
        <w:tc>
          <w:tcPr>
            <w:tcW w:w="96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科目编码</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科目名称 </w:t>
            </w:r>
          </w:p>
        </w:tc>
        <w:tc>
          <w:tcPr>
            <w:tcW w:w="31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3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基本支出</w:t>
            </w:r>
          </w:p>
        </w:tc>
        <w:tc>
          <w:tcPr>
            <w:tcW w:w="3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31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3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3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7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9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31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3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3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bl>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numPr>
          <w:ilvl w:val="0"/>
          <w:numId w:val="2"/>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w:t>
      </w:r>
      <w:r>
        <w:rPr>
          <w:rFonts w:hint="eastAsia" w:ascii="仿宋" w:hAnsi="仿宋" w:eastAsia="仿宋" w:cs="仿宋"/>
          <w:color w:val="auto"/>
          <w:sz w:val="32"/>
          <w:szCs w:val="32"/>
        </w:rPr>
        <w:t>预算支出表》</w:t>
      </w:r>
    </w:p>
    <w:tbl>
      <w:tblPr>
        <w:tblStyle w:val="5"/>
        <w:tblW w:w="127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334"/>
        <w:gridCol w:w="2564"/>
        <w:gridCol w:w="1751"/>
        <w:gridCol w:w="2956"/>
        <w:gridCol w:w="35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755"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2610"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8415" w:type="dxa"/>
            <w:gridSpan w:val="3"/>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注：若为空表，则为该部门（单位）无国有资本经营预算收支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0" w:type="auto"/>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国有资本经营预算支出表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填报单位:[403022]兴国县方太乡卫生院</w:t>
            </w:r>
          </w:p>
        </w:tc>
        <w:tc>
          <w:tcPr>
            <w:tcW w:w="0" w:type="auto"/>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支出功能分类科目</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科目编码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科目名称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bl>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numPr>
          <w:ilvl w:val="0"/>
          <w:numId w:val="2"/>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《部门整体支出绩效目标表》</w:t>
      </w:r>
    </w:p>
    <w:p>
      <w:pPr>
        <w:pStyle w:val="2"/>
        <w:rPr>
          <w:color w:val="auto"/>
        </w:rPr>
      </w:pPr>
    </w:p>
    <w:p>
      <w:pPr>
        <w:pStyle w:val="2"/>
        <w:rPr>
          <w:rFonts w:hint="eastAsia" w:eastAsia="仿宋_GB2312"/>
          <w:color w:val="auto"/>
          <w:lang w:eastAsia="zh-CN"/>
        </w:rPr>
      </w:pPr>
      <w:r>
        <w:rPr>
          <w:rFonts w:hint="eastAsia"/>
          <w:color w:val="auto"/>
          <w:lang w:eastAsia="zh-CN"/>
        </w:rPr>
        <w:t>无</w:t>
      </w: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numPr>
          <w:ilvl w:val="0"/>
          <w:numId w:val="2"/>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《项目支出绩效目标表》</w:t>
      </w:r>
    </w:p>
    <w:p>
      <w:pPr>
        <w:pStyle w:val="2"/>
        <w:ind w:firstLine="320" w:firstLineChars="100"/>
        <w:rPr>
          <w:rFonts w:hint="eastAsia" w:eastAsia="仿宋"/>
          <w:color w:val="auto"/>
          <w:lang w:eastAsia="zh-CN"/>
        </w:rPr>
        <w:sectPr>
          <w:pgSz w:w="16840" w:h="11910" w:orient="landscape"/>
          <w:pgMar w:top="884" w:right="1520" w:bottom="1259" w:left="280" w:header="720" w:footer="720" w:gutter="0"/>
          <w:cols w:space="720" w:num="1"/>
        </w:sectPr>
      </w:pPr>
      <w:r>
        <w:rPr>
          <w:rFonts w:hint="eastAsia" w:eastAsia="仿宋"/>
          <w:color w:val="auto"/>
          <w:lang w:eastAsia="zh-CN"/>
        </w:rPr>
        <w:t>无</w:t>
      </w:r>
    </w:p>
    <w:p>
      <w:pPr>
        <w:pStyle w:val="2"/>
        <w:rPr>
          <w:rFonts w:hint="eastAsia" w:eastAsia="仿宋"/>
          <w:color w:val="auto"/>
          <w:lang w:eastAsia="zh-CN"/>
        </w:rPr>
      </w:pPr>
    </w:p>
    <w:p>
      <w:pPr>
        <w:pStyle w:val="2"/>
        <w:numPr>
          <w:ilvl w:val="0"/>
          <w:numId w:val="0"/>
        </w:numPr>
        <w:ind w:leftChars="0"/>
        <w:rPr>
          <w:color w:val="auto"/>
        </w:r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spacing w:line="240" w:lineRule="auto"/>
        <w:ind w:firstLine="0" w:firstLineChars="0"/>
        <w:rPr>
          <w:rFonts w:hint="eastAsia" w:ascii="楷体" w:hAnsi="楷体" w:eastAsia="楷体" w:cs="楷体"/>
          <w:b/>
          <w:bCs/>
          <w:color w:val="auto"/>
          <w:sz w:val="32"/>
          <w:szCs w:val="32"/>
        </w:rPr>
      </w:pPr>
      <w:r>
        <w:rPr>
          <w:rFonts w:hint="eastAsia" w:ascii="楷体" w:hAnsi="楷体" w:eastAsia="楷体" w:cs="楷体"/>
          <w:b/>
          <w:bCs/>
          <w:color w:val="auto"/>
          <w:sz w:val="32"/>
          <w:szCs w:val="32"/>
        </w:rPr>
        <w:t>一、收入科目</w:t>
      </w:r>
    </w:p>
    <w:p>
      <w:pPr>
        <w:spacing w:line="360" w:lineRule="auto"/>
        <w:ind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各部门结合实际进行解释。</w:t>
      </w:r>
    </w:p>
    <w:p>
      <w:pPr>
        <w:spacing w:line="360" w:lineRule="auto"/>
        <w:ind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spacing w:line="360" w:lineRule="auto"/>
        <w:ind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360" w:lineRule="auto"/>
        <w:ind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360" w:lineRule="auto"/>
        <w:ind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360" w:lineRule="auto"/>
        <w:ind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360" w:lineRule="auto"/>
        <w:ind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（六）上级补助收入：反映事业单位从主管部门和上级单位取得的非财政补助收入。</w:t>
      </w:r>
    </w:p>
    <w:p>
      <w:pPr>
        <w:spacing w:line="360" w:lineRule="auto"/>
        <w:ind w:firstLine="0" w:firstLineChars="0"/>
        <w:jc w:val="left"/>
        <w:rPr>
          <w:rFonts w:hint="eastAsia"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年收支差额的数额。</w:t>
      </w:r>
    </w:p>
    <w:p>
      <w:pPr>
        <w:spacing w:line="360" w:lineRule="auto"/>
        <w:ind w:firstLine="0" w:firstLineChars="0"/>
        <w:jc w:val="left"/>
        <w:rPr>
          <w:rFonts w:hint="eastAsia"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2021</w:t>
      </w:r>
      <w:bookmarkStart w:id="0" w:name="_GoBack"/>
      <w:bookmarkEnd w:id="0"/>
      <w:r>
        <w:rPr>
          <w:rFonts w:hint="eastAsia" w:ascii="仿宋" w:hAnsi="仿宋" w:eastAsia="仿宋" w:cs="仿宋"/>
          <w:color w:val="auto"/>
          <w:sz w:val="32"/>
          <w:szCs w:val="32"/>
        </w:rPr>
        <w:t>年全部结转和结余的资金数，包括当年结转结余资金和历年滚存结转结余资金。</w:t>
      </w:r>
    </w:p>
    <w:p>
      <w:pPr>
        <w:spacing w:line="360" w:lineRule="auto"/>
        <w:ind w:firstLine="0" w:firstLineChars="0"/>
        <w:rPr>
          <w:rFonts w:hint="eastAsia" w:ascii="仿宋" w:hAnsi="仿宋" w:eastAsia="仿宋" w:cs="仿宋"/>
          <w:b/>
          <w:bCs/>
          <w:color w:val="auto"/>
          <w:sz w:val="32"/>
          <w:szCs w:val="32"/>
        </w:rPr>
      </w:pPr>
      <w:r>
        <w:rPr>
          <w:rFonts w:hint="eastAsia" w:ascii="仿宋" w:hAnsi="仿宋" w:eastAsia="仿宋" w:cs="仿宋"/>
          <w:b/>
          <w:bCs/>
          <w:color w:val="auto"/>
          <w:sz w:val="32"/>
          <w:szCs w:val="32"/>
        </w:rPr>
        <w:t>二、支出科目</w:t>
      </w:r>
    </w:p>
    <w:p>
      <w:pPr>
        <w:spacing w:line="360" w:lineRule="auto"/>
        <w:ind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对部门或单位预算中涉及的支出功能分类科目（明细到项级），结合部门实际，参照《</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年政府收支分类科目》的规范说明行解释。</w:t>
      </w:r>
    </w:p>
    <w:p>
      <w:pPr>
        <w:spacing w:line="360" w:lineRule="auto"/>
        <w:ind w:firstLine="0" w:firstLineChars="0"/>
        <w:jc w:val="left"/>
        <w:rPr>
          <w:rFonts w:hint="eastAsia"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spacing w:line="360" w:lineRule="auto"/>
        <w:ind w:firstLine="0" w:firstLineChars="0"/>
        <w:jc w:val="left"/>
        <w:rPr>
          <w:rFonts w:hint="eastAsia"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spacing w:line="360" w:lineRule="auto"/>
        <w:ind w:firstLine="0" w:firstLineChars="0"/>
        <w:jc w:val="left"/>
        <w:rPr>
          <w:rFonts w:hint="eastAsia"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360" w:lineRule="auto"/>
        <w:ind w:firstLine="0" w:firstLineChars="0"/>
        <w:jc w:val="left"/>
        <w:rPr>
          <w:rFonts w:hint="eastAsia"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spacing w:line="360" w:lineRule="auto"/>
        <w:ind w:firstLine="0" w:firstLineChars="0"/>
        <w:jc w:val="left"/>
        <w:rPr>
          <w:rFonts w:hint="eastAsia" w:ascii="仿宋" w:hAnsi="仿宋" w:eastAsia="仿宋" w:cs="仿宋"/>
          <w:color w:val="auto"/>
          <w:sz w:val="32"/>
          <w:szCs w:val="32"/>
        </w:rPr>
      </w:pPr>
      <w:r>
        <w:rPr>
          <w:rFonts w:hint="eastAsia" w:ascii="仿宋" w:hAnsi="仿宋" w:eastAsia="仿宋" w:cs="仿宋"/>
          <w:color w:val="auto"/>
          <w:sz w:val="32"/>
          <w:szCs w:val="32"/>
        </w:rPr>
        <w:t>（五）事业单位医疗：反映财政部门集中安排的事业单位基本医疗保险缴费经费。</w:t>
      </w:r>
    </w:p>
    <w:p>
      <w:pPr>
        <w:spacing w:line="360" w:lineRule="auto"/>
        <w:rPr>
          <w:rFonts w:hint="eastAsia" w:ascii="仿宋" w:hAnsi="仿宋" w:eastAsia="仿宋" w:cs="仿宋"/>
          <w:sz w:val="32"/>
          <w:szCs w:val="32"/>
          <w:lang w:eastAsia="zh-CN"/>
        </w:rPr>
        <w:sectPr>
          <w:pgSz w:w="11910" w:h="16840"/>
          <w:pgMar w:top="1520" w:right="1540" w:bottom="280" w:left="1680" w:header="720" w:footer="720" w:gutter="0"/>
          <w:cols w:space="720" w:num="1"/>
        </w:sectPr>
      </w:pPr>
      <w:r>
        <w:rPr>
          <w:rFonts w:hint="eastAsia" w:ascii="仿宋" w:hAnsi="仿宋" w:eastAsia="仿宋" w:cs="仿宋"/>
          <w:color w:val="auto"/>
          <w:sz w:val="32"/>
          <w:szCs w:val="32"/>
        </w:rPr>
        <w:t>（六）死亡抚恤：反映单位遗属人员生活补助。</w:t>
      </w:r>
    </w:p>
    <w:p>
      <w:pPr>
        <w:bidi w:val="0"/>
      </w:pPr>
    </w:p>
    <w:p>
      <w:pPr>
        <w:pStyle w:val="2"/>
      </w:pPr>
    </w:p>
    <w:p>
      <w:pPr>
        <w:pStyle w:val="2"/>
      </w:pPr>
    </w:p>
    <w:p>
      <w:pPr>
        <w:pStyle w:val="2"/>
      </w:pPr>
    </w:p>
    <w:p>
      <w:pPr>
        <w:pStyle w:val="2"/>
      </w:pPr>
    </w:p>
    <w:p>
      <w:pPr>
        <w:pStyle w:val="2"/>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6C13A0"/>
    <w:multiLevelType w:val="singleLevel"/>
    <w:tmpl w:val="C96C13A0"/>
    <w:lvl w:ilvl="0" w:tentative="0">
      <w:start w:val="3"/>
      <w:numFmt w:val="chineseCounting"/>
      <w:suff w:val="space"/>
      <w:lvlText w:val="第%1部分"/>
      <w:lvlJc w:val="left"/>
      <w:rPr>
        <w:rFonts w:hint="eastAsia" w:ascii="仿宋" w:hAnsi="仿宋" w:eastAsia="仿宋" w:cs="仿宋"/>
        <w:b/>
        <w:bCs/>
        <w:sz w:val="32"/>
        <w:szCs w:val="32"/>
      </w:rPr>
    </w:lvl>
  </w:abstractNum>
  <w:abstractNum w:abstractNumId="1">
    <w:nsid w:val="0E892699"/>
    <w:multiLevelType w:val="singleLevel"/>
    <w:tmpl w:val="0E892699"/>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0ODJjYjI1MjNhNTQwNmJhOGVkMzJkZmE0OGIyNDcifQ=="/>
  </w:docVars>
  <w:rsids>
    <w:rsidRoot w:val="31C93669"/>
    <w:rsid w:val="0B1526A9"/>
    <w:rsid w:val="110B41C3"/>
    <w:rsid w:val="1A4C5E5C"/>
    <w:rsid w:val="1E02311E"/>
    <w:rsid w:val="268A6105"/>
    <w:rsid w:val="29D92E62"/>
    <w:rsid w:val="2E6B5849"/>
    <w:rsid w:val="31C93669"/>
    <w:rsid w:val="35214791"/>
    <w:rsid w:val="36140615"/>
    <w:rsid w:val="3C7C27F2"/>
    <w:rsid w:val="43CA1EE0"/>
    <w:rsid w:val="47EA6595"/>
    <w:rsid w:val="484B280A"/>
    <w:rsid w:val="51C81F9C"/>
    <w:rsid w:val="5D715F41"/>
    <w:rsid w:val="719E25EE"/>
    <w:rsid w:val="797D63DE"/>
    <w:rsid w:val="7B5432A8"/>
    <w:rsid w:val="7CF552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7">
    <w:name w:val="row_tree_level_4"/>
    <w:basedOn w:val="6"/>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4402</Words>
  <Characters>5431</Characters>
  <Lines>0</Lines>
  <Paragraphs>0</Paragraphs>
  <TotalTime>9</TotalTime>
  <ScaleCrop>false</ScaleCrop>
  <LinksUpToDate>false</LinksUpToDate>
  <CharactersWithSpaces>5672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2023-03-03T01:22:00Z</dcterms:created>
  <dc:creator>熙</dc:creator>
  <cp:lastModifiedBy>Administrator</cp:lastModifiedBy>
  <dcterms:modified xsi:type="dcterms:W3CDTF">2023-06-19T04:37:38Z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C7E1A9E39A624F9186C9BA55751FF311</vt:lpwstr>
  </property>
</Properties>
</file>