
<file path=[Content_Types].xml><?xml version="1.0" encoding="utf-8"?>
<Types xmlns="http://schemas.openxmlformats.org/package/2006/content-types">
  <Default Extension="xml" ContentType="application/xml"/>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8"/>
        <w:keepNext/>
        <w:keepLines/>
        <w:spacing w:before="0" w:after="80" w:line="526" w:lineRule="exact"/>
        <w:ind w:firstLine="0"/>
      </w:pPr>
      <w:bookmarkStart w:id="0" w:name="bookmark20"/>
      <w:bookmarkStart w:id="1" w:name="bookmark18"/>
      <w:bookmarkStart w:id="2" w:name="bookmark19"/>
      <w:bookmarkStart w:id="32" w:name="_GoBack"/>
      <w:bookmarkEnd w:id="32"/>
      <w:r>
        <w:rPr>
          <w:sz w:val="40"/>
        </w:rPr>
        <w:pict>
          <v:rect id="KGD_648FAA48$01$22$00011" o:spid="_x0000_s1035" o:spt="1" alt="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" style="position:absolute;left:0pt;margin-left:-83.45pt;margin-top:-69.95pt;height:5pt;width:5pt;visibility:hidden;z-index:251667456;mso-width-relative:page;mso-height-relative:page;" fillcolor="#FFFFFF" filled="t" stroked="t" coordsize="21600,21600">
            <v:path/>
            <v:fill on="t" focussize="0,0"/>
            <v:stroke color="#000000"/>
            <v:imagedata o:title=""/>
            <o:lock v:ext="edit" aspectratio="f"/>
          </v:rect>
        </w:pict>
      </w:r>
      <w:r>
        <w:rPr>
          <w:sz w:val="40"/>
        </w:rPr>
        <w:pict>
          <v:rect id="KGD_KG_Seal_16" o:spid="_x0000_s1034" o:spt="1" alt="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" style="position:absolute;left:0pt;margin-left:-83.45pt;margin-top:-69.95pt;height:5pt;width:5pt;visibility:hidden;z-index:251666432;mso-width-relative:page;mso-height-relative:page;" fillcolor="#FFFFFF" filled="t" stroked="t" coordsize="21600,21600">
            <v:path/>
            <v:fill on="t" focussize="0,0"/>
            <v:stroke color="#000000"/>
            <v:imagedata o:title=""/>
            <o:lock v:ext="edit" aspectratio="f"/>
          </v:rect>
        </w:pict>
      </w:r>
      <w:r>
        <w:rPr>
          <w:sz w:val="40"/>
        </w:rPr>
        <w:pict>
          <v:rect id="KGD_KG_Seal_15" o:spid="_x0000_s1033" o:spt="1" alt="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" style="position:absolute;left:0pt;margin-left:-83.45pt;margin-top:-69.95pt;height:5pt;width:5pt;visibility:hidden;z-index:251665408;mso-width-relative:page;mso-height-relative:page;" fillcolor="#FFFFFF" filled="t" stroked="t" coordsize="21600,21600">
            <v:path/>
            <v:fill on="t" focussize="0,0"/>
            <v:stroke color="#000000"/>
            <v:imagedata o:title=""/>
            <o:lock v:ext="edit" aspectratio="f"/>
          </v:rect>
        </w:pict>
      </w:r>
      <w:r>
        <w:rPr>
          <w:sz w:val="40"/>
        </w:rPr>
        <w:pict>
          <v:rect id="KGD_KG_Seal_14" o:spid="_x0000_s1032" o:spt="1" alt="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" style="position:absolute;left:0pt;margin-left:-83.45pt;margin-top:-69.95pt;height:5pt;width:5pt;visibility:hidden;z-index:251664384;mso-width-relative:page;mso-height-relative:page;" fillcolor="#FFFFFF" filled="t" stroked="t" coordsize="21600,21600">
            <v:path/>
            <v:fill on="t" focussize="0,0"/>
            <v:stroke color="#000000"/>
            <v:imagedata o:title=""/>
            <o:lock v:ext="edit" aspectratio="f"/>
          </v:rect>
        </w:pict>
      </w:r>
      <w:r>
        <w:rPr>
          <w:sz w:val="40"/>
        </w:rPr>
        <w:pict>
          <v:rect id="KGD_KG_Seal_13" o:spid="_x0000_s1031" o:spt="1" alt="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" style="position:absolute;left:0pt;margin-left:-83.45pt;margin-top:-69.95pt;height:5pt;width:5pt;visibility:hidden;z-index:251663360;mso-width-relative:page;mso-height-relative:page;" fillcolor="#FFFFFF" filled="t" stroked="t" coordsize="21600,21600">
            <v:path/>
            <v:fill on="t" focussize="0,0"/>
            <v:stroke color="#000000"/>
            <v:imagedata o:title=""/>
            <o:lock v:ext="edit" aspectratio="f"/>
          </v:rect>
        </w:pict>
      </w:r>
      <w:r>
        <w:rPr>
          <w:sz w:val="40"/>
        </w:rPr>
        <w:pict>
          <v:rect id="KGD_KG_Seal_12" o:spid="_x0000_s1030" o:spt="1" alt="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" style="position:absolute;left:0pt;margin-left:-83.45pt;margin-top:-69.95pt;height:5pt;width:5pt;visibility:hidden;z-index:251662336;mso-width-relative:page;mso-height-relative:page;" fillcolor="#FFFFFF" filled="t" stroked="t" coordsize="21600,21600">
            <v:path/>
            <v:fill on="t" focussize="0,0"/>
            <v:stroke color="#000000"/>
            <v:imagedata o:title=""/>
            <o:lock v:ext="edit" aspectratio="f"/>
          </v:rect>
        </w:pict>
      </w:r>
      <w:r>
        <w:rPr>
          <w:sz w:val="40"/>
        </w:rPr>
        <w:pict>
          <v:rect id="KGD_KG_Seal_11" o:spid="_x0000_s1029" o:spt="1" alt="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" style="position:absolute;left:0pt;margin-left:-83.45pt;margin-top:-69.95pt;height:5pt;width:5pt;visibility:hidden;z-index:251661312;mso-width-relative:page;mso-height-relative:page;" fillcolor="#FFFFFF" filled="t" stroked="t" coordsize="21600,21600">
            <v:path/>
            <v:fill on="t" focussize="0,0"/>
            <v:stroke color="#000000"/>
            <v:imagedata o:title=""/>
            <o:lock v:ext="edit" aspectratio="f"/>
          </v:rect>
        </w:pict>
      </w:r>
      <w:r>
        <w:rPr>
          <w:sz w:val="40"/>
        </w:rPr>
        <w:pict>
          <v:rect id="KGD_Gobal1" o:spid="_x0000_s1028" o:spt="1" alt="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" style="position:absolute;left:0pt;margin-left:-83.45pt;margin-top:-69.95pt;height:5pt;width:5pt;visibility:hidden;z-index:251660288;mso-width-relative:page;mso-height-relative:page;" fillcolor="#FFFFFF" filled="t" stroked="t" coordsize="21600,21600">
            <v:path/>
            <v:fill on="t" focussize="0,0"/>
            <v:stroke color="#000000"/>
            <v:imagedata o:title=""/>
            <o:lock v:ext="edit" aspectratio="f"/>
          </v:rect>
        </w:pict>
      </w:r>
      <w:r>
        <w:rPr>
          <w:rFonts w:hint="eastAsia" w:ascii="Times New Roman" w:hAnsi="Times New Roman" w:cs="Times New Roman"/>
          <w:b/>
          <w:bCs/>
          <w:lang w:val="en-US" w:eastAsia="zh-CN"/>
        </w:rPr>
        <w:t>兴国县退役军人事务局</w:t>
      </w:r>
      <w:r>
        <w:rPr>
          <w:rFonts w:ascii="Times New Roman" w:hAnsi="Times New Roman" w:eastAsia="Times New Roman" w:cs="Times New Roman"/>
          <w:b/>
          <w:bCs/>
        </w:rPr>
        <w:t>202</w:t>
      </w:r>
      <w:r>
        <w:rPr>
          <w:rFonts w:hint="eastAsia" w:ascii="Times New Roman" w:hAnsi="Times New Roman" w:cs="Times New Roman" w:eastAsiaTheme="minorEastAsia"/>
          <w:b/>
          <w:bCs/>
          <w:lang w:eastAsia="zh-CN"/>
        </w:rPr>
        <w:t>1</w:t>
      </w:r>
      <w:r>
        <w:rPr>
          <w:rFonts w:hint="eastAsia"/>
          <w:b/>
          <w:bCs/>
        </w:rPr>
        <w:t>年</w:t>
      </w:r>
      <w:r>
        <w:t>度</w:t>
      </w:r>
      <w:r>
        <w:rPr>
          <w:rFonts w:hint="eastAsia"/>
          <w:lang w:val="en-US" w:eastAsia="zh-CN"/>
        </w:rPr>
        <w:t>单位</w:t>
      </w:r>
      <w:r>
        <w:t>决算</w:t>
      </w:r>
    </w:p>
    <w:p>
      <w:pPr>
        <w:pStyle w:val="18"/>
        <w:keepNext/>
        <w:keepLines/>
        <w:spacing w:before="0" w:after="80" w:line="440" w:lineRule="exact"/>
        <w:ind w:firstLine="0"/>
        <w:rPr>
          <w:rFonts w:hint="eastAsia" w:eastAsia="宋体"/>
          <w:lang w:eastAsia="zh-CN"/>
        </w:rPr>
      </w:pPr>
    </w:p>
    <w:p>
      <w:pPr>
        <w:pStyle w:val="18"/>
        <w:keepNext/>
        <w:keepLines/>
        <w:spacing w:before="0" w:after="80" w:line="440" w:lineRule="exact"/>
        <w:ind w:firstLine="0"/>
      </w:pPr>
      <w:r>
        <w:rPr>
          <w:sz w:val="40"/>
        </w:rPr>
        <w:pict>
          <v:rect id="KG_Shd_1" o:spid="_x0000_s1027" o:spt="1" style="position:absolute;left:0pt;margin-left:-297.5pt;margin-top:-421pt;height:1684pt;width:1190pt;z-index:251668480;mso-width-relative:page;mso-height-relative:page;" fillcolor="#FFFFFF" filled="t" stroked="t" coordsize="21600,21600">
            <v:path/>
            <v:fill on="t" opacity="0f" focussize="0,0"/>
            <v:stroke color="#FFFFFF" opacity="0f"/>
            <v:imagedata o:title=""/>
            <o:lock v:ext="edit" aspectratio="f"/>
          </v:rect>
        </w:pict>
      </w:r>
      <w:r>
        <w:rPr>
          <w:sz w:val="40"/>
        </w:rPr>
        <w:drawing>
          <wp:anchor distT="0" distB="0" distL="114300" distR="114300" simplePos="0" relativeHeight="251659264" behindDoc="0" locked="1" layoutInCell="1" allowOverlap="1">
            <wp:simplePos x="0" y="0"/>
            <wp:positionH relativeFrom="page">
              <wp:posOffset>2099945</wp:posOffset>
            </wp:positionH>
            <wp:positionV relativeFrom="page">
              <wp:posOffset>1310005</wp:posOffset>
            </wp:positionV>
            <wp:extent cx="1515745" cy="1515745"/>
            <wp:effectExtent l="0" t="0" r="0" b="8255"/>
            <wp:wrapNone/>
            <wp:docPr id="6" name="KG_648FAA48$01$22$0001$N$000100" descr="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KG_648FAA48$01$22$0001$N$000100" descr="Seal"/>
                    <pic:cNvPicPr>
                      <a:picLocks noChangeAspect="1"/>
                    </pic:cNvPicPr>
                  </pic:nvPicPr>
                  <pic:blipFill>
                    <a:blip r:embed="rId6"/>
                    <a:stretch>
                      <a:fillRect/>
                    </a:stretch>
                  </pic:blipFill>
                  <pic:spPr>
                    <a:xfrm>
                      <a:off x="0" y="0"/>
                      <a:ext cx="1515745" cy="1515745"/>
                    </a:xfrm>
                    <a:prstGeom prst="rect">
                      <a:avLst/>
                    </a:prstGeom>
                  </pic:spPr>
                </pic:pic>
              </a:graphicData>
            </a:graphic>
          </wp:anchor>
        </w:drawing>
      </w:r>
      <w:r>
        <w:t>目 录</w:t>
      </w:r>
      <w:bookmarkEnd w:id="0"/>
      <w:bookmarkEnd w:id="1"/>
      <w:bookmarkEnd w:id="2"/>
    </w:p>
    <w:p>
      <w:pPr>
        <w:pStyle w:val="10"/>
        <w:spacing w:line="440" w:lineRule="exact"/>
        <w:ind w:firstLine="500"/>
      </w:pPr>
      <w:r>
        <w:rPr>
          <w:b/>
          <w:bCs/>
        </w:rPr>
        <w:t>第一部分</w:t>
      </w:r>
      <w:r>
        <w:rPr>
          <w:rFonts w:hint="eastAsia" w:ascii="Times New Roman" w:hAnsi="Times New Roman" w:cs="Times New Roman"/>
          <w:b/>
          <w:bCs/>
          <w:lang w:val="en-US" w:eastAsia="zh-CN" w:bidi="en-US"/>
        </w:rPr>
        <w:t>兴国县退役军人事务局</w:t>
      </w:r>
      <w:r>
        <w:rPr>
          <w:b/>
          <w:bCs/>
        </w:rPr>
        <w:t>单位概况</w:t>
      </w:r>
    </w:p>
    <w:p>
      <w:pPr>
        <w:pStyle w:val="10"/>
        <w:spacing w:line="440" w:lineRule="exact"/>
        <w:ind w:left="1180" w:firstLine="0"/>
        <w:rPr>
          <w:rFonts w:ascii="仿宋" w:hAnsi="仿宋" w:eastAsia="仿宋"/>
        </w:rPr>
      </w:pPr>
      <w:r>
        <w:rPr>
          <w:rFonts w:hint="eastAsia" w:ascii="仿宋" w:hAnsi="仿宋" w:eastAsia="仿宋"/>
          <w:lang w:val="en-US" w:eastAsia="zh-CN"/>
        </w:rPr>
        <w:t>一、</w:t>
      </w:r>
      <w:r>
        <w:rPr>
          <w:rFonts w:ascii="仿宋" w:hAnsi="仿宋" w:eastAsia="仿宋"/>
        </w:rPr>
        <w:t>单位主要职责</w:t>
      </w:r>
    </w:p>
    <w:p>
      <w:pPr>
        <w:pStyle w:val="10"/>
        <w:spacing w:line="440" w:lineRule="exact"/>
        <w:ind w:left="1180" w:firstLine="0"/>
        <w:rPr>
          <w:rFonts w:ascii="仿宋" w:hAnsi="仿宋" w:eastAsia="仿宋"/>
        </w:rPr>
      </w:pPr>
      <w:bookmarkStart w:id="3" w:name="bookmark21"/>
      <w:r>
        <w:rPr>
          <w:rFonts w:ascii="仿宋" w:hAnsi="仿宋" w:eastAsia="仿宋"/>
        </w:rPr>
        <w:t>二</w:t>
      </w:r>
      <w:bookmarkEnd w:id="3"/>
      <w:r>
        <w:rPr>
          <w:rFonts w:ascii="仿宋" w:hAnsi="仿宋" w:eastAsia="仿宋"/>
        </w:rPr>
        <w:t>、单位基本情况</w:t>
      </w:r>
    </w:p>
    <w:p>
      <w:pPr>
        <w:pStyle w:val="10"/>
        <w:spacing w:line="440" w:lineRule="exact"/>
        <w:ind w:firstLine="500"/>
      </w:pPr>
      <w:r>
        <w:rPr>
          <w:b/>
          <w:bCs/>
        </w:rPr>
        <w:t>第二部分</w:t>
      </w:r>
      <w:r>
        <w:rPr>
          <w:rFonts w:ascii="Times New Roman" w:hAnsi="Times New Roman" w:eastAsia="Times New Roman" w:cs="Times New Roman"/>
        </w:rPr>
        <w:t>202</w:t>
      </w:r>
      <w:r>
        <w:rPr>
          <w:rFonts w:hint="eastAsia" w:ascii="Times New Roman" w:hAnsi="Times New Roman" w:cs="Times New Roman" w:eastAsiaTheme="minorEastAsia"/>
          <w:lang w:eastAsia="zh-CN"/>
        </w:rPr>
        <w:t>1</w:t>
      </w:r>
      <w:r>
        <w:rPr>
          <w:rFonts w:hint="eastAsia"/>
        </w:rPr>
        <w:t>年</w:t>
      </w:r>
      <w:r>
        <w:rPr>
          <w:b/>
          <w:bCs/>
        </w:rPr>
        <w:t>度单位决算表</w:t>
      </w:r>
    </w:p>
    <w:p>
      <w:pPr>
        <w:pStyle w:val="10"/>
        <w:tabs>
          <w:tab w:val="left" w:pos="1824"/>
        </w:tabs>
        <w:spacing w:line="440" w:lineRule="exact"/>
        <w:ind w:left="1180" w:firstLine="0"/>
        <w:rPr>
          <w:rFonts w:ascii="仿宋" w:hAnsi="仿宋" w:eastAsia="仿宋"/>
        </w:rPr>
      </w:pPr>
      <w:bookmarkStart w:id="4" w:name="bookmark22"/>
      <w:r>
        <w:rPr>
          <w:rFonts w:ascii="仿宋" w:hAnsi="仿宋" w:eastAsia="仿宋"/>
        </w:rPr>
        <w:t>一</w:t>
      </w:r>
      <w:bookmarkEnd w:id="4"/>
      <w:r>
        <w:rPr>
          <w:rFonts w:ascii="仿宋" w:hAnsi="仿宋" w:eastAsia="仿宋"/>
        </w:rPr>
        <w:t>、</w:t>
      </w:r>
      <w:r>
        <w:rPr>
          <w:rFonts w:ascii="仿宋" w:hAnsi="仿宋" w:eastAsia="仿宋"/>
        </w:rPr>
        <w:tab/>
      </w:r>
      <w:r>
        <w:rPr>
          <w:rFonts w:ascii="仿宋" w:hAnsi="仿宋" w:eastAsia="仿宋"/>
        </w:rPr>
        <w:t>收入支出决算总表</w:t>
      </w:r>
    </w:p>
    <w:p>
      <w:pPr>
        <w:pStyle w:val="10"/>
        <w:tabs>
          <w:tab w:val="left" w:pos="1824"/>
        </w:tabs>
        <w:spacing w:line="440" w:lineRule="exact"/>
        <w:ind w:left="1180" w:firstLine="0"/>
        <w:rPr>
          <w:rFonts w:ascii="仿宋" w:hAnsi="仿宋" w:eastAsia="仿宋"/>
        </w:rPr>
      </w:pPr>
      <w:bookmarkStart w:id="5" w:name="bookmark23"/>
      <w:r>
        <w:rPr>
          <w:rFonts w:ascii="仿宋" w:hAnsi="仿宋" w:eastAsia="仿宋"/>
        </w:rPr>
        <w:t>二</w:t>
      </w:r>
      <w:bookmarkEnd w:id="5"/>
      <w:r>
        <w:rPr>
          <w:rFonts w:ascii="仿宋" w:hAnsi="仿宋" w:eastAsia="仿宋"/>
        </w:rPr>
        <w:t>、</w:t>
      </w:r>
      <w:r>
        <w:rPr>
          <w:rFonts w:ascii="仿宋" w:hAnsi="仿宋" w:eastAsia="仿宋"/>
        </w:rPr>
        <w:tab/>
      </w:r>
      <w:r>
        <w:rPr>
          <w:rFonts w:ascii="仿宋" w:hAnsi="仿宋" w:eastAsia="仿宋"/>
        </w:rPr>
        <w:t>收入决算表</w:t>
      </w:r>
    </w:p>
    <w:p>
      <w:pPr>
        <w:pStyle w:val="10"/>
        <w:tabs>
          <w:tab w:val="left" w:pos="1824"/>
        </w:tabs>
        <w:spacing w:line="440" w:lineRule="exact"/>
        <w:ind w:left="1180" w:firstLine="0"/>
        <w:rPr>
          <w:rFonts w:ascii="仿宋" w:hAnsi="仿宋" w:eastAsia="仿宋"/>
        </w:rPr>
      </w:pPr>
      <w:bookmarkStart w:id="6" w:name="bookmark24"/>
      <w:r>
        <w:rPr>
          <w:rFonts w:ascii="仿宋" w:hAnsi="仿宋" w:eastAsia="仿宋"/>
        </w:rPr>
        <w:t>三</w:t>
      </w:r>
      <w:bookmarkEnd w:id="6"/>
      <w:r>
        <w:rPr>
          <w:rFonts w:ascii="仿宋" w:hAnsi="仿宋" w:eastAsia="仿宋"/>
        </w:rPr>
        <w:t>、</w:t>
      </w:r>
      <w:r>
        <w:rPr>
          <w:rFonts w:ascii="仿宋" w:hAnsi="仿宋" w:eastAsia="仿宋"/>
        </w:rPr>
        <w:tab/>
      </w:r>
      <w:r>
        <w:rPr>
          <w:rFonts w:ascii="仿宋" w:hAnsi="仿宋" w:eastAsia="仿宋"/>
        </w:rPr>
        <w:t>支出决算表</w:t>
      </w:r>
    </w:p>
    <w:p>
      <w:pPr>
        <w:pStyle w:val="10"/>
        <w:tabs>
          <w:tab w:val="left" w:pos="1824"/>
        </w:tabs>
        <w:spacing w:line="440" w:lineRule="exact"/>
        <w:ind w:left="1180" w:firstLine="0"/>
        <w:rPr>
          <w:rFonts w:ascii="仿宋" w:hAnsi="仿宋" w:eastAsia="仿宋"/>
        </w:rPr>
      </w:pPr>
      <w:bookmarkStart w:id="7" w:name="bookmark25"/>
      <w:r>
        <w:rPr>
          <w:rFonts w:ascii="仿宋" w:hAnsi="仿宋" w:eastAsia="仿宋"/>
        </w:rPr>
        <w:t>四</w:t>
      </w:r>
      <w:bookmarkEnd w:id="7"/>
      <w:r>
        <w:rPr>
          <w:rFonts w:ascii="仿宋" w:hAnsi="仿宋" w:eastAsia="仿宋"/>
        </w:rPr>
        <w:t>、</w:t>
      </w:r>
      <w:r>
        <w:rPr>
          <w:rFonts w:ascii="仿宋" w:hAnsi="仿宋" w:eastAsia="仿宋"/>
        </w:rPr>
        <w:tab/>
      </w:r>
      <w:r>
        <w:rPr>
          <w:rFonts w:ascii="仿宋" w:hAnsi="仿宋" w:eastAsia="仿宋"/>
        </w:rPr>
        <w:t>财政拨款收入支出决算总表</w:t>
      </w:r>
    </w:p>
    <w:p>
      <w:pPr>
        <w:pStyle w:val="10"/>
        <w:tabs>
          <w:tab w:val="left" w:pos="1824"/>
        </w:tabs>
        <w:spacing w:line="440" w:lineRule="exact"/>
        <w:ind w:left="1180" w:firstLine="0"/>
        <w:rPr>
          <w:rFonts w:ascii="仿宋" w:hAnsi="仿宋" w:eastAsia="仿宋"/>
        </w:rPr>
      </w:pPr>
      <w:bookmarkStart w:id="8" w:name="bookmark26"/>
      <w:r>
        <w:rPr>
          <w:rFonts w:ascii="仿宋" w:hAnsi="仿宋" w:eastAsia="仿宋"/>
        </w:rPr>
        <w:t>五</w:t>
      </w:r>
      <w:bookmarkEnd w:id="8"/>
      <w:r>
        <w:rPr>
          <w:rFonts w:ascii="仿宋" w:hAnsi="仿宋" w:eastAsia="仿宋"/>
        </w:rPr>
        <w:t>、</w:t>
      </w:r>
      <w:r>
        <w:rPr>
          <w:rFonts w:ascii="仿宋" w:hAnsi="仿宋" w:eastAsia="仿宋"/>
        </w:rPr>
        <w:tab/>
      </w:r>
      <w:r>
        <w:rPr>
          <w:rFonts w:ascii="仿宋" w:hAnsi="仿宋" w:eastAsia="仿宋"/>
        </w:rPr>
        <w:t>一般公共预算财政拨款支出决算表</w:t>
      </w:r>
    </w:p>
    <w:p>
      <w:pPr>
        <w:pStyle w:val="10"/>
        <w:tabs>
          <w:tab w:val="left" w:pos="1824"/>
        </w:tabs>
        <w:spacing w:line="440" w:lineRule="exact"/>
        <w:ind w:left="1180" w:firstLine="0"/>
        <w:rPr>
          <w:rFonts w:ascii="仿宋" w:hAnsi="仿宋" w:eastAsia="仿宋"/>
        </w:rPr>
      </w:pPr>
      <w:bookmarkStart w:id="9" w:name="bookmark27"/>
      <w:r>
        <w:rPr>
          <w:rFonts w:ascii="仿宋" w:hAnsi="仿宋" w:eastAsia="仿宋"/>
        </w:rPr>
        <w:t>六</w:t>
      </w:r>
      <w:bookmarkEnd w:id="9"/>
      <w:r>
        <w:rPr>
          <w:rFonts w:ascii="仿宋" w:hAnsi="仿宋" w:eastAsia="仿宋"/>
        </w:rPr>
        <w:t>、</w:t>
      </w:r>
      <w:r>
        <w:rPr>
          <w:rFonts w:ascii="仿宋" w:hAnsi="仿宋" w:eastAsia="仿宋"/>
        </w:rPr>
        <w:tab/>
      </w:r>
      <w:r>
        <w:rPr>
          <w:rFonts w:ascii="仿宋" w:hAnsi="仿宋" w:eastAsia="仿宋"/>
        </w:rPr>
        <w:t>一般公共预算财政拨款基本支出决算表</w:t>
      </w:r>
    </w:p>
    <w:p>
      <w:pPr>
        <w:pStyle w:val="10"/>
        <w:spacing w:line="440" w:lineRule="exact"/>
        <w:ind w:firstLine="1098" w:firstLineChars="366"/>
        <w:rPr>
          <w:rFonts w:ascii="仿宋" w:hAnsi="仿宋" w:eastAsia="仿宋"/>
        </w:rPr>
      </w:pPr>
      <w:r>
        <w:rPr>
          <w:rFonts w:ascii="仿宋" w:hAnsi="仿宋" w:eastAsia="仿宋"/>
        </w:rPr>
        <w:t>七、一般公共预算财政拨款</w:t>
      </w:r>
      <w:r>
        <w:rPr>
          <w:rFonts w:ascii="仿宋" w:hAnsi="仿宋" w:eastAsia="仿宋"/>
          <w:lang w:val="zh-CN" w:eastAsia="zh-CN" w:bidi="zh-CN"/>
        </w:rPr>
        <w:t>“三公</w:t>
      </w:r>
      <w:r>
        <w:rPr>
          <w:rFonts w:ascii="仿宋" w:hAnsi="仿宋" w:eastAsia="仿宋"/>
          <w:lang w:val="en-US" w:eastAsia="zh-CN" w:bidi="en-US"/>
        </w:rPr>
        <w:t>"</w:t>
      </w:r>
      <w:r>
        <w:rPr>
          <w:rFonts w:ascii="仿宋" w:hAnsi="仿宋" w:eastAsia="仿宋"/>
        </w:rPr>
        <w:t>经费支出决算表</w:t>
      </w:r>
    </w:p>
    <w:p>
      <w:pPr>
        <w:pStyle w:val="10"/>
        <w:tabs>
          <w:tab w:val="left" w:pos="1824"/>
        </w:tabs>
        <w:spacing w:line="440" w:lineRule="exact"/>
        <w:ind w:left="1180" w:firstLine="0"/>
        <w:rPr>
          <w:rFonts w:ascii="仿宋" w:hAnsi="仿宋" w:eastAsia="仿宋"/>
        </w:rPr>
      </w:pPr>
      <w:bookmarkStart w:id="10" w:name="bookmark29"/>
      <w:r>
        <w:rPr>
          <w:rFonts w:ascii="仿宋" w:hAnsi="仿宋" w:eastAsia="仿宋"/>
        </w:rPr>
        <w:t>八</w:t>
      </w:r>
      <w:bookmarkEnd w:id="10"/>
      <w:r>
        <w:rPr>
          <w:rFonts w:ascii="仿宋" w:hAnsi="仿宋" w:eastAsia="仿宋"/>
        </w:rPr>
        <w:t>、</w:t>
      </w:r>
      <w:r>
        <w:rPr>
          <w:rFonts w:ascii="仿宋" w:hAnsi="仿宋" w:eastAsia="仿宋"/>
        </w:rPr>
        <w:tab/>
      </w:r>
      <w:r>
        <w:rPr>
          <w:rFonts w:ascii="仿宋" w:hAnsi="仿宋" w:eastAsia="仿宋"/>
        </w:rPr>
        <w:t>政府性基金预算财政拨款收入支出决算表</w:t>
      </w:r>
    </w:p>
    <w:p>
      <w:pPr>
        <w:pStyle w:val="10"/>
        <w:tabs>
          <w:tab w:val="left" w:pos="1824"/>
        </w:tabs>
        <w:spacing w:line="440" w:lineRule="exact"/>
        <w:ind w:left="1180" w:firstLine="0"/>
        <w:rPr>
          <w:rFonts w:ascii="仿宋" w:hAnsi="仿宋" w:eastAsia="仿宋"/>
        </w:rPr>
      </w:pPr>
      <w:bookmarkStart w:id="11" w:name="bookmark30"/>
      <w:r>
        <w:rPr>
          <w:rFonts w:hint="eastAsia" w:ascii="仿宋" w:hAnsi="仿宋" w:eastAsia="仿宋"/>
        </w:rPr>
        <w:t>九</w:t>
      </w:r>
      <w:bookmarkEnd w:id="11"/>
      <w:r>
        <w:rPr>
          <w:rFonts w:hint="eastAsia" w:ascii="仿宋" w:hAnsi="仿宋" w:eastAsia="仿宋"/>
        </w:rPr>
        <w:t>、国有资本经营预算财政拨款支出决算表</w:t>
      </w:r>
    </w:p>
    <w:p>
      <w:pPr>
        <w:pStyle w:val="10"/>
        <w:tabs>
          <w:tab w:val="left" w:pos="1824"/>
        </w:tabs>
        <w:spacing w:line="440" w:lineRule="exact"/>
        <w:ind w:left="1180" w:firstLine="0"/>
        <w:rPr>
          <w:rFonts w:ascii="仿宋" w:hAnsi="仿宋" w:eastAsia="仿宋"/>
        </w:rPr>
      </w:pPr>
      <w:r>
        <w:rPr>
          <w:rFonts w:hint="eastAsia" w:ascii="仿宋" w:hAnsi="仿宋" w:eastAsia="仿宋"/>
        </w:rPr>
        <w:t>十、</w:t>
      </w:r>
      <w:r>
        <w:rPr>
          <w:rFonts w:hint="eastAsia" w:ascii="仿宋" w:hAnsi="仿宋" w:eastAsia="仿宋"/>
        </w:rPr>
        <w:tab/>
      </w:r>
      <w:r>
        <w:rPr>
          <w:rFonts w:hint="eastAsia" w:ascii="仿宋" w:hAnsi="仿宋" w:eastAsia="仿宋"/>
        </w:rPr>
        <w:t>国有资产占用情况表</w:t>
      </w:r>
    </w:p>
    <w:p>
      <w:pPr>
        <w:pStyle w:val="10"/>
        <w:spacing w:line="440" w:lineRule="exact"/>
        <w:ind w:firstLine="500"/>
      </w:pPr>
      <w:r>
        <w:rPr>
          <w:b/>
          <w:bCs/>
        </w:rPr>
        <w:t>第三部分</w:t>
      </w:r>
      <w:r>
        <w:rPr>
          <w:rFonts w:ascii="Times New Roman" w:hAnsi="Times New Roman" w:eastAsia="Times New Roman" w:cs="Times New Roman"/>
        </w:rPr>
        <w:t>202</w:t>
      </w:r>
      <w:r>
        <w:rPr>
          <w:rFonts w:hint="eastAsia" w:ascii="Times New Roman" w:hAnsi="Times New Roman" w:cs="Times New Roman" w:eastAsiaTheme="minorEastAsia"/>
          <w:lang w:eastAsia="zh-CN"/>
        </w:rPr>
        <w:t>1</w:t>
      </w:r>
      <w:r>
        <w:rPr>
          <w:rFonts w:hint="eastAsia"/>
        </w:rPr>
        <w:t>年</w:t>
      </w:r>
      <w:r>
        <w:rPr>
          <w:b/>
          <w:bCs/>
        </w:rPr>
        <w:t>度单位决算情况说明</w:t>
      </w:r>
    </w:p>
    <w:p>
      <w:pPr>
        <w:pStyle w:val="10"/>
        <w:tabs>
          <w:tab w:val="left" w:pos="1824"/>
        </w:tabs>
        <w:spacing w:line="440" w:lineRule="exact"/>
        <w:ind w:left="1180" w:firstLine="0"/>
        <w:rPr>
          <w:rFonts w:ascii="仿宋" w:hAnsi="仿宋" w:eastAsia="仿宋"/>
        </w:rPr>
      </w:pPr>
      <w:bookmarkStart w:id="12" w:name="bookmark31"/>
      <w:r>
        <w:rPr>
          <w:rFonts w:ascii="仿宋" w:hAnsi="仿宋" w:eastAsia="仿宋"/>
        </w:rPr>
        <w:t>一</w:t>
      </w:r>
      <w:bookmarkEnd w:id="12"/>
      <w:r>
        <w:rPr>
          <w:rFonts w:ascii="仿宋" w:hAnsi="仿宋" w:eastAsia="仿宋"/>
        </w:rPr>
        <w:t>、</w:t>
      </w:r>
      <w:r>
        <w:rPr>
          <w:rFonts w:ascii="仿宋" w:hAnsi="仿宋" w:eastAsia="仿宋"/>
        </w:rPr>
        <w:tab/>
      </w:r>
      <w:r>
        <w:rPr>
          <w:rFonts w:ascii="仿宋" w:hAnsi="仿宋" w:eastAsia="仿宋"/>
        </w:rPr>
        <w:t>收入决算情况说明</w:t>
      </w:r>
    </w:p>
    <w:p>
      <w:pPr>
        <w:pStyle w:val="10"/>
        <w:tabs>
          <w:tab w:val="left" w:pos="1824"/>
        </w:tabs>
        <w:spacing w:line="440" w:lineRule="exact"/>
        <w:ind w:left="1180" w:firstLine="0"/>
        <w:rPr>
          <w:rFonts w:ascii="仿宋" w:hAnsi="仿宋" w:eastAsia="仿宋"/>
        </w:rPr>
      </w:pPr>
      <w:bookmarkStart w:id="13" w:name="bookmark32"/>
      <w:r>
        <w:rPr>
          <w:rFonts w:ascii="仿宋" w:hAnsi="仿宋" w:eastAsia="仿宋"/>
        </w:rPr>
        <w:t>二</w:t>
      </w:r>
      <w:bookmarkEnd w:id="13"/>
      <w:r>
        <w:rPr>
          <w:rFonts w:ascii="仿宋" w:hAnsi="仿宋" w:eastAsia="仿宋"/>
        </w:rPr>
        <w:t>、</w:t>
      </w:r>
      <w:r>
        <w:rPr>
          <w:rFonts w:ascii="仿宋" w:hAnsi="仿宋" w:eastAsia="仿宋"/>
        </w:rPr>
        <w:tab/>
      </w:r>
      <w:r>
        <w:rPr>
          <w:rFonts w:ascii="仿宋" w:hAnsi="仿宋" w:eastAsia="仿宋"/>
        </w:rPr>
        <w:t>支出决算情况说明</w:t>
      </w:r>
    </w:p>
    <w:p>
      <w:pPr>
        <w:pStyle w:val="10"/>
        <w:tabs>
          <w:tab w:val="left" w:pos="1824"/>
        </w:tabs>
        <w:spacing w:line="440" w:lineRule="exact"/>
        <w:ind w:left="1180" w:firstLine="0"/>
        <w:rPr>
          <w:rFonts w:ascii="仿宋" w:hAnsi="仿宋" w:eastAsia="仿宋"/>
        </w:rPr>
      </w:pPr>
      <w:bookmarkStart w:id="14" w:name="bookmark33"/>
      <w:r>
        <w:rPr>
          <w:rFonts w:ascii="仿宋" w:hAnsi="仿宋" w:eastAsia="仿宋"/>
        </w:rPr>
        <w:t>三</w:t>
      </w:r>
      <w:bookmarkEnd w:id="14"/>
      <w:r>
        <w:rPr>
          <w:rFonts w:ascii="仿宋" w:hAnsi="仿宋" w:eastAsia="仿宋"/>
        </w:rPr>
        <w:t>、</w:t>
      </w:r>
      <w:r>
        <w:rPr>
          <w:rFonts w:ascii="仿宋" w:hAnsi="仿宋" w:eastAsia="仿宋"/>
        </w:rPr>
        <w:tab/>
      </w:r>
      <w:r>
        <w:rPr>
          <w:rFonts w:ascii="仿宋" w:hAnsi="仿宋" w:eastAsia="仿宋"/>
        </w:rPr>
        <w:t>财政拨款支出决算情况说明</w:t>
      </w:r>
    </w:p>
    <w:p>
      <w:pPr>
        <w:pStyle w:val="10"/>
        <w:tabs>
          <w:tab w:val="left" w:pos="1824"/>
        </w:tabs>
        <w:spacing w:line="440" w:lineRule="exact"/>
        <w:ind w:left="1180" w:firstLine="0"/>
        <w:rPr>
          <w:rFonts w:ascii="仿宋" w:hAnsi="仿宋" w:eastAsia="仿宋"/>
        </w:rPr>
      </w:pPr>
      <w:bookmarkStart w:id="15" w:name="bookmark34"/>
      <w:r>
        <w:rPr>
          <w:rFonts w:ascii="仿宋" w:hAnsi="仿宋" w:eastAsia="仿宋"/>
        </w:rPr>
        <w:t>四</w:t>
      </w:r>
      <w:bookmarkEnd w:id="15"/>
      <w:r>
        <w:rPr>
          <w:rFonts w:ascii="仿宋" w:hAnsi="仿宋" w:eastAsia="仿宋"/>
        </w:rPr>
        <w:t>、</w:t>
      </w:r>
      <w:r>
        <w:rPr>
          <w:rFonts w:ascii="仿宋" w:hAnsi="仿宋" w:eastAsia="仿宋"/>
        </w:rPr>
        <w:tab/>
      </w:r>
      <w:r>
        <w:rPr>
          <w:rFonts w:ascii="仿宋" w:hAnsi="仿宋" w:eastAsia="仿宋"/>
        </w:rPr>
        <w:t>一般公共预算财政拨款基本支出决算情况说明</w:t>
      </w:r>
    </w:p>
    <w:p>
      <w:pPr>
        <w:pStyle w:val="10"/>
        <w:tabs>
          <w:tab w:val="left" w:pos="1824"/>
        </w:tabs>
        <w:spacing w:line="440" w:lineRule="exact"/>
        <w:ind w:left="500" w:firstLine="700"/>
        <w:rPr>
          <w:rFonts w:ascii="仿宋" w:hAnsi="仿宋" w:eastAsia="仿宋"/>
        </w:rPr>
      </w:pPr>
      <w:bookmarkStart w:id="16" w:name="bookmark35"/>
      <w:r>
        <w:rPr>
          <w:rFonts w:ascii="仿宋" w:hAnsi="仿宋" w:eastAsia="仿宋"/>
        </w:rPr>
        <w:t>五</w:t>
      </w:r>
      <w:bookmarkEnd w:id="16"/>
      <w:r>
        <w:rPr>
          <w:rFonts w:ascii="仿宋" w:hAnsi="仿宋" w:eastAsia="仿宋"/>
        </w:rPr>
        <w:t>、</w:t>
      </w:r>
      <w:r>
        <w:rPr>
          <w:rFonts w:ascii="仿宋" w:hAnsi="仿宋" w:eastAsia="仿宋"/>
        </w:rPr>
        <w:tab/>
      </w:r>
      <w:r>
        <w:rPr>
          <w:rFonts w:ascii="仿宋" w:hAnsi="仿宋" w:eastAsia="仿宋"/>
        </w:rPr>
        <w:t>一般公共预算财政拨款</w:t>
      </w:r>
      <w:r>
        <w:rPr>
          <w:rFonts w:ascii="仿宋" w:hAnsi="仿宋" w:eastAsia="仿宋"/>
          <w:lang w:val="zh-CN" w:eastAsia="zh-CN" w:bidi="zh-CN"/>
        </w:rPr>
        <w:t>“三</w:t>
      </w:r>
      <w:r>
        <w:rPr>
          <w:rFonts w:ascii="仿宋" w:hAnsi="仿宋" w:eastAsia="仿宋"/>
        </w:rPr>
        <w:t>公”经费支出决算情况说明</w:t>
      </w:r>
    </w:p>
    <w:p>
      <w:pPr>
        <w:pStyle w:val="10"/>
        <w:tabs>
          <w:tab w:val="left" w:pos="1824"/>
        </w:tabs>
        <w:spacing w:line="440" w:lineRule="exact"/>
        <w:ind w:left="1180" w:firstLine="0"/>
        <w:rPr>
          <w:rFonts w:ascii="仿宋" w:hAnsi="仿宋" w:eastAsia="仿宋"/>
          <w:lang w:eastAsia="zh-CN"/>
        </w:rPr>
      </w:pPr>
      <w:bookmarkStart w:id="17" w:name="bookmark36"/>
      <w:r>
        <w:rPr>
          <w:rFonts w:ascii="仿宋" w:hAnsi="仿宋" w:eastAsia="仿宋"/>
        </w:rPr>
        <w:t>六</w:t>
      </w:r>
      <w:bookmarkEnd w:id="17"/>
      <w:r>
        <w:rPr>
          <w:rFonts w:ascii="仿宋" w:hAnsi="仿宋" w:eastAsia="仿宋"/>
        </w:rPr>
        <w:t>、</w:t>
      </w:r>
      <w:r>
        <w:rPr>
          <w:rFonts w:ascii="仿宋" w:hAnsi="仿宋" w:eastAsia="仿宋"/>
        </w:rPr>
        <w:tab/>
      </w:r>
      <w:r>
        <w:rPr>
          <w:rFonts w:ascii="仿宋" w:hAnsi="仿宋" w:eastAsia="仿宋"/>
        </w:rPr>
        <w:t>机关运行经费支出情况说明</w:t>
      </w:r>
    </w:p>
    <w:p>
      <w:pPr>
        <w:pStyle w:val="10"/>
        <w:tabs>
          <w:tab w:val="left" w:pos="1824"/>
        </w:tabs>
        <w:spacing w:line="440" w:lineRule="exact"/>
        <w:ind w:left="1180" w:firstLine="0"/>
        <w:rPr>
          <w:rFonts w:ascii="仿宋" w:hAnsi="仿宋" w:eastAsia="仿宋"/>
        </w:rPr>
      </w:pPr>
      <w:r>
        <w:rPr>
          <w:rFonts w:ascii="仿宋" w:hAnsi="仿宋" w:eastAsia="仿宋"/>
        </w:rPr>
        <w:t>七、政府采购支出情况说明</w:t>
      </w:r>
    </w:p>
    <w:p>
      <w:pPr>
        <w:pStyle w:val="10"/>
        <w:tabs>
          <w:tab w:val="left" w:pos="1824"/>
        </w:tabs>
        <w:spacing w:line="440" w:lineRule="exact"/>
        <w:ind w:left="1180" w:firstLine="0"/>
        <w:rPr>
          <w:rFonts w:ascii="仿宋" w:hAnsi="仿宋" w:eastAsia="仿宋"/>
        </w:rPr>
      </w:pPr>
      <w:bookmarkStart w:id="18" w:name="bookmark38"/>
      <w:r>
        <w:rPr>
          <w:rFonts w:ascii="仿宋" w:hAnsi="仿宋" w:eastAsia="仿宋"/>
        </w:rPr>
        <w:t>八</w:t>
      </w:r>
      <w:bookmarkEnd w:id="18"/>
      <w:r>
        <w:rPr>
          <w:rFonts w:ascii="仿宋" w:hAnsi="仿宋" w:eastAsia="仿宋"/>
        </w:rPr>
        <w:t>、</w:t>
      </w:r>
      <w:r>
        <w:rPr>
          <w:rFonts w:ascii="仿宋" w:hAnsi="仿宋" w:eastAsia="仿宋"/>
        </w:rPr>
        <w:tab/>
      </w:r>
      <w:r>
        <w:rPr>
          <w:rFonts w:ascii="仿宋" w:hAnsi="仿宋" w:eastAsia="仿宋"/>
        </w:rPr>
        <w:t>国有资产占用情况说明</w:t>
      </w:r>
    </w:p>
    <w:p>
      <w:pPr>
        <w:pStyle w:val="10"/>
        <w:tabs>
          <w:tab w:val="left" w:pos="1824"/>
        </w:tabs>
        <w:spacing w:after="120" w:line="440" w:lineRule="exact"/>
        <w:ind w:left="1180" w:firstLine="0"/>
        <w:rPr>
          <w:rFonts w:ascii="仿宋" w:hAnsi="仿宋" w:eastAsia="仿宋"/>
        </w:rPr>
      </w:pPr>
      <w:bookmarkStart w:id="19" w:name="bookmark39"/>
      <w:r>
        <w:rPr>
          <w:rFonts w:ascii="仿宋" w:hAnsi="仿宋" w:eastAsia="仿宋"/>
        </w:rPr>
        <w:t>九</w:t>
      </w:r>
      <w:bookmarkEnd w:id="19"/>
      <w:r>
        <w:rPr>
          <w:rFonts w:ascii="仿宋" w:hAnsi="仿宋" w:eastAsia="仿宋"/>
        </w:rPr>
        <w:t>、</w:t>
      </w:r>
      <w:r>
        <w:rPr>
          <w:rFonts w:ascii="仿宋" w:hAnsi="仿宋" w:eastAsia="仿宋"/>
        </w:rPr>
        <w:tab/>
      </w:r>
      <w:r>
        <w:rPr>
          <w:rFonts w:ascii="仿宋" w:hAnsi="仿宋" w:eastAsia="仿宋"/>
        </w:rPr>
        <w:t>预算绩效情况说明</w:t>
      </w:r>
    </w:p>
    <w:p>
      <w:pPr>
        <w:pStyle w:val="10"/>
        <w:spacing w:after="100" w:line="440" w:lineRule="exact"/>
        <w:ind w:firstLine="500"/>
        <w:rPr>
          <w:b/>
          <w:bCs/>
          <w:lang w:eastAsia="zh-CN"/>
        </w:rPr>
      </w:pPr>
      <w:r>
        <w:rPr>
          <w:b/>
          <w:bCs/>
        </w:rPr>
        <w:t>第四部分名词解释</w:t>
      </w:r>
    </w:p>
    <w:p>
      <w:pPr>
        <w:pStyle w:val="10"/>
        <w:spacing w:after="100" w:line="440" w:lineRule="exact"/>
        <w:ind w:firstLine="500"/>
        <w:rPr>
          <w:lang w:eastAsia="zh-CN"/>
        </w:rPr>
      </w:pPr>
    </w:p>
    <w:p>
      <w:pPr>
        <w:widowControl/>
        <w:spacing w:line="560" w:lineRule="exact"/>
        <w:jc w:val="center"/>
        <w:rPr>
          <w:rFonts w:ascii="方正小标宋简体" w:hAnsi="方正小标宋简体" w:eastAsia="方正小标宋简体" w:cs="方正小标宋简体"/>
          <w:bCs/>
          <w:sz w:val="36"/>
          <w:szCs w:val="36"/>
          <w:lang w:eastAsia="zh-CN"/>
        </w:rPr>
      </w:pPr>
      <w:r>
        <w:rPr>
          <w:rFonts w:hint="eastAsia" w:ascii="方正小标宋简体" w:hAnsi="方正小标宋简体" w:eastAsia="方正小标宋简体" w:cs="方正小标宋简体"/>
          <w:bCs/>
          <w:sz w:val="36"/>
          <w:szCs w:val="36"/>
          <w:lang w:eastAsia="zh-CN"/>
        </w:rPr>
        <w:t>第一部分  兴国县退役军人事务局单位概况</w:t>
      </w:r>
      <w:bookmarkStart w:id="20" w:name="bookmark42"/>
      <w:bookmarkStart w:id="21" w:name="bookmark41"/>
      <w:bookmarkStart w:id="22" w:name="bookmark40"/>
    </w:p>
    <w:p>
      <w:pPr>
        <w:pStyle w:val="10"/>
        <w:spacing w:line="560" w:lineRule="exact"/>
        <w:ind w:firstLine="602" w:firstLineChars="200"/>
        <w:rPr>
          <w:b/>
        </w:rPr>
      </w:pPr>
      <w:r>
        <w:rPr>
          <w:b/>
        </w:rPr>
        <w:t>一、单位主要职能</w:t>
      </w:r>
      <w:bookmarkEnd w:id="20"/>
      <w:bookmarkEnd w:id="21"/>
      <w:bookmarkEnd w:id="22"/>
    </w:p>
    <w:p>
      <w:pPr>
        <w:spacing w:line="560" w:lineRule="exact"/>
        <w:ind w:firstLine="600" w:firstLineChars="200"/>
        <w:rPr>
          <w:rFonts w:ascii="仿宋" w:hAnsi="仿宋" w:eastAsia="仿宋" w:cs="仿宋_GB2312"/>
          <w:sz w:val="30"/>
          <w:szCs w:val="30"/>
          <w:lang w:eastAsia="zh-CN"/>
        </w:rPr>
      </w:pPr>
      <w:bookmarkStart w:id="23" w:name="bookmark45"/>
      <w:bookmarkStart w:id="24" w:name="bookmark47"/>
      <w:bookmarkStart w:id="25" w:name="bookmark46"/>
      <w:r>
        <w:rPr>
          <w:rFonts w:hint="eastAsia" w:ascii="仿宋" w:hAnsi="仿宋" w:eastAsia="仿宋" w:cs="仿宋_GB2312"/>
          <w:sz w:val="30"/>
          <w:szCs w:val="30"/>
          <w:lang w:eastAsia="zh-CN"/>
        </w:rPr>
        <w:t>兴国县退役军人事务局是县政府主管退役军人工作的工作部门，为正科级。主要职责是：</w:t>
      </w:r>
    </w:p>
    <w:p>
      <w:pPr>
        <w:spacing w:line="560" w:lineRule="exact"/>
        <w:ind w:firstLine="600" w:firstLineChars="200"/>
        <w:rPr>
          <w:rFonts w:ascii="仿宋" w:hAnsi="仿宋" w:eastAsia="仿宋" w:cs="仿宋_GB2312"/>
          <w:sz w:val="30"/>
          <w:szCs w:val="30"/>
          <w:lang w:eastAsia="zh-CN"/>
        </w:rPr>
      </w:pPr>
      <w:r>
        <w:rPr>
          <w:rFonts w:hint="eastAsia" w:ascii="仿宋" w:hAnsi="仿宋" w:eastAsia="仿宋" w:cs="仿宋_GB2312"/>
          <w:sz w:val="30"/>
          <w:szCs w:val="30"/>
          <w:lang w:eastAsia="zh-CN"/>
        </w:rPr>
        <w:t>（一）拟订全县退役军人思想政治、管理保障和安置优抚等工作规范性文件和制度并组织实施，褒扬彰显退役军人为党、国家和人民牺牲奉献的精神风范和价值导向。</w:t>
      </w:r>
    </w:p>
    <w:p>
      <w:pPr>
        <w:spacing w:line="560" w:lineRule="exact"/>
        <w:ind w:firstLine="600" w:firstLineChars="200"/>
        <w:rPr>
          <w:rFonts w:ascii="仿宋" w:hAnsi="仿宋" w:eastAsia="仿宋" w:cs="仿宋_GB2312"/>
          <w:sz w:val="30"/>
          <w:szCs w:val="30"/>
          <w:lang w:eastAsia="zh-CN"/>
        </w:rPr>
      </w:pPr>
      <w:r>
        <w:rPr>
          <w:rFonts w:hint="eastAsia" w:ascii="仿宋" w:hAnsi="仿宋" w:eastAsia="仿宋" w:cs="仿宋_GB2312"/>
          <w:sz w:val="30"/>
          <w:szCs w:val="30"/>
          <w:lang w:eastAsia="zh-CN"/>
        </w:rPr>
        <w:t>（二）负责全县军队转业干部、复员干部、离休退休干部、退役士兵和无军籍退休退职职工的移交安置工作和自主择业、就业退役军人服务管理等有关工作。</w:t>
      </w:r>
    </w:p>
    <w:p>
      <w:pPr>
        <w:spacing w:line="560" w:lineRule="exact"/>
        <w:ind w:firstLine="600" w:firstLineChars="200"/>
        <w:rPr>
          <w:rFonts w:ascii="仿宋" w:hAnsi="仿宋" w:eastAsia="仿宋" w:cs="仿宋_GB2312"/>
          <w:sz w:val="30"/>
          <w:szCs w:val="30"/>
          <w:lang w:eastAsia="zh-CN"/>
        </w:rPr>
      </w:pPr>
      <w:r>
        <w:rPr>
          <w:rFonts w:hint="eastAsia" w:ascii="仿宋" w:hAnsi="仿宋" w:eastAsia="仿宋" w:cs="仿宋_GB2312"/>
          <w:sz w:val="30"/>
          <w:szCs w:val="30"/>
          <w:lang w:eastAsia="zh-CN"/>
        </w:rPr>
        <w:t>（三）组织指导全县退役军人教育培训工作，协调扶持退役军人和随军随调家属就业创业。</w:t>
      </w:r>
    </w:p>
    <w:p>
      <w:pPr>
        <w:spacing w:line="560" w:lineRule="exact"/>
        <w:ind w:firstLine="600" w:firstLineChars="200"/>
        <w:rPr>
          <w:rFonts w:ascii="仿宋" w:hAnsi="仿宋" w:eastAsia="仿宋" w:cs="仿宋_GB2312"/>
          <w:sz w:val="30"/>
          <w:szCs w:val="30"/>
          <w:lang w:eastAsia="zh-CN"/>
        </w:rPr>
      </w:pPr>
      <w:r>
        <w:rPr>
          <w:rFonts w:hint="eastAsia" w:ascii="仿宋" w:hAnsi="仿宋" w:eastAsia="仿宋" w:cs="仿宋_GB2312"/>
          <w:sz w:val="30"/>
          <w:szCs w:val="30"/>
          <w:lang w:eastAsia="zh-CN"/>
        </w:rPr>
        <w:t>（四）会同有关部门拟订全县退役军人特殊保障政策并组织落实。</w:t>
      </w:r>
    </w:p>
    <w:p>
      <w:pPr>
        <w:spacing w:line="560" w:lineRule="exact"/>
        <w:ind w:firstLine="600" w:firstLineChars="200"/>
        <w:rPr>
          <w:rFonts w:ascii="仿宋" w:hAnsi="仿宋" w:eastAsia="仿宋" w:cs="仿宋_GB2312"/>
          <w:sz w:val="30"/>
          <w:szCs w:val="30"/>
          <w:lang w:eastAsia="zh-CN"/>
        </w:rPr>
      </w:pPr>
      <w:r>
        <w:rPr>
          <w:rFonts w:hint="eastAsia" w:ascii="仿宋" w:hAnsi="仿宋" w:eastAsia="仿宋" w:cs="仿宋_GB2312"/>
          <w:sz w:val="30"/>
          <w:szCs w:val="30"/>
          <w:lang w:eastAsia="zh-CN"/>
        </w:rPr>
        <w:t>（五）组织协调落实军队移交我县符合条件的离休退休干部住房补贴和无军籍退休退职职工住房维修、房租补贴发放等服务保障工作，以及退役军人医疗保障、社会保险等待遇保障工作。</w:t>
      </w:r>
    </w:p>
    <w:p>
      <w:pPr>
        <w:spacing w:line="560" w:lineRule="exact"/>
        <w:ind w:firstLine="600" w:firstLineChars="200"/>
        <w:rPr>
          <w:rFonts w:ascii="仿宋" w:hAnsi="仿宋" w:eastAsia="仿宋" w:cs="仿宋_GB2312"/>
          <w:sz w:val="30"/>
          <w:szCs w:val="30"/>
          <w:lang w:eastAsia="zh-CN"/>
        </w:rPr>
      </w:pPr>
      <w:r>
        <w:rPr>
          <w:rFonts w:hint="eastAsia" w:ascii="仿宋" w:hAnsi="仿宋" w:eastAsia="仿宋" w:cs="仿宋_GB2312"/>
          <w:sz w:val="30"/>
          <w:szCs w:val="30"/>
          <w:lang w:eastAsia="zh-CN"/>
        </w:rPr>
        <w:t>（六）组织指导全县伤病残退役军人服务管理和抚恤工作，会同有关部门拟订有关退役军人医疗、疗养、养老等机构的规划政策并指导实施。承担不适宜继续服役的伤病残军人相关工作。组织实施军供服务保障工作。</w:t>
      </w:r>
    </w:p>
    <w:p>
      <w:pPr>
        <w:spacing w:line="560" w:lineRule="exact"/>
        <w:ind w:firstLine="600" w:firstLineChars="200"/>
        <w:rPr>
          <w:rFonts w:ascii="仿宋" w:hAnsi="仿宋" w:eastAsia="仿宋" w:cs="仿宋_GB2312"/>
          <w:sz w:val="30"/>
          <w:szCs w:val="30"/>
          <w:lang w:eastAsia="zh-CN"/>
        </w:rPr>
      </w:pPr>
      <w:r>
        <w:rPr>
          <w:rFonts w:hint="eastAsia" w:ascii="仿宋" w:hAnsi="仿宋" w:eastAsia="仿宋" w:cs="仿宋_GB2312"/>
          <w:sz w:val="30"/>
          <w:szCs w:val="30"/>
          <w:lang w:eastAsia="zh-CN"/>
        </w:rPr>
        <w:t>（七）组织指导全县拥军优属工作。负责现役军人、退役军人、军队文职人员和军属优待、抚恤等工作，落实国民党抗战老兵等有关人员优待政策。</w:t>
      </w:r>
    </w:p>
    <w:p>
      <w:pPr>
        <w:spacing w:line="560" w:lineRule="exact"/>
        <w:ind w:firstLine="600" w:firstLineChars="200"/>
        <w:rPr>
          <w:rFonts w:ascii="仿宋" w:hAnsi="仿宋" w:eastAsia="仿宋" w:cs="仿宋_GB2312"/>
          <w:sz w:val="30"/>
          <w:szCs w:val="30"/>
          <w:lang w:eastAsia="zh-CN"/>
        </w:rPr>
      </w:pPr>
      <w:r>
        <w:rPr>
          <w:rFonts w:hint="eastAsia" w:ascii="仿宋" w:hAnsi="仿宋" w:eastAsia="仿宋" w:cs="仿宋_GB2312"/>
          <w:sz w:val="30"/>
          <w:szCs w:val="30"/>
          <w:lang w:eastAsia="zh-CN"/>
        </w:rPr>
        <w:t>（八）负责烈士及退役军人荣誉奖励、军人公墓管理维护、纪念活动等工作，依法承担英雄烈士保护相关工作，审核拟列入县级烈士纪念设施名录，按规定总结表彰和宣扬退役军人、退役军人工作单位和个人先进典型事迹。</w:t>
      </w:r>
    </w:p>
    <w:p>
      <w:pPr>
        <w:spacing w:line="560" w:lineRule="exact"/>
        <w:ind w:firstLine="600" w:firstLineChars="200"/>
        <w:rPr>
          <w:rFonts w:ascii="仿宋" w:hAnsi="仿宋" w:eastAsia="仿宋" w:cs="仿宋_GB2312"/>
          <w:sz w:val="30"/>
          <w:szCs w:val="30"/>
          <w:lang w:eastAsia="zh-CN"/>
        </w:rPr>
      </w:pPr>
      <w:r>
        <w:rPr>
          <w:rFonts w:hint="eastAsia" w:ascii="仿宋" w:hAnsi="仿宋" w:eastAsia="仿宋" w:cs="仿宋_GB2312"/>
          <w:sz w:val="30"/>
          <w:szCs w:val="30"/>
          <w:lang w:eastAsia="zh-CN"/>
        </w:rPr>
        <w:t>（九）指导并监督检查退役军人相关法律法规和政策措施的落实，组织开展退役军人权益维护和有关人员的走访慰问、帮扶援助工作。指导督促所属单位进行安全管理。</w:t>
      </w:r>
    </w:p>
    <w:p>
      <w:pPr>
        <w:spacing w:line="560" w:lineRule="exact"/>
        <w:ind w:firstLine="600" w:firstLineChars="200"/>
        <w:rPr>
          <w:rFonts w:ascii="仿宋" w:hAnsi="仿宋" w:eastAsia="仿宋" w:cs="仿宋_GB2312"/>
          <w:sz w:val="30"/>
          <w:szCs w:val="30"/>
          <w:lang w:eastAsia="zh-CN"/>
        </w:rPr>
      </w:pPr>
      <w:r>
        <w:rPr>
          <w:rFonts w:hint="eastAsia" w:ascii="仿宋" w:hAnsi="仿宋" w:eastAsia="仿宋" w:cs="仿宋_GB2312"/>
          <w:sz w:val="30"/>
          <w:szCs w:val="30"/>
          <w:lang w:eastAsia="zh-CN"/>
        </w:rPr>
        <w:t>（十）在征求县委组织、机构编制等部门意见基础上，牵头提出全县计划分配军队转业干部、符合条件的退役士兵的安置计划并组织实施。</w:t>
      </w:r>
    </w:p>
    <w:p>
      <w:pPr>
        <w:spacing w:line="560" w:lineRule="exact"/>
        <w:ind w:firstLine="600" w:firstLineChars="200"/>
        <w:rPr>
          <w:rFonts w:ascii="仿宋" w:hAnsi="仿宋" w:eastAsia="仿宋" w:cs="仿宋_GB2312"/>
          <w:sz w:val="30"/>
          <w:szCs w:val="30"/>
          <w:lang w:eastAsia="zh-CN"/>
        </w:rPr>
      </w:pPr>
      <w:r>
        <w:rPr>
          <w:rFonts w:hint="eastAsia" w:ascii="仿宋" w:hAnsi="仿宋" w:eastAsia="仿宋" w:cs="仿宋_GB2312"/>
          <w:sz w:val="30"/>
          <w:szCs w:val="30"/>
          <w:lang w:eastAsia="zh-CN"/>
        </w:rPr>
        <w:t>（十一）</w:t>
      </w:r>
      <w:r>
        <w:rPr>
          <w:rFonts w:ascii="仿宋" w:hAnsi="仿宋" w:eastAsia="仿宋" w:cs="仿宋_GB2312"/>
          <w:sz w:val="30"/>
          <w:szCs w:val="30"/>
          <w:lang w:eastAsia="zh-CN"/>
        </w:rPr>
        <w:t>负责烈士陵园纪念馆</w:t>
      </w:r>
      <w:r>
        <w:rPr>
          <w:rFonts w:hint="eastAsia" w:ascii="仿宋" w:hAnsi="仿宋" w:eastAsia="仿宋" w:cs="仿宋_GB2312"/>
          <w:sz w:val="30"/>
          <w:szCs w:val="30"/>
          <w:lang w:eastAsia="zh-CN"/>
        </w:rPr>
        <w:t>及散葬墓园</w:t>
      </w:r>
      <w:r>
        <w:rPr>
          <w:rFonts w:ascii="仿宋" w:hAnsi="仿宋" w:eastAsia="仿宋" w:cs="仿宋_GB2312"/>
          <w:sz w:val="30"/>
          <w:szCs w:val="30"/>
          <w:lang w:eastAsia="zh-CN"/>
        </w:rPr>
        <w:t>建筑物建设维护与环境美化; 烈士遗物和革命史料的陈列展览；烈士骨灰的安放和保存; 烈士文物档案建立与保管</w:t>
      </w:r>
      <w:r>
        <w:rPr>
          <w:rFonts w:hint="eastAsia" w:ascii="仿宋" w:hAnsi="仿宋" w:eastAsia="仿宋" w:cs="仿宋_GB2312"/>
          <w:sz w:val="30"/>
          <w:szCs w:val="30"/>
          <w:lang w:eastAsia="zh-CN"/>
        </w:rPr>
        <w:t>。</w:t>
      </w:r>
    </w:p>
    <w:p>
      <w:pPr>
        <w:spacing w:line="560" w:lineRule="exact"/>
        <w:ind w:firstLine="600" w:firstLineChars="200"/>
        <w:rPr>
          <w:rFonts w:ascii="仿宋" w:hAnsi="仿宋" w:eastAsia="仿宋" w:cs="仿宋_GB2312"/>
          <w:sz w:val="30"/>
          <w:szCs w:val="30"/>
          <w:lang w:eastAsia="zh-CN"/>
        </w:rPr>
      </w:pPr>
      <w:r>
        <w:rPr>
          <w:rFonts w:hint="eastAsia" w:ascii="仿宋" w:hAnsi="仿宋" w:eastAsia="仿宋" w:cs="仿宋_GB2312"/>
          <w:sz w:val="30"/>
          <w:szCs w:val="30"/>
          <w:lang w:eastAsia="zh-CN"/>
        </w:rPr>
        <w:t>（十二）完成县委、县政府交办的其它工作任务。</w:t>
      </w:r>
    </w:p>
    <w:p>
      <w:pPr>
        <w:spacing w:line="560" w:lineRule="exact"/>
        <w:ind w:firstLine="600" w:firstLineChars="200"/>
        <w:rPr>
          <w:rFonts w:ascii="仿宋" w:hAnsi="仿宋" w:eastAsia="仿宋" w:cs="仿宋_GB2312"/>
          <w:sz w:val="30"/>
          <w:szCs w:val="30"/>
          <w:lang w:eastAsia="zh-CN"/>
        </w:rPr>
      </w:pPr>
      <w:r>
        <w:rPr>
          <w:rFonts w:hint="eastAsia" w:ascii="仿宋" w:hAnsi="仿宋" w:eastAsia="仿宋" w:cs="仿宋_GB2312"/>
          <w:sz w:val="30"/>
          <w:szCs w:val="30"/>
          <w:lang w:eastAsia="zh-CN"/>
        </w:rPr>
        <w:t>（十三）职能转变。县退役军人事务局应加强全县退役军人思想政治工作和服务保障体系建设，建立健全集中统一、职责清晰的退役军人管理保障体制，协调各方力量更好为军人军属服务，维护军人军属合法权益，让军人成为全社会尊崇的职业，褒扬彰显退役军人为党、国家和人民牺牲奉献的精神风范和价值导向，更好地为增强部队战斗力和凝聚力做好组织保障。</w:t>
      </w:r>
    </w:p>
    <w:p>
      <w:pPr>
        <w:pStyle w:val="10"/>
        <w:spacing w:line="560" w:lineRule="exact"/>
        <w:ind w:firstLine="602" w:firstLineChars="200"/>
        <w:rPr>
          <w:b/>
          <w:lang w:eastAsia="zh-CN"/>
        </w:rPr>
      </w:pPr>
      <w:r>
        <w:rPr>
          <w:rFonts w:hint="eastAsia"/>
          <w:b/>
        </w:rPr>
        <w:t>二、单位基本情况</w:t>
      </w:r>
      <w:bookmarkEnd w:id="23"/>
      <w:bookmarkEnd w:id="24"/>
      <w:bookmarkEnd w:id="25"/>
    </w:p>
    <w:p>
      <w:pPr>
        <w:spacing w:line="560" w:lineRule="exact"/>
        <w:ind w:firstLine="630"/>
        <w:rPr>
          <w:rFonts w:ascii="仿宋" w:hAnsi="仿宋" w:eastAsia="仿宋" w:cs="仿宋_GB2312"/>
          <w:sz w:val="30"/>
          <w:szCs w:val="30"/>
          <w:lang w:eastAsia="zh-CN"/>
        </w:rPr>
      </w:pPr>
      <w:r>
        <w:rPr>
          <w:rFonts w:hint="eastAsia" w:ascii="仿宋" w:hAnsi="仿宋" w:eastAsia="仿宋" w:cs="仿宋_GB2312"/>
          <w:sz w:val="30"/>
          <w:szCs w:val="30"/>
          <w:lang w:eastAsia="zh-CN"/>
        </w:rPr>
        <w:t>本单位设立2个内设机构，分别是办公室、移交安置股。</w:t>
      </w:r>
    </w:p>
    <w:p>
      <w:pPr>
        <w:spacing w:line="560" w:lineRule="exact"/>
        <w:ind w:firstLine="630"/>
        <w:rPr>
          <w:rFonts w:ascii="仿宋" w:hAnsi="仿宋" w:eastAsia="仿宋" w:cs="仿宋_GB2312"/>
          <w:sz w:val="30"/>
          <w:szCs w:val="30"/>
          <w:lang w:eastAsia="zh-CN"/>
        </w:rPr>
      </w:pPr>
      <w:r>
        <w:rPr>
          <w:rFonts w:hint="eastAsia" w:ascii="仿宋" w:hAnsi="仿宋" w:eastAsia="仿宋" w:cs="仿宋_GB2312"/>
          <w:sz w:val="30"/>
          <w:szCs w:val="30"/>
          <w:lang w:eastAsia="zh-CN"/>
        </w:rPr>
        <w:t>本单位2021年年末实有人数 50人，其中在职人员 33 人，离休人员 0人，退休人员 17人（不含由养老保险基金发放养老金的离退休人员）；年末其他人员0人；年末学生人数0人；由养老保险基金发放养老金的离退休人员 0人。</w:t>
      </w:r>
    </w:p>
    <w:tbl>
      <w:tblPr>
        <w:tblStyle w:val="6"/>
        <w:tblW w:w="9857" w:type="dxa"/>
        <w:tblInd w:w="93" w:type="dxa"/>
        <w:tblLayout w:type="autofit"/>
        <w:tblCellMar>
          <w:top w:w="0" w:type="dxa"/>
          <w:left w:w="108" w:type="dxa"/>
          <w:bottom w:w="0" w:type="dxa"/>
          <w:right w:w="108" w:type="dxa"/>
        </w:tblCellMar>
      </w:tblPr>
      <w:tblGrid>
        <w:gridCol w:w="9857"/>
      </w:tblGrid>
      <w:tr>
        <w:tblPrEx>
          <w:tblCellMar>
            <w:top w:w="0" w:type="dxa"/>
            <w:left w:w="108" w:type="dxa"/>
            <w:bottom w:w="0" w:type="dxa"/>
            <w:right w:w="108" w:type="dxa"/>
          </w:tblCellMar>
        </w:tblPrEx>
        <w:trPr>
          <w:trHeight w:val="450" w:hRule="atLeast"/>
        </w:trPr>
        <w:tc>
          <w:tcPr>
            <w:tcW w:w="9857" w:type="dxa"/>
            <w:tcBorders>
              <w:top w:val="nil"/>
              <w:left w:val="nil"/>
              <w:bottom w:val="nil"/>
              <w:right w:val="nil"/>
            </w:tcBorders>
            <w:shd w:val="clear" w:color="auto" w:fill="auto"/>
            <w:noWrap/>
            <w:vAlign w:val="bottom"/>
          </w:tcPr>
          <w:p>
            <w:pPr>
              <w:widowControl/>
              <w:spacing w:line="600" w:lineRule="exact"/>
              <w:jc w:val="center"/>
              <w:rPr>
                <w:rFonts w:ascii="方正小标宋简体" w:hAnsi="方正小标宋简体" w:eastAsia="方正小标宋简体" w:cs="方正小标宋简体"/>
                <w:bCs/>
                <w:sz w:val="36"/>
                <w:szCs w:val="36"/>
                <w:lang w:eastAsia="zh-CN"/>
              </w:rPr>
            </w:pPr>
            <w:bookmarkStart w:id="26" w:name="bookmark49"/>
            <w:bookmarkStart w:id="27" w:name="bookmark48"/>
            <w:bookmarkStart w:id="28" w:name="bookmark50"/>
            <w:r>
              <w:rPr>
                <w:rFonts w:hint="eastAsia" w:ascii="方正小标宋简体" w:hAnsi="方正小标宋简体" w:eastAsia="方正小标宋简体" w:cs="方正小标宋简体"/>
                <w:bCs/>
                <w:sz w:val="36"/>
                <w:szCs w:val="36"/>
                <w:lang w:eastAsia="zh-CN"/>
              </w:rPr>
              <w:t>第二部分2021年度单位决算表</w:t>
            </w:r>
            <w:bookmarkEnd w:id="26"/>
            <w:bookmarkEnd w:id="27"/>
            <w:bookmarkEnd w:id="28"/>
            <w:bookmarkStart w:id="29" w:name="bookmark52"/>
            <w:bookmarkStart w:id="30" w:name="bookmark51"/>
            <w:bookmarkStart w:id="31" w:name="bookmark53"/>
          </w:p>
        </w:tc>
      </w:tr>
    </w:tbl>
    <w:p>
      <w:pPr>
        <w:spacing w:line="480" w:lineRule="auto"/>
        <w:jc w:val="center"/>
        <w:rPr>
          <w:rFonts w:ascii="黑体" w:hAnsi="黑体" w:eastAsia="黑体"/>
          <w:b/>
          <w:sz w:val="32"/>
          <w:szCs w:val="32"/>
          <w:lang w:eastAsia="zh-CN"/>
        </w:rPr>
      </w:pPr>
    </w:p>
    <w:p>
      <w:pPr>
        <w:pStyle w:val="2"/>
        <w:rPr>
          <w:lang w:val="en-US" w:eastAsia="zh-CN" w:bidi="en-US"/>
        </w:rPr>
      </w:pPr>
      <w:r>
        <w:rPr>
          <w:lang w:val="en-US" w:eastAsia="zh-CN" w:bidi="ar-SA"/>
        </w:rPr>
        <w:drawing>
          <wp:inline distT="0" distB="0" distL="0" distR="0">
            <wp:extent cx="5690870" cy="5354955"/>
            <wp:effectExtent l="19050" t="0" r="5080" b="0"/>
            <wp:docPr id="1" name="图片 1" descr="C:\Users\admin\Documents\WeChat Files\wxid_qmecdyegffja22\FileStorage\Temp\16606158785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Documents\WeChat Files\wxid_qmecdyegffja22\FileStorage\Temp\1660615878579.png"/>
                    <pic:cNvPicPr>
                      <a:picLocks noChangeAspect="1" noChangeArrowheads="1"/>
                    </pic:cNvPicPr>
                  </pic:nvPicPr>
                  <pic:blipFill>
                    <a:blip r:embed="rId7"/>
                    <a:srcRect/>
                    <a:stretch>
                      <a:fillRect/>
                    </a:stretch>
                  </pic:blipFill>
                  <pic:spPr>
                    <a:xfrm>
                      <a:off x="0" y="0"/>
                      <a:ext cx="5690870" cy="5355100"/>
                    </a:xfrm>
                    <a:prstGeom prst="rect">
                      <a:avLst/>
                    </a:prstGeom>
                    <a:noFill/>
                    <a:ln w="9525">
                      <a:noFill/>
                      <a:miter lim="800000"/>
                      <a:headEnd/>
                      <a:tailEnd/>
                    </a:ln>
                  </pic:spPr>
                </pic:pic>
              </a:graphicData>
            </a:graphic>
          </wp:inline>
        </w:drawing>
      </w:r>
    </w:p>
    <w:p>
      <w:pPr>
        <w:pStyle w:val="2"/>
        <w:rPr>
          <w:lang w:val="en-US" w:eastAsia="zh-CN" w:bidi="en-US"/>
        </w:rPr>
      </w:pPr>
    </w:p>
    <w:p>
      <w:pPr>
        <w:pStyle w:val="2"/>
        <w:rPr>
          <w:lang w:val="en-US" w:eastAsia="zh-CN" w:bidi="en-US"/>
        </w:rPr>
      </w:pPr>
    </w:p>
    <w:p>
      <w:pPr>
        <w:pStyle w:val="2"/>
        <w:rPr>
          <w:lang w:val="en-US" w:eastAsia="zh-CN" w:bidi="en-US"/>
        </w:rPr>
      </w:pPr>
    </w:p>
    <w:p>
      <w:pPr>
        <w:pStyle w:val="2"/>
        <w:rPr>
          <w:lang w:val="en-US" w:eastAsia="zh-CN" w:bidi="en-US"/>
        </w:rPr>
      </w:pPr>
    </w:p>
    <w:p>
      <w:pPr>
        <w:pStyle w:val="2"/>
        <w:rPr>
          <w:lang w:val="en-US" w:eastAsia="zh-CN" w:bidi="en-US"/>
        </w:rPr>
      </w:pPr>
    </w:p>
    <w:p>
      <w:pPr>
        <w:pStyle w:val="2"/>
        <w:rPr>
          <w:lang w:val="en-US" w:eastAsia="zh-CN" w:bidi="en-US"/>
        </w:rPr>
      </w:pPr>
    </w:p>
    <w:p>
      <w:pPr>
        <w:pStyle w:val="2"/>
        <w:rPr>
          <w:lang w:val="en-US" w:eastAsia="zh-CN" w:bidi="en-US"/>
        </w:rPr>
      </w:pPr>
    </w:p>
    <w:p>
      <w:pPr>
        <w:pStyle w:val="2"/>
        <w:rPr>
          <w:lang w:val="en-US" w:eastAsia="zh-CN" w:bidi="en-US"/>
        </w:rPr>
      </w:pPr>
    </w:p>
    <w:p>
      <w:pPr>
        <w:pStyle w:val="2"/>
        <w:rPr>
          <w:lang w:val="en-US" w:eastAsia="zh-CN" w:bidi="en-US"/>
        </w:rPr>
      </w:pPr>
    </w:p>
    <w:p>
      <w:pPr>
        <w:pStyle w:val="2"/>
        <w:rPr>
          <w:lang w:val="en-US" w:eastAsia="zh-CN" w:bidi="en-US"/>
        </w:rPr>
      </w:pPr>
    </w:p>
    <w:p>
      <w:pPr>
        <w:pStyle w:val="2"/>
        <w:rPr>
          <w:lang w:val="en-US" w:eastAsia="zh-CN" w:bidi="en-US"/>
        </w:rPr>
      </w:pPr>
    </w:p>
    <w:p>
      <w:pPr>
        <w:pStyle w:val="2"/>
        <w:rPr>
          <w:lang w:val="en-US" w:eastAsia="zh-CN" w:bidi="en-US"/>
        </w:rPr>
      </w:pPr>
    </w:p>
    <w:p>
      <w:pPr>
        <w:pStyle w:val="2"/>
        <w:rPr>
          <w:lang w:val="en-US" w:eastAsia="zh-CN" w:bidi="en-US"/>
        </w:rPr>
      </w:pPr>
      <w:r>
        <w:rPr>
          <w:lang w:val="en-US" w:eastAsia="zh-CN" w:bidi="ar-SA"/>
        </w:rPr>
        <w:drawing>
          <wp:inline distT="0" distB="0" distL="0" distR="0">
            <wp:extent cx="5867400" cy="4591050"/>
            <wp:effectExtent l="19050" t="0" r="0" b="0"/>
            <wp:docPr id="2" name="图片 2" descr="C:\Users\admin\Documents\WeChat Files\wxid_qmecdyegffja22\FileStorage\Temp\16606166952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Documents\WeChat Files\wxid_qmecdyegffja22\FileStorage\Temp\1660616695296.png"/>
                    <pic:cNvPicPr>
                      <a:picLocks noChangeAspect="1" noChangeArrowheads="1"/>
                    </pic:cNvPicPr>
                  </pic:nvPicPr>
                  <pic:blipFill>
                    <a:blip r:embed="rId8"/>
                    <a:srcRect/>
                    <a:stretch>
                      <a:fillRect/>
                    </a:stretch>
                  </pic:blipFill>
                  <pic:spPr>
                    <a:xfrm>
                      <a:off x="0" y="0"/>
                      <a:ext cx="5867400" cy="4591050"/>
                    </a:xfrm>
                    <a:prstGeom prst="rect">
                      <a:avLst/>
                    </a:prstGeom>
                    <a:noFill/>
                    <a:ln w="9525">
                      <a:noFill/>
                      <a:miter lim="800000"/>
                      <a:headEnd/>
                      <a:tailEnd/>
                    </a:ln>
                  </pic:spPr>
                </pic:pic>
              </a:graphicData>
            </a:graphic>
          </wp:inline>
        </w:drawing>
      </w:r>
    </w:p>
    <w:p>
      <w:pPr>
        <w:pStyle w:val="2"/>
        <w:rPr>
          <w:lang w:val="en-US" w:eastAsia="zh-CN" w:bidi="en-US"/>
        </w:rPr>
      </w:pPr>
    </w:p>
    <w:p>
      <w:pPr>
        <w:pStyle w:val="2"/>
        <w:rPr>
          <w:lang w:val="en-US" w:eastAsia="zh-CN" w:bidi="en-US"/>
        </w:rPr>
      </w:pPr>
    </w:p>
    <w:p>
      <w:pPr>
        <w:pStyle w:val="2"/>
        <w:rPr>
          <w:lang w:val="en-US" w:eastAsia="zh-CN" w:bidi="en-US"/>
        </w:rPr>
      </w:pPr>
    </w:p>
    <w:p>
      <w:pPr>
        <w:pStyle w:val="2"/>
        <w:rPr>
          <w:lang w:val="en-US" w:eastAsia="zh-CN" w:bidi="en-US"/>
        </w:rPr>
      </w:pPr>
    </w:p>
    <w:p>
      <w:pPr>
        <w:pStyle w:val="2"/>
        <w:rPr>
          <w:lang w:val="en-US" w:eastAsia="zh-CN" w:bidi="en-US"/>
        </w:rPr>
      </w:pPr>
    </w:p>
    <w:p>
      <w:pPr>
        <w:pStyle w:val="2"/>
        <w:rPr>
          <w:lang w:val="en-US" w:eastAsia="zh-CN" w:bidi="en-US"/>
        </w:rPr>
      </w:pPr>
    </w:p>
    <w:p>
      <w:pPr>
        <w:pStyle w:val="2"/>
        <w:rPr>
          <w:lang w:val="en-US" w:eastAsia="zh-CN" w:bidi="en-US"/>
        </w:rPr>
      </w:pPr>
    </w:p>
    <w:p>
      <w:pPr>
        <w:pStyle w:val="2"/>
        <w:rPr>
          <w:lang w:val="en-US" w:eastAsia="zh-CN" w:bidi="en-US"/>
        </w:rPr>
      </w:pPr>
    </w:p>
    <w:p>
      <w:pPr>
        <w:pStyle w:val="2"/>
        <w:rPr>
          <w:lang w:val="en-US" w:eastAsia="zh-CN" w:bidi="en-US"/>
        </w:rPr>
      </w:pPr>
    </w:p>
    <w:p>
      <w:pPr>
        <w:pStyle w:val="2"/>
        <w:rPr>
          <w:lang w:val="en-US" w:eastAsia="zh-CN" w:bidi="en-US"/>
        </w:rPr>
      </w:pPr>
    </w:p>
    <w:p>
      <w:pPr>
        <w:pStyle w:val="2"/>
        <w:rPr>
          <w:lang w:val="en-US" w:eastAsia="zh-CN" w:bidi="en-US"/>
        </w:rPr>
      </w:pPr>
    </w:p>
    <w:p>
      <w:pPr>
        <w:pStyle w:val="2"/>
        <w:rPr>
          <w:lang w:val="en-US" w:eastAsia="zh-CN" w:bidi="en-US"/>
        </w:rPr>
      </w:pPr>
    </w:p>
    <w:p>
      <w:pPr>
        <w:pStyle w:val="2"/>
        <w:rPr>
          <w:lang w:val="en-US" w:eastAsia="zh-CN" w:bidi="en-US"/>
        </w:rPr>
      </w:pPr>
    </w:p>
    <w:p>
      <w:pPr>
        <w:pStyle w:val="2"/>
        <w:rPr>
          <w:lang w:val="en-US" w:eastAsia="zh-CN" w:bidi="en-US"/>
        </w:rPr>
      </w:pPr>
    </w:p>
    <w:p>
      <w:pPr>
        <w:pStyle w:val="2"/>
        <w:rPr>
          <w:lang w:val="en-US" w:eastAsia="zh-CN" w:bidi="en-US"/>
        </w:rPr>
      </w:pPr>
    </w:p>
    <w:p>
      <w:pPr>
        <w:pStyle w:val="2"/>
        <w:rPr>
          <w:lang w:val="en-US" w:eastAsia="zh-CN" w:bidi="en-US"/>
        </w:rPr>
      </w:pPr>
    </w:p>
    <w:p>
      <w:pPr>
        <w:pStyle w:val="2"/>
        <w:rPr>
          <w:lang w:val="en-US" w:eastAsia="zh-CN" w:bidi="en-US"/>
        </w:rPr>
      </w:pPr>
    </w:p>
    <w:p>
      <w:pPr>
        <w:pStyle w:val="2"/>
        <w:rPr>
          <w:lang w:val="en-US" w:eastAsia="zh-CN" w:bidi="en-US"/>
        </w:rPr>
      </w:pPr>
      <w:r>
        <w:rPr>
          <w:lang w:val="en-US" w:eastAsia="zh-CN" w:bidi="ar-SA"/>
        </w:rPr>
        <w:drawing>
          <wp:inline distT="0" distB="0" distL="0" distR="0">
            <wp:extent cx="5955665" cy="4933950"/>
            <wp:effectExtent l="19050" t="0" r="6899" b="0"/>
            <wp:docPr id="3" name="图片 3" descr="C:\Users\admin\Documents\WeChat Files\wxid_qmecdyegffja22\FileStorage\Temp\16606167930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Documents\WeChat Files\wxid_qmecdyegffja22\FileStorage\Temp\1660616793064.png"/>
                    <pic:cNvPicPr>
                      <a:picLocks noChangeAspect="1" noChangeArrowheads="1"/>
                    </pic:cNvPicPr>
                  </pic:nvPicPr>
                  <pic:blipFill>
                    <a:blip r:embed="rId9"/>
                    <a:srcRect/>
                    <a:stretch>
                      <a:fillRect/>
                    </a:stretch>
                  </pic:blipFill>
                  <pic:spPr>
                    <a:xfrm>
                      <a:off x="0" y="0"/>
                      <a:ext cx="5961864" cy="4939014"/>
                    </a:xfrm>
                    <a:prstGeom prst="rect">
                      <a:avLst/>
                    </a:prstGeom>
                    <a:noFill/>
                    <a:ln w="9525">
                      <a:noFill/>
                      <a:miter lim="800000"/>
                      <a:headEnd/>
                      <a:tailEnd/>
                    </a:ln>
                  </pic:spPr>
                </pic:pic>
              </a:graphicData>
            </a:graphic>
          </wp:inline>
        </w:drawing>
      </w:r>
    </w:p>
    <w:p>
      <w:pPr>
        <w:pStyle w:val="2"/>
        <w:rPr>
          <w:lang w:val="en-US" w:eastAsia="zh-CN" w:bidi="en-US"/>
        </w:rPr>
      </w:pPr>
    </w:p>
    <w:p>
      <w:pPr>
        <w:pStyle w:val="2"/>
        <w:rPr>
          <w:lang w:val="en-US" w:eastAsia="zh-CN" w:bidi="en-US"/>
        </w:rPr>
      </w:pPr>
    </w:p>
    <w:p>
      <w:pPr>
        <w:pStyle w:val="2"/>
        <w:rPr>
          <w:lang w:val="en-US" w:eastAsia="zh-CN" w:bidi="en-US"/>
        </w:rPr>
      </w:pPr>
    </w:p>
    <w:p>
      <w:pPr>
        <w:pStyle w:val="2"/>
        <w:rPr>
          <w:lang w:val="en-US" w:eastAsia="zh-CN" w:bidi="en-US"/>
        </w:rPr>
      </w:pPr>
    </w:p>
    <w:p>
      <w:pPr>
        <w:pStyle w:val="2"/>
        <w:rPr>
          <w:lang w:val="en-US" w:eastAsia="zh-CN" w:bidi="en-US"/>
        </w:rPr>
      </w:pPr>
    </w:p>
    <w:p>
      <w:pPr>
        <w:pStyle w:val="2"/>
        <w:rPr>
          <w:lang w:val="en-US" w:eastAsia="zh-CN" w:bidi="en-US"/>
        </w:rPr>
      </w:pPr>
    </w:p>
    <w:p>
      <w:pPr>
        <w:pStyle w:val="2"/>
        <w:rPr>
          <w:lang w:val="en-US" w:eastAsia="zh-CN" w:bidi="en-US"/>
        </w:rPr>
      </w:pPr>
    </w:p>
    <w:p>
      <w:pPr>
        <w:pStyle w:val="2"/>
        <w:rPr>
          <w:lang w:val="en-US" w:eastAsia="zh-CN" w:bidi="en-US"/>
        </w:rPr>
      </w:pPr>
    </w:p>
    <w:p>
      <w:pPr>
        <w:pStyle w:val="2"/>
        <w:rPr>
          <w:lang w:val="en-US" w:eastAsia="zh-CN" w:bidi="en-US"/>
        </w:rPr>
      </w:pPr>
    </w:p>
    <w:p>
      <w:pPr>
        <w:pStyle w:val="2"/>
        <w:rPr>
          <w:lang w:val="en-US" w:eastAsia="zh-CN" w:bidi="en-US"/>
        </w:rPr>
      </w:pPr>
    </w:p>
    <w:p>
      <w:pPr>
        <w:pStyle w:val="2"/>
        <w:rPr>
          <w:lang w:val="en-US" w:eastAsia="zh-CN" w:bidi="en-US"/>
        </w:rPr>
      </w:pPr>
    </w:p>
    <w:p>
      <w:pPr>
        <w:pStyle w:val="2"/>
        <w:rPr>
          <w:lang w:val="en-US" w:eastAsia="zh-CN" w:bidi="en-US"/>
        </w:rPr>
      </w:pPr>
    </w:p>
    <w:p>
      <w:pPr>
        <w:pStyle w:val="2"/>
        <w:rPr>
          <w:lang w:val="en-US" w:eastAsia="zh-CN" w:bidi="en-US"/>
        </w:rPr>
      </w:pPr>
    </w:p>
    <w:p>
      <w:pPr>
        <w:pStyle w:val="2"/>
        <w:rPr>
          <w:lang w:val="en-US" w:eastAsia="zh-CN" w:bidi="en-US"/>
        </w:rPr>
      </w:pPr>
    </w:p>
    <w:p>
      <w:pPr>
        <w:pStyle w:val="2"/>
        <w:rPr>
          <w:lang w:val="en-US" w:eastAsia="zh-CN" w:bidi="en-US"/>
        </w:rPr>
      </w:pPr>
    </w:p>
    <w:p>
      <w:pPr>
        <w:pStyle w:val="2"/>
        <w:rPr>
          <w:lang w:val="en-US" w:eastAsia="zh-CN" w:bidi="en-US"/>
        </w:rPr>
      </w:pPr>
      <w:r>
        <w:rPr>
          <w:lang w:val="en-US" w:eastAsia="zh-CN" w:bidi="ar-SA"/>
        </w:rPr>
        <w:drawing>
          <wp:inline distT="0" distB="0" distL="0" distR="0">
            <wp:extent cx="5690870" cy="5162550"/>
            <wp:effectExtent l="19050" t="0" r="5080" b="0"/>
            <wp:docPr id="4" name="图片 4" descr="C:\Users\admin\Documents\WeChat Files\wxid_qmecdyegffja22\FileStorage\Temp\16606168938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Documents\WeChat Files\wxid_qmecdyegffja22\FileStorage\Temp\1660616893829.png"/>
                    <pic:cNvPicPr>
                      <a:picLocks noChangeAspect="1" noChangeArrowheads="1"/>
                    </pic:cNvPicPr>
                  </pic:nvPicPr>
                  <pic:blipFill>
                    <a:blip r:embed="rId10"/>
                    <a:srcRect/>
                    <a:stretch>
                      <a:fillRect/>
                    </a:stretch>
                  </pic:blipFill>
                  <pic:spPr>
                    <a:xfrm>
                      <a:off x="0" y="0"/>
                      <a:ext cx="5690870" cy="5162550"/>
                    </a:xfrm>
                    <a:prstGeom prst="rect">
                      <a:avLst/>
                    </a:prstGeom>
                    <a:noFill/>
                    <a:ln w="9525">
                      <a:noFill/>
                      <a:miter lim="800000"/>
                      <a:headEnd/>
                      <a:tailEnd/>
                    </a:ln>
                  </pic:spPr>
                </pic:pic>
              </a:graphicData>
            </a:graphic>
          </wp:inline>
        </w:drawing>
      </w:r>
    </w:p>
    <w:p>
      <w:pPr>
        <w:pStyle w:val="2"/>
        <w:rPr>
          <w:lang w:val="en-US" w:eastAsia="zh-CN" w:bidi="en-US"/>
        </w:rPr>
      </w:pPr>
    </w:p>
    <w:p>
      <w:pPr>
        <w:pStyle w:val="2"/>
        <w:rPr>
          <w:lang w:val="en-US" w:eastAsia="zh-CN" w:bidi="en-US"/>
        </w:rPr>
      </w:pPr>
    </w:p>
    <w:p>
      <w:pPr>
        <w:pStyle w:val="2"/>
        <w:rPr>
          <w:lang w:val="en-US" w:eastAsia="zh-CN" w:bidi="en-US"/>
        </w:rPr>
      </w:pPr>
    </w:p>
    <w:p>
      <w:pPr>
        <w:pStyle w:val="2"/>
        <w:rPr>
          <w:lang w:val="en-US" w:eastAsia="zh-CN" w:bidi="en-US"/>
        </w:rPr>
      </w:pPr>
    </w:p>
    <w:p>
      <w:pPr>
        <w:pStyle w:val="2"/>
        <w:rPr>
          <w:lang w:val="en-US" w:eastAsia="zh-CN" w:bidi="en-US"/>
        </w:rPr>
      </w:pPr>
    </w:p>
    <w:p>
      <w:pPr>
        <w:pStyle w:val="2"/>
        <w:rPr>
          <w:lang w:val="en-US" w:eastAsia="zh-CN" w:bidi="en-US"/>
        </w:rPr>
      </w:pPr>
    </w:p>
    <w:p>
      <w:pPr>
        <w:pStyle w:val="2"/>
        <w:rPr>
          <w:lang w:val="en-US" w:eastAsia="zh-CN" w:bidi="en-US"/>
        </w:rPr>
      </w:pPr>
    </w:p>
    <w:p>
      <w:pPr>
        <w:pStyle w:val="2"/>
        <w:rPr>
          <w:lang w:val="en-US" w:eastAsia="zh-CN" w:bidi="en-US"/>
        </w:rPr>
      </w:pPr>
    </w:p>
    <w:p>
      <w:pPr>
        <w:pStyle w:val="2"/>
        <w:rPr>
          <w:lang w:val="en-US" w:eastAsia="zh-CN" w:bidi="en-US"/>
        </w:rPr>
      </w:pPr>
    </w:p>
    <w:p>
      <w:pPr>
        <w:pStyle w:val="2"/>
        <w:rPr>
          <w:lang w:val="en-US" w:eastAsia="zh-CN" w:bidi="en-US"/>
        </w:rPr>
      </w:pPr>
    </w:p>
    <w:p>
      <w:pPr>
        <w:pStyle w:val="2"/>
        <w:rPr>
          <w:lang w:val="en-US" w:eastAsia="zh-CN" w:bidi="en-US"/>
        </w:rPr>
      </w:pPr>
    </w:p>
    <w:p>
      <w:pPr>
        <w:pStyle w:val="2"/>
        <w:rPr>
          <w:lang w:val="en-US" w:eastAsia="zh-CN" w:bidi="en-US"/>
        </w:rPr>
      </w:pPr>
    </w:p>
    <w:p>
      <w:pPr>
        <w:pStyle w:val="2"/>
        <w:rPr>
          <w:lang w:val="en-US" w:eastAsia="zh-CN" w:bidi="en-US"/>
        </w:rPr>
      </w:pPr>
    </w:p>
    <w:p>
      <w:pPr>
        <w:pStyle w:val="2"/>
        <w:rPr>
          <w:lang w:val="en-US" w:eastAsia="zh-CN" w:bidi="en-US"/>
        </w:rPr>
      </w:pPr>
    </w:p>
    <w:p>
      <w:pPr>
        <w:pStyle w:val="2"/>
        <w:rPr>
          <w:lang w:val="en-US" w:eastAsia="zh-CN" w:bidi="en-US"/>
        </w:rPr>
      </w:pPr>
      <w:r>
        <w:rPr>
          <w:lang w:val="en-US" w:eastAsia="zh-CN" w:bidi="ar-SA"/>
        </w:rPr>
        <w:drawing>
          <wp:inline distT="0" distB="0" distL="0" distR="0">
            <wp:extent cx="5410200" cy="5695950"/>
            <wp:effectExtent l="19050" t="0" r="0" b="0"/>
            <wp:docPr id="5" name="图片 5" descr="C:\Users\admin\Documents\WeChat Files\wxid_qmecdyegffja22\FileStorage\Temp\166061699486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admin\Documents\WeChat Files\wxid_qmecdyegffja22\FileStorage\Temp\1660616994866(1).png"/>
                    <pic:cNvPicPr>
                      <a:picLocks noChangeAspect="1" noChangeArrowheads="1"/>
                    </pic:cNvPicPr>
                  </pic:nvPicPr>
                  <pic:blipFill>
                    <a:blip r:embed="rId11"/>
                    <a:srcRect/>
                    <a:stretch>
                      <a:fillRect/>
                    </a:stretch>
                  </pic:blipFill>
                  <pic:spPr>
                    <a:xfrm>
                      <a:off x="0" y="0"/>
                      <a:ext cx="5410200" cy="5695950"/>
                    </a:xfrm>
                    <a:prstGeom prst="rect">
                      <a:avLst/>
                    </a:prstGeom>
                    <a:noFill/>
                    <a:ln w="9525">
                      <a:noFill/>
                      <a:miter lim="800000"/>
                      <a:headEnd/>
                      <a:tailEnd/>
                    </a:ln>
                  </pic:spPr>
                </pic:pic>
              </a:graphicData>
            </a:graphic>
          </wp:inline>
        </w:drawing>
      </w:r>
    </w:p>
    <w:p>
      <w:pPr>
        <w:pStyle w:val="2"/>
        <w:rPr>
          <w:lang w:val="en-US" w:eastAsia="zh-CN" w:bidi="en-US"/>
        </w:rPr>
      </w:pPr>
    </w:p>
    <w:p>
      <w:pPr>
        <w:pStyle w:val="2"/>
        <w:rPr>
          <w:lang w:val="en-US" w:eastAsia="zh-CN" w:bidi="en-US"/>
        </w:rPr>
      </w:pPr>
    </w:p>
    <w:p>
      <w:pPr>
        <w:pStyle w:val="2"/>
        <w:rPr>
          <w:lang w:val="en-US" w:eastAsia="zh-CN" w:bidi="en-US"/>
        </w:rPr>
      </w:pPr>
    </w:p>
    <w:p>
      <w:pPr>
        <w:pStyle w:val="2"/>
        <w:rPr>
          <w:lang w:val="en-US" w:eastAsia="zh-CN" w:bidi="en-US"/>
        </w:rPr>
      </w:pPr>
    </w:p>
    <w:p>
      <w:pPr>
        <w:pStyle w:val="2"/>
        <w:rPr>
          <w:lang w:val="en-US" w:eastAsia="zh-CN" w:bidi="en-US"/>
        </w:rPr>
      </w:pPr>
    </w:p>
    <w:p>
      <w:pPr>
        <w:pStyle w:val="2"/>
        <w:rPr>
          <w:lang w:val="en-US" w:eastAsia="zh-CN" w:bidi="en-US"/>
        </w:rPr>
      </w:pPr>
    </w:p>
    <w:p>
      <w:pPr>
        <w:pStyle w:val="2"/>
        <w:rPr>
          <w:lang w:val="en-US" w:eastAsia="zh-CN" w:bidi="en-US"/>
        </w:rPr>
      </w:pPr>
    </w:p>
    <w:p>
      <w:pPr>
        <w:pStyle w:val="2"/>
        <w:rPr>
          <w:lang w:val="en-US" w:eastAsia="zh-CN" w:bidi="en-US"/>
        </w:rPr>
      </w:pPr>
      <w:r>
        <w:rPr>
          <w:lang w:val="en-US" w:eastAsia="zh-CN" w:bidi="ar-SA"/>
        </w:rPr>
        <w:drawing>
          <wp:inline distT="0" distB="0" distL="114300" distR="114300">
            <wp:extent cx="5683885" cy="8834755"/>
            <wp:effectExtent l="0" t="0" r="12065" b="4445"/>
            <wp:docPr id="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
                    <pic:cNvPicPr>
                      <a:picLocks noChangeAspect="1"/>
                    </pic:cNvPicPr>
                  </pic:nvPicPr>
                  <pic:blipFill>
                    <a:blip r:embed="rId12"/>
                    <a:stretch>
                      <a:fillRect/>
                    </a:stretch>
                  </pic:blipFill>
                  <pic:spPr>
                    <a:xfrm>
                      <a:off x="0" y="0"/>
                      <a:ext cx="5683885" cy="8834755"/>
                    </a:xfrm>
                    <a:prstGeom prst="rect">
                      <a:avLst/>
                    </a:prstGeom>
                    <a:noFill/>
                    <a:ln>
                      <a:noFill/>
                    </a:ln>
                  </pic:spPr>
                </pic:pic>
              </a:graphicData>
            </a:graphic>
          </wp:inline>
        </w:drawing>
      </w:r>
    </w:p>
    <w:p>
      <w:pPr>
        <w:pStyle w:val="2"/>
        <w:rPr>
          <w:lang w:val="en-US" w:eastAsia="zh-CN" w:bidi="en-US"/>
        </w:rPr>
      </w:pPr>
      <w:r>
        <w:rPr>
          <w:lang w:val="en-US" w:eastAsia="zh-CN" w:bidi="ar-SA"/>
        </w:rPr>
        <w:drawing>
          <wp:inline distT="0" distB="0" distL="0" distR="0">
            <wp:extent cx="5629275" cy="5096510"/>
            <wp:effectExtent l="19050" t="0" r="9525" b="0"/>
            <wp:docPr id="11" name="图片 11" descr="C:\Users\admin\Documents\WeChat Files\wxid_qmecdyegffja22\FileStorage\Temp\16606178762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C:\Users\admin\Documents\WeChat Files\wxid_qmecdyegffja22\FileStorage\Temp\1660617876293.png"/>
                    <pic:cNvPicPr>
                      <a:picLocks noChangeAspect="1" noChangeArrowheads="1"/>
                    </pic:cNvPicPr>
                  </pic:nvPicPr>
                  <pic:blipFill>
                    <a:blip r:embed="rId13"/>
                    <a:srcRect/>
                    <a:stretch>
                      <a:fillRect/>
                    </a:stretch>
                  </pic:blipFill>
                  <pic:spPr>
                    <a:xfrm>
                      <a:off x="0" y="0"/>
                      <a:ext cx="5629275" cy="5096776"/>
                    </a:xfrm>
                    <a:prstGeom prst="rect">
                      <a:avLst/>
                    </a:prstGeom>
                    <a:noFill/>
                    <a:ln w="9525">
                      <a:noFill/>
                      <a:miter lim="800000"/>
                      <a:headEnd/>
                      <a:tailEnd/>
                    </a:ln>
                  </pic:spPr>
                </pic:pic>
              </a:graphicData>
            </a:graphic>
          </wp:inline>
        </w:drawing>
      </w:r>
    </w:p>
    <w:p>
      <w:pPr>
        <w:pStyle w:val="2"/>
        <w:rPr>
          <w:lang w:val="en-US" w:eastAsia="zh-CN" w:bidi="en-US"/>
        </w:rPr>
      </w:pPr>
    </w:p>
    <w:p>
      <w:pPr>
        <w:pStyle w:val="2"/>
        <w:rPr>
          <w:lang w:val="en-US" w:eastAsia="zh-CN" w:bidi="en-US"/>
        </w:rPr>
      </w:pPr>
    </w:p>
    <w:p>
      <w:pPr>
        <w:pStyle w:val="2"/>
        <w:rPr>
          <w:lang w:val="en-US" w:eastAsia="zh-CN" w:bidi="en-US"/>
        </w:rPr>
      </w:pPr>
    </w:p>
    <w:p>
      <w:pPr>
        <w:pStyle w:val="2"/>
        <w:rPr>
          <w:lang w:val="en-US" w:eastAsia="zh-CN" w:bidi="en-US"/>
        </w:rPr>
      </w:pPr>
      <w:r>
        <w:rPr>
          <w:rFonts w:hint="eastAsia"/>
          <w:lang w:val="en-US" w:eastAsia="zh-CN" w:bidi="ar-SA"/>
        </w:rPr>
        <w:drawing>
          <wp:inline distT="0" distB="0" distL="0" distR="0">
            <wp:extent cx="5690870" cy="2256155"/>
            <wp:effectExtent l="19050" t="0" r="508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noChangeArrowheads="1"/>
                    </pic:cNvPicPr>
                  </pic:nvPicPr>
                  <pic:blipFill>
                    <a:blip r:embed="rId14"/>
                    <a:srcRect/>
                    <a:stretch>
                      <a:fillRect/>
                    </a:stretch>
                  </pic:blipFill>
                  <pic:spPr>
                    <a:xfrm>
                      <a:off x="0" y="0"/>
                      <a:ext cx="5690870" cy="2256480"/>
                    </a:xfrm>
                    <a:prstGeom prst="rect">
                      <a:avLst/>
                    </a:prstGeom>
                    <a:noFill/>
                    <a:ln w="9525">
                      <a:noFill/>
                      <a:miter lim="800000"/>
                      <a:headEnd/>
                      <a:tailEnd/>
                    </a:ln>
                  </pic:spPr>
                </pic:pic>
              </a:graphicData>
            </a:graphic>
          </wp:inline>
        </w:drawing>
      </w:r>
    </w:p>
    <w:p>
      <w:pPr>
        <w:pStyle w:val="2"/>
        <w:rPr>
          <w:lang w:val="en-US" w:eastAsia="zh-CN" w:bidi="en-US"/>
        </w:rPr>
      </w:pPr>
    </w:p>
    <w:p>
      <w:pPr>
        <w:pStyle w:val="2"/>
        <w:rPr>
          <w:lang w:val="en-US" w:eastAsia="zh-CN" w:bidi="en-US"/>
        </w:rPr>
      </w:pPr>
    </w:p>
    <w:p>
      <w:pPr>
        <w:pStyle w:val="2"/>
        <w:rPr>
          <w:lang w:val="en-US" w:eastAsia="zh-CN" w:bidi="en-US"/>
        </w:rPr>
      </w:pPr>
      <w:r>
        <w:rPr>
          <w:rFonts w:hint="eastAsia"/>
          <w:lang w:val="en-US" w:eastAsia="zh-CN" w:bidi="ar-SA"/>
        </w:rPr>
        <w:drawing>
          <wp:inline distT="0" distB="0" distL="0" distR="0">
            <wp:extent cx="5690870" cy="3491865"/>
            <wp:effectExtent l="19050" t="0" r="508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noChangeArrowheads="1"/>
                    </pic:cNvPicPr>
                  </pic:nvPicPr>
                  <pic:blipFill>
                    <a:blip r:embed="rId15"/>
                    <a:srcRect/>
                    <a:stretch>
                      <a:fillRect/>
                    </a:stretch>
                  </pic:blipFill>
                  <pic:spPr>
                    <a:xfrm>
                      <a:off x="0" y="0"/>
                      <a:ext cx="5690870" cy="3492125"/>
                    </a:xfrm>
                    <a:prstGeom prst="rect">
                      <a:avLst/>
                    </a:prstGeom>
                    <a:noFill/>
                    <a:ln w="9525">
                      <a:noFill/>
                      <a:miter lim="800000"/>
                      <a:headEnd/>
                      <a:tailEnd/>
                    </a:ln>
                  </pic:spPr>
                </pic:pic>
              </a:graphicData>
            </a:graphic>
          </wp:inline>
        </w:drawing>
      </w:r>
    </w:p>
    <w:p>
      <w:pPr>
        <w:pStyle w:val="2"/>
        <w:rPr>
          <w:lang w:val="en-US" w:eastAsia="zh-CN" w:bidi="en-US"/>
        </w:rPr>
      </w:pPr>
    </w:p>
    <w:p>
      <w:pPr>
        <w:pStyle w:val="2"/>
        <w:rPr>
          <w:lang w:val="en-US" w:eastAsia="zh-CN" w:bidi="en-US"/>
        </w:rPr>
      </w:pPr>
    </w:p>
    <w:p>
      <w:pPr>
        <w:pStyle w:val="2"/>
        <w:rPr>
          <w:lang w:val="en-US" w:eastAsia="zh-CN" w:bidi="en-US"/>
        </w:rPr>
      </w:pPr>
      <w:r>
        <w:rPr>
          <w:lang w:val="en-US" w:eastAsia="zh-CN" w:bidi="ar-SA"/>
        </w:rPr>
        <w:drawing>
          <wp:inline distT="0" distB="0" distL="0" distR="0">
            <wp:extent cx="5753100" cy="4387850"/>
            <wp:effectExtent l="19050" t="0" r="0" b="0"/>
            <wp:docPr id="18" name="图片 18" descr="C:\Users\admin\Documents\WeChat Files\wxid_qmecdyegffja22\FileStorage\Temp\166061824165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C:\Users\admin\Documents\WeChat Files\wxid_qmecdyegffja22\FileStorage\Temp\1660618241653(1).png"/>
                    <pic:cNvPicPr>
                      <a:picLocks noChangeAspect="1" noChangeArrowheads="1"/>
                    </pic:cNvPicPr>
                  </pic:nvPicPr>
                  <pic:blipFill>
                    <a:blip r:embed="rId16"/>
                    <a:srcRect/>
                    <a:stretch>
                      <a:fillRect/>
                    </a:stretch>
                  </pic:blipFill>
                  <pic:spPr>
                    <a:xfrm>
                      <a:off x="0" y="0"/>
                      <a:ext cx="5753100" cy="4387958"/>
                    </a:xfrm>
                    <a:prstGeom prst="rect">
                      <a:avLst/>
                    </a:prstGeom>
                    <a:noFill/>
                    <a:ln w="9525">
                      <a:noFill/>
                      <a:miter lim="800000"/>
                      <a:headEnd/>
                      <a:tailEnd/>
                    </a:ln>
                  </pic:spPr>
                </pic:pic>
              </a:graphicData>
            </a:graphic>
          </wp:inline>
        </w:drawing>
      </w:r>
    </w:p>
    <w:p>
      <w:pPr>
        <w:pStyle w:val="2"/>
        <w:rPr>
          <w:lang w:val="en-US" w:eastAsia="zh-CN" w:bidi="en-US"/>
        </w:rPr>
      </w:pPr>
    </w:p>
    <w:p>
      <w:pPr>
        <w:widowControl/>
        <w:spacing w:line="560" w:lineRule="exact"/>
        <w:jc w:val="center"/>
        <w:rPr>
          <w:rFonts w:ascii="方正小标宋简体" w:hAnsi="方正小标宋简体" w:eastAsia="方正小标宋简体" w:cs="方正小标宋简体"/>
          <w:bCs/>
          <w:sz w:val="36"/>
          <w:szCs w:val="36"/>
          <w:lang w:eastAsia="zh-CN"/>
        </w:rPr>
      </w:pPr>
      <w:r>
        <w:rPr>
          <w:rFonts w:hint="eastAsia" w:ascii="方正小标宋简体" w:hAnsi="方正小标宋简体" w:eastAsia="方正小标宋简体" w:cs="方正小标宋简体"/>
          <w:bCs/>
          <w:sz w:val="36"/>
          <w:szCs w:val="36"/>
          <w:lang w:eastAsia="zh-CN"/>
        </w:rPr>
        <w:t>第三部分 2021年度单位决算情况说明</w:t>
      </w:r>
    </w:p>
    <w:p>
      <w:pPr>
        <w:spacing w:line="560" w:lineRule="exact"/>
        <w:ind w:firstLine="630"/>
        <w:rPr>
          <w:rFonts w:ascii="仿宋_GB2312" w:hAnsi="仿宋_GB2312" w:eastAsia="仿宋_GB2312"/>
          <w:sz w:val="30"/>
          <w:szCs w:val="30"/>
          <w:lang w:eastAsia="zh-CN"/>
        </w:rPr>
      </w:pPr>
    </w:p>
    <w:p>
      <w:pPr>
        <w:spacing w:line="560" w:lineRule="exact"/>
        <w:ind w:firstLine="600" w:firstLineChars="200"/>
        <w:jc w:val="both"/>
        <w:rPr>
          <w:rFonts w:ascii="黑体" w:hAnsi="黑体" w:eastAsia="黑体"/>
          <w:sz w:val="30"/>
          <w:szCs w:val="30"/>
          <w:lang w:eastAsia="zh-CN"/>
        </w:rPr>
      </w:pPr>
      <w:r>
        <w:rPr>
          <w:rFonts w:hint="eastAsia" w:ascii="黑体" w:hAnsi="黑体" w:eastAsia="黑体"/>
          <w:sz w:val="30"/>
          <w:szCs w:val="30"/>
          <w:lang w:eastAsia="zh-CN"/>
        </w:rPr>
        <w:t>一、收入决算情况说明</w:t>
      </w:r>
    </w:p>
    <w:p>
      <w:pPr>
        <w:spacing w:line="560" w:lineRule="exact"/>
        <w:ind w:firstLine="600" w:firstLineChars="200"/>
        <w:jc w:val="both"/>
        <w:rPr>
          <w:rFonts w:ascii="仿宋_GB2312" w:hAnsi="仿宋_GB2312" w:eastAsia="仿宋_GB2312"/>
          <w:sz w:val="30"/>
          <w:szCs w:val="30"/>
          <w:lang w:eastAsia="zh-CN"/>
        </w:rPr>
      </w:pPr>
      <w:r>
        <w:rPr>
          <w:rFonts w:hint="eastAsia" w:ascii="仿宋_GB2312" w:hAnsi="仿宋_GB2312" w:eastAsia="仿宋_GB2312"/>
          <w:sz w:val="30"/>
          <w:szCs w:val="30"/>
          <w:lang w:eastAsia="zh-CN"/>
        </w:rPr>
        <w:t>本单位2021年度收入总计9747.75万元，其中年初结转和结余695.66万元，较2020年减少1274万元，下降11.55%；本年收入合计9052.09万元，较2020年减少1689.99万元，下降15.73%，主要原因是： 2021年减少了优抚对象物价补贴收入、部分退役士兵社保接续收入。</w:t>
      </w:r>
    </w:p>
    <w:p>
      <w:pPr>
        <w:spacing w:line="560" w:lineRule="exact"/>
        <w:ind w:firstLine="600" w:firstLineChars="200"/>
        <w:jc w:val="both"/>
        <w:rPr>
          <w:rFonts w:ascii="仿宋_GB2312" w:hAnsi="仿宋_GB2312" w:eastAsia="仿宋_GB2312"/>
          <w:sz w:val="30"/>
          <w:szCs w:val="30"/>
          <w:lang w:eastAsia="zh-CN"/>
        </w:rPr>
      </w:pPr>
      <w:r>
        <w:rPr>
          <w:rFonts w:hint="eastAsia" w:ascii="仿宋_GB2312" w:hAnsi="仿宋_GB2312" w:eastAsia="仿宋_GB2312"/>
          <w:sz w:val="30"/>
          <w:szCs w:val="30"/>
          <w:lang w:eastAsia="zh-CN"/>
        </w:rPr>
        <w:t xml:space="preserve">本年收入的具体构成为：财政拨款收入8961.86万元，占99%；事业收入 0万元，占0%；经营收入0万元，占0  %；其他收入90.22万元，占1 %。  </w:t>
      </w:r>
    </w:p>
    <w:p>
      <w:pPr>
        <w:spacing w:line="560" w:lineRule="exact"/>
        <w:ind w:firstLine="600" w:firstLineChars="200"/>
        <w:jc w:val="both"/>
        <w:rPr>
          <w:rFonts w:ascii="黑体" w:hAnsi="黑体" w:eastAsia="黑体"/>
          <w:sz w:val="30"/>
          <w:szCs w:val="30"/>
          <w:lang w:eastAsia="zh-CN"/>
        </w:rPr>
      </w:pPr>
      <w:r>
        <w:rPr>
          <w:rFonts w:hint="eastAsia" w:ascii="黑体" w:hAnsi="黑体" w:eastAsia="黑体"/>
          <w:sz w:val="30"/>
          <w:szCs w:val="30"/>
          <w:lang w:eastAsia="zh-CN"/>
        </w:rPr>
        <w:t>二、支出决算情况说明</w:t>
      </w:r>
    </w:p>
    <w:p>
      <w:pPr>
        <w:spacing w:line="560" w:lineRule="exact"/>
        <w:ind w:firstLine="600" w:firstLineChars="200"/>
        <w:jc w:val="both"/>
        <w:rPr>
          <w:rFonts w:ascii="仿宋_GB2312" w:hAnsi="仿宋_GB2312" w:eastAsia="仿宋_GB2312"/>
          <w:sz w:val="30"/>
          <w:szCs w:val="30"/>
          <w:lang w:eastAsia="zh-CN"/>
        </w:rPr>
      </w:pPr>
      <w:r>
        <w:rPr>
          <w:rFonts w:hint="eastAsia" w:ascii="仿宋_GB2312" w:hAnsi="仿宋_GB2312" w:eastAsia="仿宋_GB2312"/>
          <w:sz w:val="30"/>
          <w:szCs w:val="30"/>
          <w:lang w:eastAsia="zh-CN"/>
        </w:rPr>
        <w:t>本单位2021年度支出总计9747.75万元，其中本年支出合计9747.75万元，较2020年减少589.89万元，下降5.7%，主要原因是：2021年减少了优抚对象物价补贴支出、部分退役士兵社保接续支出；年末结转和结余0万元，较2020年减少695.66万元，下降100%，主要原因是：</w:t>
      </w:r>
      <w:r>
        <w:rPr>
          <w:rFonts w:ascii="仿宋_GB2312" w:hAnsi="仿宋_GB2312" w:eastAsia="仿宋_GB2312"/>
          <w:sz w:val="30"/>
          <w:szCs w:val="30"/>
          <w:lang w:eastAsia="zh-CN"/>
        </w:rPr>
        <w:t>会计制度改革，以支定收</w:t>
      </w:r>
      <w:r>
        <w:rPr>
          <w:rFonts w:hint="eastAsia" w:ascii="仿宋_GB2312" w:hAnsi="仿宋_GB2312" w:eastAsia="仿宋_GB2312"/>
          <w:sz w:val="30"/>
          <w:szCs w:val="30"/>
          <w:lang w:eastAsia="zh-CN"/>
        </w:rPr>
        <w:t>。</w:t>
      </w:r>
    </w:p>
    <w:p>
      <w:pPr>
        <w:spacing w:line="560" w:lineRule="exact"/>
        <w:ind w:firstLine="600" w:firstLineChars="200"/>
        <w:jc w:val="both"/>
        <w:rPr>
          <w:rFonts w:ascii="仿宋_GB2312" w:hAnsi="仿宋_GB2312" w:eastAsia="仿宋_GB2312"/>
          <w:sz w:val="30"/>
          <w:szCs w:val="30"/>
          <w:lang w:eastAsia="zh-CN"/>
        </w:rPr>
      </w:pPr>
      <w:r>
        <w:rPr>
          <w:rFonts w:hint="eastAsia" w:ascii="仿宋_GB2312" w:hAnsi="仿宋_GB2312" w:eastAsia="仿宋_GB2312"/>
          <w:sz w:val="30"/>
          <w:szCs w:val="30"/>
          <w:lang w:eastAsia="zh-CN"/>
        </w:rPr>
        <w:t>本年支出的具体构成为：基本支出283.68万元，占2.91%；项目支出9464.06万元，占97.09%；经营支出0万元，占0%；其他支出（对附属单位补助支出、上缴上级支出）0万元，占0%。</w:t>
      </w:r>
    </w:p>
    <w:p>
      <w:pPr>
        <w:spacing w:line="560" w:lineRule="exact"/>
        <w:ind w:firstLine="600" w:firstLineChars="200"/>
        <w:jc w:val="both"/>
        <w:rPr>
          <w:rFonts w:ascii="黑体" w:hAnsi="黑体" w:eastAsia="黑体"/>
          <w:sz w:val="30"/>
          <w:szCs w:val="30"/>
          <w:lang w:eastAsia="zh-CN"/>
        </w:rPr>
      </w:pPr>
      <w:r>
        <w:rPr>
          <w:rFonts w:hint="eastAsia" w:ascii="黑体" w:hAnsi="黑体" w:eastAsia="黑体"/>
          <w:sz w:val="30"/>
          <w:szCs w:val="30"/>
          <w:lang w:eastAsia="zh-CN"/>
        </w:rPr>
        <w:t>三、财政拨款支出决算情况说明</w:t>
      </w:r>
    </w:p>
    <w:p>
      <w:pPr>
        <w:spacing w:line="560" w:lineRule="exact"/>
        <w:ind w:firstLine="600" w:firstLineChars="200"/>
        <w:jc w:val="both"/>
        <w:rPr>
          <w:rFonts w:ascii="仿宋_GB2312" w:hAnsi="仿宋_GB2312" w:eastAsia="仿宋_GB2312"/>
          <w:color w:val="auto"/>
          <w:sz w:val="30"/>
          <w:szCs w:val="30"/>
          <w:lang w:eastAsia="zh-CN"/>
        </w:rPr>
      </w:pPr>
      <w:r>
        <w:rPr>
          <w:rFonts w:hint="eastAsia" w:ascii="仿宋_GB2312" w:hAnsi="仿宋_GB2312" w:eastAsia="仿宋_GB2312"/>
          <w:sz w:val="30"/>
          <w:szCs w:val="30"/>
          <w:lang w:eastAsia="zh-CN"/>
        </w:rPr>
        <w:t>本</w:t>
      </w:r>
      <w:r>
        <w:rPr>
          <w:rFonts w:hint="eastAsia" w:ascii="仿宋_GB2312" w:hAnsi="仿宋_GB2312" w:eastAsia="仿宋_GB2312"/>
          <w:sz w:val="30"/>
          <w:szCs w:val="30"/>
          <w:lang w:val="en-US" w:eastAsia="zh-CN"/>
        </w:rPr>
        <w:t>单位</w:t>
      </w:r>
      <w:r>
        <w:rPr>
          <w:rFonts w:hint="eastAsia" w:ascii="仿宋_GB2312" w:hAnsi="仿宋_GB2312" w:eastAsia="仿宋_GB2312"/>
          <w:sz w:val="30"/>
          <w:szCs w:val="30"/>
          <w:lang w:eastAsia="zh-CN"/>
        </w:rPr>
        <w:t>2021年度财政拨款本年支出年初预算数为</w:t>
      </w:r>
      <w:r>
        <w:rPr>
          <w:rFonts w:hint="eastAsia" w:ascii="仿宋_GB2312" w:hAnsi="仿宋_GB2312" w:eastAsia="仿宋_GB2312"/>
          <w:sz w:val="30"/>
          <w:szCs w:val="30"/>
          <w:lang w:val="en-US" w:eastAsia="zh-CN"/>
        </w:rPr>
        <w:t>9746.37</w:t>
      </w:r>
      <w:r>
        <w:rPr>
          <w:rFonts w:hint="eastAsia" w:ascii="仿宋_GB2312" w:hAnsi="仿宋_GB2312" w:eastAsia="仿宋_GB2312"/>
          <w:sz w:val="30"/>
          <w:szCs w:val="30"/>
          <w:lang w:eastAsia="zh-CN"/>
        </w:rPr>
        <w:t>万元，决算数为9609.89万</w:t>
      </w:r>
      <w:r>
        <w:rPr>
          <w:rFonts w:hint="eastAsia" w:ascii="仿宋_GB2312" w:hAnsi="仿宋_GB2312" w:eastAsia="仿宋_GB2312"/>
          <w:color w:val="auto"/>
          <w:sz w:val="30"/>
          <w:szCs w:val="30"/>
          <w:lang w:eastAsia="zh-CN"/>
        </w:rPr>
        <w:t>元，完成年初预算的</w:t>
      </w:r>
      <w:r>
        <w:rPr>
          <w:rFonts w:hint="eastAsia" w:ascii="仿宋_GB2312" w:hAnsi="仿宋_GB2312" w:eastAsia="仿宋_GB2312"/>
          <w:color w:val="auto"/>
          <w:sz w:val="30"/>
          <w:szCs w:val="30"/>
          <w:lang w:val="en-US" w:eastAsia="zh-CN"/>
        </w:rPr>
        <w:t>98.6</w:t>
      </w:r>
      <w:r>
        <w:rPr>
          <w:rFonts w:hint="eastAsia" w:ascii="仿宋_GB2312" w:hAnsi="仿宋_GB2312" w:eastAsia="仿宋_GB2312"/>
          <w:color w:val="auto"/>
          <w:sz w:val="30"/>
          <w:szCs w:val="30"/>
          <w:lang w:eastAsia="zh-CN"/>
        </w:rPr>
        <w:t>%。其中：</w:t>
      </w:r>
    </w:p>
    <w:p>
      <w:pPr>
        <w:spacing w:line="560" w:lineRule="exact"/>
        <w:ind w:firstLine="600" w:firstLineChars="200"/>
        <w:jc w:val="both"/>
        <w:rPr>
          <w:rFonts w:ascii="仿宋_GB2312" w:hAnsi="仿宋_GB2312" w:eastAsia="仿宋_GB2312"/>
          <w:color w:val="auto"/>
          <w:sz w:val="30"/>
          <w:szCs w:val="30"/>
          <w:lang w:eastAsia="zh-CN"/>
        </w:rPr>
      </w:pPr>
      <w:r>
        <w:rPr>
          <w:rFonts w:hint="eastAsia" w:ascii="仿宋_GB2312" w:hAnsi="仿宋_GB2312" w:eastAsia="仿宋_GB2312"/>
          <w:color w:val="auto"/>
          <w:sz w:val="30"/>
          <w:szCs w:val="30"/>
          <w:lang w:eastAsia="zh-CN"/>
        </w:rPr>
        <w:t>（一）</w:t>
      </w:r>
      <w:r>
        <w:rPr>
          <w:rFonts w:ascii="仿宋_GB2312" w:hAnsi="仿宋_GB2312" w:eastAsia="仿宋_GB2312" w:cs="仿宋_GB2312"/>
          <w:color w:val="auto"/>
          <w:sz w:val="30"/>
          <w:szCs w:val="30"/>
          <w:lang w:eastAsia="zh-CN"/>
        </w:rPr>
        <w:t>文化旅游体育与传媒</w:t>
      </w:r>
      <w:r>
        <w:rPr>
          <w:rFonts w:hint="eastAsia" w:ascii="仿宋_GB2312" w:hAnsi="仿宋_GB2312" w:eastAsia="仿宋_GB2312"/>
          <w:color w:val="auto"/>
          <w:sz w:val="30"/>
          <w:szCs w:val="30"/>
          <w:lang w:eastAsia="zh-CN"/>
        </w:rPr>
        <w:t>支出年初预算数为</w:t>
      </w:r>
      <w:r>
        <w:rPr>
          <w:rFonts w:hint="eastAsia" w:ascii="仿宋_GB2312" w:hAnsi="仿宋_GB2312" w:eastAsia="仿宋_GB2312"/>
          <w:color w:val="auto"/>
          <w:sz w:val="30"/>
          <w:szCs w:val="30"/>
          <w:lang w:val="en-US" w:eastAsia="zh-CN"/>
        </w:rPr>
        <w:t>0</w:t>
      </w:r>
      <w:r>
        <w:rPr>
          <w:rFonts w:hint="eastAsia" w:ascii="仿宋_GB2312" w:hAnsi="仿宋_GB2312" w:eastAsia="仿宋_GB2312"/>
          <w:color w:val="auto"/>
          <w:sz w:val="30"/>
          <w:szCs w:val="30"/>
          <w:lang w:eastAsia="zh-CN"/>
        </w:rPr>
        <w:t>万元，决算数为34.77万元，主要原因是：</w:t>
      </w:r>
      <w:r>
        <w:rPr>
          <w:rFonts w:hint="eastAsia" w:ascii="仿宋_GB2312" w:hAnsi="仿宋_GB2312" w:eastAsia="仿宋_GB2312"/>
          <w:color w:val="auto"/>
          <w:sz w:val="30"/>
          <w:szCs w:val="30"/>
          <w:lang w:val="en-US" w:eastAsia="zh-CN"/>
        </w:rPr>
        <w:t>项目增加</w:t>
      </w:r>
      <w:r>
        <w:rPr>
          <w:rFonts w:hint="eastAsia" w:ascii="仿宋_GB2312" w:hAnsi="仿宋_GB2312" w:eastAsia="仿宋_GB2312"/>
          <w:color w:val="auto"/>
          <w:sz w:val="30"/>
          <w:szCs w:val="30"/>
          <w:lang w:eastAsia="zh-CN"/>
        </w:rPr>
        <w:t>。</w:t>
      </w:r>
    </w:p>
    <w:p>
      <w:pPr>
        <w:spacing w:line="560" w:lineRule="exact"/>
        <w:ind w:firstLine="600" w:firstLineChars="200"/>
        <w:jc w:val="both"/>
        <w:rPr>
          <w:rFonts w:ascii="仿宋_GB2312" w:hAnsi="仿宋_GB2312" w:eastAsia="仿宋_GB2312"/>
          <w:color w:val="auto"/>
          <w:sz w:val="30"/>
          <w:szCs w:val="30"/>
          <w:lang w:eastAsia="zh-CN"/>
        </w:rPr>
      </w:pPr>
      <w:r>
        <w:rPr>
          <w:rFonts w:hint="eastAsia" w:ascii="仿宋_GB2312" w:hAnsi="仿宋_GB2312" w:eastAsia="仿宋_GB2312" w:cs="仿宋_GB2312"/>
          <w:color w:val="auto"/>
          <w:sz w:val="30"/>
          <w:szCs w:val="30"/>
          <w:lang w:eastAsia="zh-CN"/>
        </w:rPr>
        <w:t>（二）</w:t>
      </w:r>
      <w:r>
        <w:rPr>
          <w:rFonts w:ascii="仿宋_GB2312" w:hAnsi="仿宋_GB2312" w:eastAsia="仿宋_GB2312" w:cs="仿宋_GB2312"/>
          <w:color w:val="auto"/>
          <w:sz w:val="30"/>
          <w:szCs w:val="30"/>
          <w:lang w:eastAsia="zh-CN"/>
        </w:rPr>
        <w:t>社会保障和就业</w:t>
      </w:r>
      <w:r>
        <w:rPr>
          <w:rFonts w:hint="eastAsia" w:ascii="仿宋_GB2312" w:hAnsi="仿宋_GB2312" w:eastAsia="仿宋_GB2312"/>
          <w:color w:val="auto"/>
          <w:sz w:val="30"/>
          <w:szCs w:val="30"/>
          <w:lang w:eastAsia="zh-CN"/>
        </w:rPr>
        <w:t>支出年初预算数为</w:t>
      </w:r>
      <w:r>
        <w:rPr>
          <w:rFonts w:hint="eastAsia" w:ascii="仿宋_GB2312" w:hAnsi="仿宋_GB2312" w:eastAsia="仿宋_GB2312"/>
          <w:color w:val="auto"/>
          <w:sz w:val="30"/>
          <w:szCs w:val="30"/>
          <w:lang w:val="en-US" w:eastAsia="zh-CN"/>
        </w:rPr>
        <w:t>9568.5</w:t>
      </w:r>
      <w:r>
        <w:rPr>
          <w:rFonts w:hint="eastAsia" w:ascii="仿宋_GB2312" w:hAnsi="仿宋_GB2312" w:eastAsia="仿宋_GB2312"/>
          <w:color w:val="auto"/>
          <w:sz w:val="30"/>
          <w:szCs w:val="30"/>
          <w:lang w:eastAsia="zh-CN"/>
        </w:rPr>
        <w:t>万元，决算数为9435.9</w:t>
      </w:r>
      <w:r>
        <w:rPr>
          <w:rFonts w:hint="eastAsia" w:ascii="仿宋_GB2312" w:hAnsi="仿宋_GB2312" w:eastAsia="仿宋_GB2312"/>
          <w:color w:val="auto"/>
          <w:sz w:val="30"/>
          <w:szCs w:val="30"/>
          <w:lang w:val="en-US" w:eastAsia="zh-CN"/>
        </w:rPr>
        <w:t>4</w:t>
      </w:r>
      <w:r>
        <w:rPr>
          <w:rFonts w:hint="eastAsia" w:ascii="仿宋_GB2312" w:hAnsi="仿宋_GB2312" w:eastAsia="仿宋_GB2312"/>
          <w:color w:val="auto"/>
          <w:sz w:val="30"/>
          <w:szCs w:val="30"/>
          <w:lang w:eastAsia="zh-CN"/>
        </w:rPr>
        <w:t>万元，完成年初预算的</w:t>
      </w:r>
      <w:r>
        <w:rPr>
          <w:rFonts w:hint="eastAsia" w:ascii="仿宋_GB2312" w:hAnsi="仿宋_GB2312" w:eastAsia="仿宋_GB2312"/>
          <w:color w:val="auto"/>
          <w:sz w:val="30"/>
          <w:szCs w:val="30"/>
          <w:lang w:val="en-US" w:eastAsia="zh-CN"/>
        </w:rPr>
        <w:t>98.6</w:t>
      </w:r>
      <w:r>
        <w:rPr>
          <w:rFonts w:hint="eastAsia" w:ascii="仿宋_GB2312" w:hAnsi="仿宋_GB2312" w:eastAsia="仿宋_GB2312"/>
          <w:color w:val="auto"/>
          <w:sz w:val="30"/>
          <w:szCs w:val="30"/>
          <w:lang w:eastAsia="zh-CN"/>
        </w:rPr>
        <w:t>%，主要原因是：</w:t>
      </w:r>
      <w:r>
        <w:rPr>
          <w:rFonts w:hint="eastAsia" w:ascii="仿宋_GB2312" w:hAnsi="仿宋_GB2312" w:eastAsia="仿宋_GB2312"/>
          <w:color w:val="auto"/>
          <w:sz w:val="30"/>
          <w:szCs w:val="30"/>
          <w:lang w:val="en-US" w:eastAsia="zh-CN"/>
        </w:rPr>
        <w:t>项目资金减少</w:t>
      </w:r>
      <w:r>
        <w:rPr>
          <w:rFonts w:hint="eastAsia" w:ascii="仿宋_GB2312" w:hAnsi="仿宋_GB2312" w:eastAsia="仿宋_GB2312"/>
          <w:color w:val="auto"/>
          <w:sz w:val="30"/>
          <w:szCs w:val="30"/>
          <w:lang w:eastAsia="zh-CN"/>
        </w:rPr>
        <w:t>。</w:t>
      </w:r>
    </w:p>
    <w:p>
      <w:pPr>
        <w:spacing w:line="560" w:lineRule="exact"/>
        <w:ind w:firstLine="600" w:firstLineChars="200"/>
        <w:jc w:val="both"/>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（三）卫生健康支出年初预算数为</w:t>
      </w:r>
      <w:r>
        <w:rPr>
          <w:rFonts w:hint="eastAsia" w:ascii="仿宋_GB2312" w:hAnsi="仿宋_GB2312" w:eastAsia="仿宋_GB2312" w:cs="仿宋_GB2312"/>
          <w:color w:val="auto"/>
          <w:sz w:val="30"/>
          <w:szCs w:val="30"/>
          <w:lang w:val="en-US" w:eastAsia="zh-CN"/>
        </w:rPr>
        <w:t>160.8</w:t>
      </w:r>
      <w:r>
        <w:rPr>
          <w:rFonts w:hint="eastAsia" w:ascii="仿宋_GB2312" w:hAnsi="仿宋_GB2312" w:eastAsia="仿宋_GB2312" w:cs="仿宋_GB2312"/>
          <w:color w:val="auto"/>
          <w:sz w:val="30"/>
          <w:szCs w:val="30"/>
          <w:lang w:eastAsia="zh-CN"/>
        </w:rPr>
        <w:t>万元，决算数为139.19万元，完成年初预算的</w:t>
      </w:r>
      <w:r>
        <w:rPr>
          <w:rFonts w:hint="eastAsia" w:ascii="仿宋_GB2312" w:hAnsi="仿宋_GB2312" w:eastAsia="仿宋_GB2312" w:cs="仿宋_GB2312"/>
          <w:color w:val="auto"/>
          <w:sz w:val="30"/>
          <w:szCs w:val="30"/>
          <w:lang w:val="en-US" w:eastAsia="zh-CN"/>
        </w:rPr>
        <w:t>86.56</w:t>
      </w:r>
      <w:r>
        <w:rPr>
          <w:rFonts w:hint="eastAsia" w:ascii="仿宋_GB2312" w:hAnsi="仿宋_GB2312" w:eastAsia="仿宋_GB2312" w:cs="仿宋_GB2312"/>
          <w:color w:val="auto"/>
          <w:sz w:val="30"/>
          <w:szCs w:val="30"/>
          <w:lang w:eastAsia="zh-CN"/>
        </w:rPr>
        <w:t>%，主要原因是：</w:t>
      </w:r>
      <w:r>
        <w:rPr>
          <w:rFonts w:hint="eastAsia" w:ascii="仿宋_GB2312" w:hAnsi="仿宋_GB2312" w:eastAsia="仿宋_GB2312" w:cs="仿宋_GB2312"/>
          <w:color w:val="auto"/>
          <w:sz w:val="30"/>
          <w:szCs w:val="30"/>
          <w:lang w:val="en-US" w:eastAsia="zh-CN"/>
        </w:rPr>
        <w:t>各大医院第四季度重点优抚对象医疗门诊费已发生费用但还未前来申请资金拨付</w:t>
      </w:r>
      <w:r>
        <w:rPr>
          <w:rFonts w:hint="eastAsia" w:ascii="仿宋_GB2312" w:hAnsi="仿宋_GB2312" w:eastAsia="仿宋_GB2312" w:cs="仿宋_GB2312"/>
          <w:color w:val="auto"/>
          <w:sz w:val="30"/>
          <w:szCs w:val="30"/>
          <w:lang w:eastAsia="zh-CN"/>
        </w:rPr>
        <w:t>。</w:t>
      </w:r>
    </w:p>
    <w:p>
      <w:pPr>
        <w:spacing w:line="560" w:lineRule="exact"/>
        <w:ind w:firstLine="600" w:firstLineChars="200"/>
        <w:jc w:val="both"/>
        <w:rPr>
          <w:rFonts w:hint="default"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（四）住房保障支出年</w:t>
      </w:r>
      <w:r>
        <w:rPr>
          <w:rFonts w:hint="eastAsia" w:ascii="仿宋_GB2312" w:hAnsi="仿宋_GB2312" w:eastAsia="仿宋_GB2312" w:cs="仿宋_GB2312"/>
          <w:color w:val="auto"/>
          <w:sz w:val="30"/>
          <w:szCs w:val="30"/>
          <w:lang w:eastAsia="zh-CN"/>
        </w:rPr>
        <w:t>初预算数为</w:t>
      </w:r>
      <w:r>
        <w:rPr>
          <w:rFonts w:hint="eastAsia" w:ascii="仿宋_GB2312" w:hAnsi="仿宋_GB2312" w:eastAsia="仿宋_GB2312" w:cs="仿宋_GB2312"/>
          <w:color w:val="auto"/>
          <w:sz w:val="30"/>
          <w:szCs w:val="30"/>
          <w:lang w:val="en-US" w:eastAsia="zh-CN"/>
        </w:rPr>
        <w:t>17.07</w:t>
      </w:r>
      <w:r>
        <w:rPr>
          <w:rFonts w:hint="eastAsia" w:ascii="仿宋_GB2312" w:hAnsi="仿宋_GB2312" w:eastAsia="仿宋_GB2312" w:cs="仿宋_GB2312"/>
          <w:color w:val="auto"/>
          <w:sz w:val="30"/>
          <w:szCs w:val="30"/>
          <w:lang w:eastAsia="zh-CN"/>
        </w:rPr>
        <w:t>万元，决算数为</w:t>
      </w:r>
      <w:r>
        <w:rPr>
          <w:rFonts w:hint="eastAsia" w:ascii="仿宋_GB2312" w:hAnsi="仿宋_GB2312" w:eastAsia="仿宋_GB2312" w:cs="仿宋_GB2312"/>
          <w:color w:val="auto"/>
          <w:sz w:val="30"/>
          <w:szCs w:val="30"/>
          <w:lang w:val="en-US" w:eastAsia="zh-CN"/>
        </w:rPr>
        <w:t>0</w:t>
      </w:r>
      <w:r>
        <w:rPr>
          <w:rFonts w:hint="eastAsia" w:ascii="仿宋_GB2312" w:hAnsi="仿宋_GB2312" w:eastAsia="仿宋_GB2312" w:cs="仿宋_GB2312"/>
          <w:color w:val="auto"/>
          <w:sz w:val="30"/>
          <w:szCs w:val="30"/>
          <w:lang w:eastAsia="zh-CN"/>
        </w:rPr>
        <w:t>万元，主要原因是：</w:t>
      </w:r>
      <w:r>
        <w:rPr>
          <w:rFonts w:hint="eastAsia" w:ascii="仿宋_GB2312" w:hAnsi="仿宋_GB2312" w:eastAsia="仿宋_GB2312" w:cs="仿宋_GB2312"/>
          <w:color w:val="auto"/>
          <w:sz w:val="30"/>
          <w:szCs w:val="30"/>
          <w:lang w:val="en-US" w:eastAsia="zh-CN"/>
        </w:rPr>
        <w:t>该项预算支出由财政直接拨付至住房公积金中心，未在本单位列支。</w:t>
      </w:r>
    </w:p>
    <w:p>
      <w:pPr>
        <w:spacing w:line="560" w:lineRule="exact"/>
        <w:ind w:firstLine="600" w:firstLineChars="200"/>
        <w:jc w:val="both"/>
        <w:rPr>
          <w:rFonts w:ascii="黑体" w:hAnsi="黑体" w:eastAsia="黑体"/>
          <w:sz w:val="30"/>
          <w:szCs w:val="30"/>
          <w:lang w:eastAsia="zh-CN"/>
        </w:rPr>
      </w:pPr>
      <w:r>
        <w:rPr>
          <w:rFonts w:hint="eastAsia" w:ascii="黑体" w:hAnsi="黑体" w:eastAsia="黑体"/>
          <w:sz w:val="30"/>
          <w:szCs w:val="30"/>
          <w:lang w:eastAsia="zh-CN"/>
        </w:rPr>
        <w:t>四、一般公共预算财政拨款基本支出决算情况说明</w:t>
      </w:r>
    </w:p>
    <w:p>
      <w:pPr>
        <w:spacing w:line="560" w:lineRule="exact"/>
        <w:ind w:firstLine="600" w:firstLineChars="200"/>
        <w:jc w:val="both"/>
        <w:rPr>
          <w:rFonts w:ascii="仿宋_GB2312" w:hAnsi="仿宋_GB2312" w:eastAsia="仿宋_GB2312"/>
          <w:sz w:val="30"/>
          <w:szCs w:val="30"/>
          <w:lang w:eastAsia="zh-CN"/>
        </w:rPr>
      </w:pPr>
      <w:r>
        <w:rPr>
          <w:rFonts w:hint="eastAsia" w:ascii="仿宋_GB2312" w:hAnsi="仿宋_GB2312" w:eastAsia="仿宋_GB2312"/>
          <w:sz w:val="30"/>
          <w:szCs w:val="30"/>
          <w:lang w:eastAsia="zh-CN"/>
        </w:rPr>
        <w:t>本单位2021年度一般公共预算财政拨款基本支出269.77万元，其中：</w:t>
      </w:r>
    </w:p>
    <w:p>
      <w:pPr>
        <w:spacing w:line="560" w:lineRule="exact"/>
        <w:ind w:firstLine="600" w:firstLineChars="200"/>
        <w:jc w:val="both"/>
        <w:rPr>
          <w:rFonts w:ascii="仿宋_GB2312" w:hAnsi="仿宋_GB2312" w:eastAsia="仿宋_GB2312"/>
          <w:sz w:val="30"/>
          <w:szCs w:val="30"/>
          <w:lang w:eastAsia="zh-CN"/>
        </w:rPr>
      </w:pPr>
      <w:r>
        <w:rPr>
          <w:rFonts w:hint="eastAsia" w:ascii="仿宋_GB2312" w:hAnsi="仿宋_GB2312" w:eastAsia="仿宋_GB2312"/>
          <w:sz w:val="30"/>
          <w:szCs w:val="30"/>
          <w:lang w:eastAsia="zh-CN"/>
        </w:rPr>
        <w:t>（一）工资福利支出238.33万元，较2020年减少72.26 万元，下降23.26 %，主要原因是：2020年有部分项目支出错列入一般公共预算财政拨款基本支出。</w:t>
      </w:r>
    </w:p>
    <w:p>
      <w:pPr>
        <w:spacing w:line="560" w:lineRule="exact"/>
        <w:ind w:firstLine="600" w:firstLineChars="200"/>
        <w:jc w:val="both"/>
        <w:rPr>
          <w:rFonts w:ascii="仿宋_GB2312" w:hAnsi="仿宋_GB2312" w:eastAsia="仿宋_GB2312"/>
          <w:sz w:val="30"/>
          <w:szCs w:val="30"/>
          <w:lang w:eastAsia="zh-CN"/>
        </w:rPr>
      </w:pPr>
      <w:r>
        <w:rPr>
          <w:rFonts w:hint="eastAsia" w:ascii="仿宋_GB2312" w:hAnsi="仿宋_GB2312" w:eastAsia="仿宋_GB2312"/>
          <w:sz w:val="30"/>
          <w:szCs w:val="30"/>
          <w:lang w:eastAsia="zh-CN"/>
        </w:rPr>
        <w:t>（二）商品和服务支出30.01万元，较2020年减少83.34  万元，下降73.52%，主要原因是：2020年有部分项目支出错列入一般公共预算财政拨款基本支出。</w:t>
      </w:r>
    </w:p>
    <w:p>
      <w:pPr>
        <w:spacing w:line="560" w:lineRule="exact"/>
        <w:ind w:firstLine="600" w:firstLineChars="200"/>
        <w:jc w:val="both"/>
        <w:rPr>
          <w:rFonts w:ascii="仿宋_GB2312" w:hAnsi="仿宋_GB2312" w:eastAsia="仿宋_GB2312"/>
          <w:sz w:val="30"/>
          <w:szCs w:val="30"/>
          <w:lang w:eastAsia="zh-CN"/>
        </w:rPr>
      </w:pPr>
      <w:r>
        <w:rPr>
          <w:rFonts w:hint="eastAsia" w:ascii="仿宋_GB2312" w:hAnsi="仿宋_GB2312" w:eastAsia="仿宋_GB2312"/>
          <w:sz w:val="30"/>
          <w:szCs w:val="30"/>
          <w:lang w:eastAsia="zh-CN"/>
        </w:rPr>
        <w:t>（三）对个人和家庭补助支出0.73万元，较2020年减少75.54万元，下降99%，主要原因是：2020年军队移交政府的离退休人员支出错列入一般公共预算财政拨款基本支出。</w:t>
      </w:r>
    </w:p>
    <w:p>
      <w:pPr>
        <w:spacing w:line="560" w:lineRule="exact"/>
        <w:ind w:firstLine="600" w:firstLineChars="200"/>
        <w:jc w:val="both"/>
        <w:rPr>
          <w:rFonts w:ascii="仿宋_GB2312" w:hAnsi="仿宋_GB2312" w:eastAsia="仿宋_GB2312"/>
          <w:sz w:val="30"/>
          <w:szCs w:val="30"/>
          <w:lang w:eastAsia="zh-CN"/>
        </w:rPr>
      </w:pPr>
      <w:r>
        <w:rPr>
          <w:rFonts w:hint="eastAsia" w:ascii="仿宋_GB2312" w:hAnsi="仿宋_GB2312" w:eastAsia="仿宋_GB2312"/>
          <w:sz w:val="30"/>
          <w:szCs w:val="30"/>
          <w:lang w:eastAsia="zh-CN"/>
        </w:rPr>
        <w:t>（四）资本性支出0.7万元，较2020年减少5.95万元，下降89.47%，主要原因是：</w:t>
      </w:r>
      <w:r>
        <w:rPr>
          <w:rFonts w:ascii="仿宋_GB2312" w:hAnsi="仿宋_GB2312" w:eastAsia="仿宋_GB2312"/>
          <w:sz w:val="30"/>
          <w:szCs w:val="30"/>
          <w:lang w:eastAsia="zh-CN"/>
        </w:rPr>
        <w:t>办公设备添置减少</w:t>
      </w:r>
      <w:r>
        <w:rPr>
          <w:rFonts w:hint="eastAsia" w:ascii="仿宋_GB2312" w:hAnsi="仿宋_GB2312" w:eastAsia="仿宋_GB2312"/>
          <w:sz w:val="30"/>
          <w:szCs w:val="30"/>
          <w:lang w:eastAsia="zh-CN"/>
        </w:rPr>
        <w:t>。</w:t>
      </w:r>
    </w:p>
    <w:p>
      <w:pPr>
        <w:spacing w:line="560" w:lineRule="exact"/>
        <w:ind w:firstLine="600" w:firstLineChars="200"/>
        <w:jc w:val="both"/>
        <w:rPr>
          <w:rFonts w:ascii="黑体" w:hAnsi="黑体" w:eastAsia="黑体"/>
          <w:sz w:val="30"/>
          <w:szCs w:val="30"/>
          <w:lang w:eastAsia="zh-CN"/>
        </w:rPr>
      </w:pPr>
      <w:r>
        <w:rPr>
          <w:rFonts w:hint="eastAsia" w:ascii="黑体" w:hAnsi="黑体" w:eastAsia="黑体"/>
          <w:sz w:val="30"/>
          <w:szCs w:val="30"/>
          <w:lang w:eastAsia="zh-CN"/>
        </w:rPr>
        <w:t>五、一般公共预算财政拨款“三公”经费支出决算情况说明</w:t>
      </w:r>
    </w:p>
    <w:p>
      <w:pPr>
        <w:spacing w:line="560" w:lineRule="exact"/>
        <w:ind w:firstLine="600" w:firstLineChars="200"/>
        <w:jc w:val="both"/>
        <w:rPr>
          <w:rFonts w:ascii="仿宋_GB2312" w:hAnsi="仿宋_GB2312" w:eastAsia="仿宋_GB2312"/>
          <w:sz w:val="30"/>
          <w:szCs w:val="30"/>
          <w:lang w:eastAsia="zh-CN"/>
        </w:rPr>
      </w:pPr>
      <w:r>
        <w:rPr>
          <w:rFonts w:hint="eastAsia" w:ascii="仿宋_GB2312" w:hAnsi="仿宋_GB2312" w:eastAsia="仿宋_GB2312"/>
          <w:sz w:val="30"/>
          <w:szCs w:val="30"/>
          <w:lang w:eastAsia="zh-CN"/>
        </w:rPr>
        <w:t>本单位2021年度一般公共预算财政拨款“三公”经费支出年初预算数为21.54万元，决算数为14.05万元，完成预算的65.22%，决算数较2020年增加4.25万元，增长43.37 %，其中：</w:t>
      </w:r>
    </w:p>
    <w:p>
      <w:pPr>
        <w:spacing w:line="560" w:lineRule="exact"/>
        <w:ind w:firstLine="600" w:firstLineChars="200"/>
        <w:jc w:val="both"/>
        <w:rPr>
          <w:rFonts w:ascii="仿宋_GB2312" w:hAnsi="仿宋_GB2312" w:eastAsia="仿宋_GB2312"/>
          <w:sz w:val="30"/>
          <w:szCs w:val="30"/>
          <w:lang w:eastAsia="zh-CN"/>
        </w:rPr>
      </w:pPr>
      <w:r>
        <w:rPr>
          <w:rFonts w:hint="eastAsia" w:ascii="仿宋_GB2312" w:hAnsi="仿宋_GB2312" w:eastAsia="仿宋_GB2312"/>
          <w:sz w:val="30"/>
          <w:szCs w:val="30"/>
          <w:lang w:eastAsia="zh-CN"/>
        </w:rPr>
        <w:t>（一）因公出国（境）支出年初预算数为0万元，决算数为0万元，完成预算的100 %，决算数较2020年增加（减少）0万元，增长（下降）0%，主要原因是无因公出国（境）支出。决算数较年初预算数增加（减少）的主要原因是：无因公出国（境）支出。全年安排因公出国（境）团组0个，累计0人次，主要为：无因公出国（境）支出。</w:t>
      </w:r>
    </w:p>
    <w:p>
      <w:pPr>
        <w:spacing w:line="560" w:lineRule="exact"/>
        <w:ind w:firstLine="600" w:firstLineChars="200"/>
        <w:jc w:val="both"/>
        <w:rPr>
          <w:rFonts w:ascii="仿宋_GB2312" w:hAnsi="仿宋_GB2312" w:eastAsia="仿宋_GB2312"/>
          <w:sz w:val="30"/>
          <w:szCs w:val="30"/>
          <w:lang w:eastAsia="zh-CN"/>
        </w:rPr>
      </w:pPr>
      <w:r>
        <w:rPr>
          <w:rFonts w:hint="eastAsia" w:ascii="仿宋_GB2312" w:hAnsi="仿宋_GB2312" w:eastAsia="仿宋_GB2312"/>
          <w:sz w:val="30"/>
          <w:szCs w:val="30"/>
          <w:lang w:eastAsia="zh-CN"/>
        </w:rPr>
        <w:t>（二）公务接待费支出年初预算数为13.59万元，决算数为13.17万元，完成预算的96.91%，决算数较2020年增加3.64万元，增长38.19 %，主要原因是2021年事业单位改革，光荣院、革命烈士纪念馆并入。决算数较年初预算数减少的主要原因是：厉行</w:t>
      </w:r>
      <w:r>
        <w:rPr>
          <w:rFonts w:ascii="仿宋_GB2312" w:hAnsi="仿宋_GB2312" w:eastAsia="仿宋_GB2312"/>
          <w:sz w:val="30"/>
          <w:szCs w:val="30"/>
          <w:lang w:eastAsia="zh-CN"/>
        </w:rPr>
        <w:t>节约</w:t>
      </w:r>
      <w:r>
        <w:rPr>
          <w:rFonts w:hint="eastAsia" w:ascii="仿宋_GB2312" w:hAnsi="仿宋_GB2312" w:eastAsia="仿宋_GB2312"/>
          <w:sz w:val="30"/>
          <w:szCs w:val="30"/>
          <w:lang w:eastAsia="zh-CN"/>
        </w:rPr>
        <w:t>。全年国内公务接待172批，累计接待996人次，其中外事接待0批，累计接待0人次，主要为：</w:t>
      </w:r>
      <w:r>
        <w:rPr>
          <w:rFonts w:ascii="仿宋_GB2312" w:hAnsi="仿宋_GB2312" w:eastAsia="仿宋_GB2312"/>
          <w:sz w:val="30"/>
          <w:szCs w:val="30"/>
          <w:lang w:eastAsia="zh-CN"/>
        </w:rPr>
        <w:t>无外事接待</w:t>
      </w:r>
      <w:r>
        <w:rPr>
          <w:rFonts w:hint="eastAsia" w:ascii="仿宋_GB2312" w:hAnsi="仿宋_GB2312" w:eastAsia="仿宋_GB2312"/>
          <w:sz w:val="30"/>
          <w:szCs w:val="30"/>
          <w:lang w:eastAsia="zh-CN"/>
        </w:rPr>
        <w:t>。</w:t>
      </w:r>
    </w:p>
    <w:p>
      <w:pPr>
        <w:spacing w:line="560" w:lineRule="exact"/>
        <w:ind w:firstLine="600" w:firstLineChars="200"/>
        <w:jc w:val="both"/>
        <w:rPr>
          <w:rFonts w:ascii="仿宋_GB2312" w:hAnsi="仿宋_GB2312" w:eastAsia="仿宋_GB2312"/>
          <w:sz w:val="30"/>
          <w:szCs w:val="30"/>
          <w:lang w:eastAsia="zh-CN"/>
        </w:rPr>
      </w:pPr>
      <w:r>
        <w:rPr>
          <w:rFonts w:hint="eastAsia" w:ascii="仿宋_GB2312" w:hAnsi="仿宋_GB2312" w:eastAsia="仿宋_GB2312"/>
          <w:sz w:val="30"/>
          <w:szCs w:val="30"/>
          <w:lang w:eastAsia="zh-CN"/>
        </w:rPr>
        <w:t>（三）公务用车购置及运行维护费支出0.88万元，其中公务用车购置年初预算数为0万元，决算数为0万元，完成预算的 100%，决算数较2020年增加（减少）0万元，增长（下降）0 %，主要原因是全年无新购置车辆，全年购置公务用车0辆。决算数较年初预算数减少的主要原因是：全年无新购置车辆；公务用车运行维护费支出年初预算数为7.95万元，决算数为0.88万元，完成预算的11.07%，决算数较2020年增加0.57万元，增长183%，主要原因是随着车辆使用时间增长，运行维护费增加，年末公务用车保有1辆。决算数较年初预算数减少的主要原因是：</w:t>
      </w:r>
      <w:r>
        <w:rPr>
          <w:rFonts w:ascii="仿宋_GB2312" w:hAnsi="仿宋_GB2312" w:eastAsia="仿宋_GB2312"/>
          <w:sz w:val="30"/>
          <w:szCs w:val="30"/>
          <w:lang w:eastAsia="zh-CN"/>
        </w:rPr>
        <w:t>厉行节约</w:t>
      </w:r>
      <w:r>
        <w:rPr>
          <w:rFonts w:hint="eastAsia" w:ascii="仿宋_GB2312" w:hAnsi="仿宋_GB2312" w:eastAsia="仿宋_GB2312"/>
          <w:sz w:val="30"/>
          <w:szCs w:val="30"/>
          <w:lang w:eastAsia="zh-CN"/>
        </w:rPr>
        <w:t>。</w:t>
      </w:r>
    </w:p>
    <w:p>
      <w:pPr>
        <w:spacing w:line="560" w:lineRule="exact"/>
        <w:ind w:firstLine="600" w:firstLineChars="200"/>
        <w:jc w:val="both"/>
        <w:rPr>
          <w:rFonts w:ascii="黑体" w:hAnsi="黑体" w:eastAsia="黑体"/>
          <w:sz w:val="30"/>
          <w:szCs w:val="30"/>
          <w:lang w:eastAsia="zh-CN"/>
        </w:rPr>
      </w:pPr>
      <w:r>
        <w:rPr>
          <w:rFonts w:hint="eastAsia" w:ascii="黑体" w:hAnsi="黑体" w:eastAsia="黑体"/>
          <w:sz w:val="30"/>
          <w:szCs w:val="30"/>
          <w:lang w:eastAsia="zh-CN"/>
        </w:rPr>
        <w:t>六、机关运行经费支出情况说明</w:t>
      </w:r>
    </w:p>
    <w:p>
      <w:pPr>
        <w:spacing w:line="560" w:lineRule="exact"/>
        <w:ind w:firstLine="600" w:firstLineChars="200"/>
        <w:jc w:val="both"/>
        <w:rPr>
          <w:rFonts w:hint="eastAsia" w:ascii="仿宋_GB2312" w:hAnsi="仿宋_GB2312" w:eastAsia="仿宋_GB2312"/>
          <w:color w:val="auto"/>
          <w:sz w:val="30"/>
          <w:szCs w:val="30"/>
          <w:lang w:val="en-US" w:eastAsia="zh-CN"/>
        </w:rPr>
      </w:pPr>
      <w:r>
        <w:rPr>
          <w:rFonts w:hint="eastAsia" w:ascii="仿宋_GB2312" w:hAnsi="仿宋_GB2312" w:eastAsia="仿宋_GB2312"/>
          <w:color w:val="auto"/>
          <w:sz w:val="30"/>
          <w:szCs w:val="30"/>
          <w:lang w:eastAsia="zh-CN"/>
        </w:rPr>
        <w:t>本</w:t>
      </w:r>
      <w:r>
        <w:rPr>
          <w:rFonts w:hint="eastAsia" w:ascii="仿宋_GB2312" w:hAnsi="仿宋_GB2312" w:eastAsia="仿宋_GB2312"/>
          <w:color w:val="auto"/>
          <w:sz w:val="30"/>
          <w:szCs w:val="30"/>
          <w:lang w:val="en-US" w:eastAsia="zh-CN"/>
        </w:rPr>
        <w:t>单位</w:t>
      </w:r>
      <w:r>
        <w:rPr>
          <w:rFonts w:hint="eastAsia" w:ascii="仿宋_GB2312" w:hAnsi="仿宋_GB2312" w:eastAsia="仿宋_GB2312"/>
          <w:color w:val="auto"/>
          <w:sz w:val="30"/>
          <w:szCs w:val="30"/>
          <w:lang w:eastAsia="zh-CN"/>
        </w:rPr>
        <w:t>2021年度机关运行经费支出30.</w:t>
      </w:r>
      <w:r>
        <w:rPr>
          <w:rFonts w:hint="eastAsia" w:ascii="仿宋_GB2312" w:hAnsi="仿宋_GB2312" w:eastAsia="仿宋_GB2312"/>
          <w:color w:val="auto"/>
          <w:sz w:val="30"/>
          <w:szCs w:val="30"/>
          <w:lang w:val="en-US" w:eastAsia="zh-CN"/>
        </w:rPr>
        <w:t>7</w:t>
      </w:r>
      <w:r>
        <w:rPr>
          <w:rFonts w:hint="eastAsia" w:ascii="仿宋_GB2312" w:hAnsi="仿宋_GB2312" w:eastAsia="仿宋_GB2312"/>
          <w:color w:val="auto"/>
          <w:sz w:val="30"/>
          <w:szCs w:val="30"/>
          <w:lang w:eastAsia="zh-CN"/>
        </w:rPr>
        <w:t>1万元，较</w:t>
      </w:r>
      <w:r>
        <w:rPr>
          <w:rFonts w:hint="eastAsia" w:ascii="仿宋_GB2312" w:hAnsi="仿宋_GB2312" w:eastAsia="仿宋_GB2312"/>
          <w:color w:val="auto"/>
          <w:sz w:val="30"/>
          <w:szCs w:val="30"/>
          <w:lang w:val="en-US" w:eastAsia="zh-CN"/>
        </w:rPr>
        <w:t>上年决算支出减少59.26</w:t>
      </w:r>
      <w:r>
        <w:rPr>
          <w:rFonts w:hint="eastAsia" w:ascii="仿宋_GB2312" w:hAnsi="仿宋_GB2312" w:eastAsia="仿宋_GB2312"/>
          <w:color w:val="auto"/>
          <w:sz w:val="30"/>
          <w:szCs w:val="30"/>
          <w:lang w:eastAsia="zh-CN"/>
        </w:rPr>
        <w:t>万元，</w:t>
      </w:r>
      <w:r>
        <w:rPr>
          <w:rFonts w:hint="eastAsia" w:ascii="仿宋_GB2312" w:hAnsi="仿宋_GB2312" w:eastAsia="仿宋_GB2312"/>
          <w:color w:val="auto"/>
          <w:sz w:val="30"/>
          <w:szCs w:val="30"/>
          <w:lang w:val="en-US" w:eastAsia="zh-CN"/>
        </w:rPr>
        <w:t>减少65.86</w:t>
      </w:r>
      <w:r>
        <w:rPr>
          <w:rFonts w:hint="eastAsia" w:ascii="仿宋_GB2312" w:hAnsi="仿宋_GB2312" w:eastAsia="仿宋_GB2312"/>
          <w:color w:val="auto"/>
          <w:sz w:val="30"/>
          <w:szCs w:val="30"/>
          <w:lang w:eastAsia="zh-CN"/>
        </w:rPr>
        <w:t xml:space="preserve"> %，主要原因是：</w:t>
      </w:r>
      <w:r>
        <w:rPr>
          <w:rFonts w:ascii="仿宋_GB2312" w:hAnsi="仿宋_GB2312" w:eastAsia="仿宋_GB2312"/>
          <w:sz w:val="30"/>
          <w:szCs w:val="30"/>
          <w:lang w:eastAsia="zh-CN"/>
        </w:rPr>
        <w:t>厉行节约</w:t>
      </w:r>
      <w:r>
        <w:rPr>
          <w:rFonts w:hint="eastAsia" w:ascii="仿宋_GB2312" w:hAnsi="仿宋_GB2312" w:eastAsia="仿宋_GB2312"/>
          <w:sz w:val="30"/>
          <w:szCs w:val="30"/>
          <w:lang w:eastAsia="zh-CN"/>
        </w:rPr>
        <w:t>，</w:t>
      </w:r>
      <w:r>
        <w:rPr>
          <w:rFonts w:hint="eastAsia" w:ascii="仿宋_GB2312" w:hAnsi="仿宋_GB2312" w:eastAsia="仿宋_GB2312"/>
          <w:color w:val="auto"/>
          <w:sz w:val="30"/>
          <w:szCs w:val="30"/>
          <w:lang w:val="en-US" w:eastAsia="zh-CN"/>
        </w:rPr>
        <w:t>落实过紧日子要求。</w:t>
      </w:r>
    </w:p>
    <w:p>
      <w:pPr>
        <w:spacing w:line="560" w:lineRule="exact"/>
        <w:ind w:firstLine="600" w:firstLineChars="200"/>
        <w:jc w:val="both"/>
        <w:rPr>
          <w:rFonts w:ascii="黑体" w:hAnsi="黑体" w:eastAsia="黑体"/>
          <w:sz w:val="30"/>
          <w:szCs w:val="30"/>
          <w:lang w:eastAsia="zh-CN"/>
        </w:rPr>
      </w:pPr>
      <w:r>
        <w:rPr>
          <w:rFonts w:hint="eastAsia" w:ascii="黑体" w:hAnsi="黑体" w:eastAsia="黑体"/>
          <w:sz w:val="30"/>
          <w:szCs w:val="30"/>
          <w:lang w:eastAsia="zh-CN"/>
        </w:rPr>
        <w:t>七、政府采购支出情况说明</w:t>
      </w:r>
    </w:p>
    <w:p>
      <w:pPr>
        <w:pStyle w:val="36"/>
        <w:spacing w:line="560" w:lineRule="exact"/>
        <w:ind w:firstLine="600" w:firstLineChars="200"/>
        <w:rPr>
          <w:rFonts w:ascii="仿宋_GB2312" w:hAnsi="仿宋_GB2312" w:eastAsia="仿宋_GB2312"/>
          <w:sz w:val="30"/>
          <w:szCs w:val="30"/>
        </w:rPr>
      </w:pPr>
      <w:r>
        <w:rPr>
          <w:rFonts w:hint="eastAsia" w:ascii="仿宋_GB2312" w:hAnsi="仿宋_GB2312" w:eastAsia="仿宋_GB2312"/>
          <w:sz w:val="30"/>
          <w:szCs w:val="30"/>
        </w:rPr>
        <w:t>本</w:t>
      </w:r>
      <w:r>
        <w:rPr>
          <w:rFonts w:hint="eastAsia" w:ascii="仿宋_GB2312" w:hAnsi="仿宋_GB2312" w:eastAsia="仿宋_GB2312"/>
          <w:sz w:val="30"/>
          <w:szCs w:val="30"/>
          <w:lang w:val="en-US" w:eastAsia="zh-CN"/>
        </w:rPr>
        <w:t>单位</w:t>
      </w:r>
      <w:r>
        <w:rPr>
          <w:rFonts w:hint="eastAsia" w:ascii="仿宋_GB2312" w:hAnsi="仿宋_GB2312" w:eastAsia="仿宋_GB2312"/>
          <w:sz w:val="30"/>
          <w:szCs w:val="30"/>
        </w:rPr>
        <w:t>2021年度政府采购支出总额 0.7 万元，其中：政府采购货物支出 0.7万元、政府采购工程支出 0 万元、政府采购服务支出 0 万元。授予中小企业合同金额0.7万元，占政府采购支出总额的 100 %，其中：授予小微企业合同金额 0.7万元，占政府采购支出总额的100  %；货物采购授予中小企业合同金额占货物支出金额的100%，工程采购授予中小企业合同金额占工程支出金额的 0 %，服务采购授予中小企业合同金额占服务支出金额的 0 %。</w:t>
      </w:r>
    </w:p>
    <w:p>
      <w:pPr>
        <w:spacing w:line="560" w:lineRule="exact"/>
        <w:ind w:firstLine="600" w:firstLineChars="200"/>
        <w:jc w:val="both"/>
        <w:rPr>
          <w:rFonts w:ascii="黑体" w:hAnsi="黑体" w:eastAsia="黑体"/>
          <w:sz w:val="30"/>
          <w:szCs w:val="30"/>
          <w:lang w:eastAsia="zh-CN"/>
        </w:rPr>
      </w:pPr>
      <w:r>
        <w:rPr>
          <w:rFonts w:hint="eastAsia" w:ascii="黑体" w:hAnsi="黑体" w:eastAsia="黑体"/>
          <w:sz w:val="30"/>
          <w:szCs w:val="30"/>
          <w:lang w:eastAsia="zh-CN"/>
        </w:rPr>
        <w:t>八、国有资产占用情况说明。</w:t>
      </w:r>
    </w:p>
    <w:p>
      <w:pPr>
        <w:spacing w:line="560" w:lineRule="exact"/>
        <w:ind w:firstLine="600" w:firstLineChars="200"/>
        <w:jc w:val="both"/>
        <w:rPr>
          <w:rFonts w:ascii="仿宋_GB2312" w:hAnsi="仿宋_GB2312" w:eastAsia="仿宋_GB2312"/>
          <w:sz w:val="30"/>
          <w:szCs w:val="30"/>
          <w:lang w:eastAsia="zh-CN"/>
        </w:rPr>
      </w:pPr>
      <w:r>
        <w:rPr>
          <w:rFonts w:hint="eastAsia" w:ascii="仿宋_GB2312" w:hAnsi="仿宋_GB2312" w:eastAsia="仿宋_GB2312"/>
          <w:sz w:val="30"/>
          <w:szCs w:val="30"/>
          <w:lang w:eastAsia="zh-CN"/>
        </w:rPr>
        <w:t>截止2021年12月31日，本单位国有资产占用情况见公开10表《国有资产占用情况表》。其中车辆中的其他用车主要是</w:t>
      </w:r>
      <w:r>
        <w:rPr>
          <w:rFonts w:ascii="仿宋_GB2312" w:hAnsi="仿宋_GB2312" w:eastAsia="仿宋_GB2312"/>
          <w:sz w:val="30"/>
          <w:szCs w:val="30"/>
          <w:lang w:eastAsia="zh-CN"/>
        </w:rPr>
        <w:t>退役军人服务中心服务用车</w:t>
      </w:r>
      <w:r>
        <w:rPr>
          <w:rFonts w:hint="eastAsia" w:ascii="仿宋_GB2312" w:hAnsi="仿宋_GB2312" w:eastAsia="仿宋_GB2312"/>
          <w:sz w:val="30"/>
          <w:szCs w:val="30"/>
          <w:lang w:eastAsia="zh-CN"/>
        </w:rPr>
        <w:t>。</w:t>
      </w:r>
    </w:p>
    <w:p>
      <w:pPr>
        <w:spacing w:line="560" w:lineRule="exact"/>
        <w:ind w:firstLine="600" w:firstLineChars="200"/>
        <w:jc w:val="both"/>
        <w:rPr>
          <w:rFonts w:ascii="黑体" w:hAnsi="黑体" w:eastAsia="黑体"/>
          <w:sz w:val="30"/>
          <w:szCs w:val="30"/>
          <w:lang w:eastAsia="zh-CN"/>
        </w:rPr>
      </w:pPr>
      <w:r>
        <w:rPr>
          <w:rFonts w:hint="eastAsia" w:ascii="黑体" w:hAnsi="黑体" w:eastAsia="黑体"/>
          <w:sz w:val="30"/>
          <w:szCs w:val="30"/>
          <w:lang w:eastAsia="zh-CN"/>
        </w:rPr>
        <w:t>九、预算绩效情况说明</w:t>
      </w:r>
    </w:p>
    <w:p>
      <w:pPr>
        <w:autoSpaceDE w:val="0"/>
        <w:autoSpaceDN w:val="0"/>
        <w:adjustRightInd w:val="0"/>
        <w:spacing w:line="560" w:lineRule="exact"/>
        <w:ind w:firstLine="643" w:firstLineChars="200"/>
        <w:jc w:val="both"/>
        <w:rPr>
          <w:rFonts w:ascii="华文楷体" w:hAnsi="华文楷体" w:eastAsia="华文楷体" w:cs="仿宋_GB2312"/>
          <w:b/>
          <w:sz w:val="32"/>
          <w:szCs w:val="32"/>
          <w:lang w:eastAsia="zh-CN"/>
        </w:rPr>
      </w:pPr>
      <w:r>
        <w:rPr>
          <w:rFonts w:hint="eastAsia" w:ascii="华文楷体" w:hAnsi="华文楷体" w:eastAsia="华文楷体" w:cs="仿宋_GB2312"/>
          <w:b/>
          <w:sz w:val="32"/>
          <w:szCs w:val="32"/>
          <w:lang w:eastAsia="zh-CN"/>
        </w:rPr>
        <w:t>（一）绩效管理工作开展情况。</w:t>
      </w:r>
    </w:p>
    <w:p>
      <w:pPr>
        <w:autoSpaceDE w:val="0"/>
        <w:autoSpaceDN w:val="0"/>
        <w:adjustRightInd w:val="0"/>
        <w:spacing w:line="560" w:lineRule="exact"/>
        <w:ind w:firstLine="600" w:firstLineChars="200"/>
        <w:jc w:val="both"/>
        <w:rPr>
          <w:rFonts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根据预算绩效管理要求，我单位组织对纳入</w:t>
      </w:r>
      <w:r>
        <w:rPr>
          <w:rFonts w:ascii="仿宋_GB2312" w:hAnsi="仿宋_GB2312" w:eastAsia="仿宋_GB2312" w:cs="仿宋_GB2312"/>
          <w:color w:val="auto"/>
          <w:sz w:val="30"/>
          <w:szCs w:val="30"/>
          <w:lang w:eastAsia="zh-CN"/>
        </w:rPr>
        <w:t>20</w:t>
      </w:r>
      <w:r>
        <w:rPr>
          <w:rFonts w:hint="eastAsia" w:ascii="仿宋_GB2312" w:hAnsi="仿宋_GB2312" w:eastAsia="仿宋_GB2312" w:cs="仿宋_GB2312"/>
          <w:color w:val="auto"/>
          <w:sz w:val="30"/>
          <w:szCs w:val="30"/>
          <w:lang w:eastAsia="zh-CN"/>
        </w:rPr>
        <w:t xml:space="preserve">21年度部门预算范围的“优抚安置资金”、“退役安置补助经费”、“涉军人员公益性岗位补贴”等3个全面开展绩效自评，共涉及资金8857.28万元，占项目支出总额的93.59%。    </w:t>
      </w:r>
    </w:p>
    <w:p>
      <w:pPr>
        <w:autoSpaceDE w:val="0"/>
        <w:autoSpaceDN w:val="0"/>
        <w:adjustRightInd w:val="0"/>
        <w:spacing w:line="560" w:lineRule="exact"/>
        <w:ind w:firstLine="643" w:firstLineChars="200"/>
        <w:jc w:val="both"/>
        <w:rPr>
          <w:rFonts w:ascii="华文楷体" w:hAnsi="华文楷体" w:eastAsia="华文楷体" w:cs="仿宋_GB2312"/>
          <w:b/>
          <w:sz w:val="32"/>
          <w:szCs w:val="32"/>
          <w:lang w:eastAsia="zh-CN"/>
        </w:rPr>
      </w:pPr>
      <w:r>
        <w:rPr>
          <w:rFonts w:hint="eastAsia" w:ascii="华文楷体" w:hAnsi="华文楷体" w:eastAsia="华文楷体" w:cs="仿宋_GB2312"/>
          <w:b/>
          <w:sz w:val="32"/>
          <w:szCs w:val="32"/>
          <w:lang w:eastAsia="zh-CN"/>
        </w:rPr>
        <w:t>（二）单位决算中项目绩效自评情况。</w:t>
      </w:r>
    </w:p>
    <w:p>
      <w:pPr>
        <w:autoSpaceDE w:val="0"/>
        <w:autoSpaceDN w:val="0"/>
        <w:adjustRightInd w:val="0"/>
        <w:spacing w:line="560" w:lineRule="exact"/>
        <w:ind w:firstLine="600"/>
        <w:rPr>
          <w:rFonts w:ascii="仿宋" w:hAnsi="仿宋" w:eastAsia="仿宋" w:cs="仿宋_GB2312"/>
          <w:sz w:val="30"/>
          <w:szCs w:val="30"/>
          <w:lang w:eastAsia="zh-CN"/>
        </w:rPr>
      </w:pPr>
      <w:r>
        <w:rPr>
          <w:rFonts w:hint="eastAsia" w:ascii="仿宋_GB2312" w:hAnsi="仿宋_GB2312" w:eastAsia="仿宋_GB2312" w:cs="仿宋_GB2312"/>
          <w:color w:val="auto"/>
          <w:sz w:val="30"/>
          <w:szCs w:val="30"/>
          <w:lang w:eastAsia="zh-CN"/>
        </w:rPr>
        <w:t>本单位组织对“优抚安置资金”项目开展了绩效自评，涉及一般公共预算支出8286.78元，政府性基金预算支出0万元，国有资本预算支出 0万元。从评价情况来看，</w:t>
      </w:r>
      <w:r>
        <w:rPr>
          <w:rFonts w:hint="eastAsia" w:ascii="仿宋" w:hAnsi="仿宋" w:eastAsia="仿宋" w:cs="仿宋_GB2312"/>
          <w:sz w:val="30"/>
          <w:szCs w:val="30"/>
          <w:lang w:eastAsia="zh-CN"/>
        </w:rPr>
        <w:t xml:space="preserve"> “优抚安置资金”项目绩效指标评分结果为优。</w:t>
      </w:r>
    </w:p>
    <w:p>
      <w:pPr>
        <w:pStyle w:val="2"/>
        <w:rPr>
          <w:lang w:val="en-US" w:eastAsia="zh-CN" w:bidi="en-US"/>
        </w:rPr>
      </w:pPr>
    </w:p>
    <w:p>
      <w:pPr>
        <w:widowControl/>
        <w:shd w:val="clear" w:color="auto" w:fill="FFFFFF"/>
        <w:spacing w:line="560" w:lineRule="exact"/>
        <w:jc w:val="center"/>
        <w:outlineLvl w:val="0"/>
        <w:rPr>
          <w:rFonts w:ascii="华文中宋" w:hAnsi="华文中宋" w:eastAsia="华文中宋" w:cs="宋体"/>
          <w:bCs/>
          <w:kern w:val="36"/>
          <w:sz w:val="32"/>
          <w:szCs w:val="32"/>
          <w:lang w:eastAsia="zh-CN"/>
        </w:rPr>
      </w:pPr>
      <w:r>
        <w:rPr>
          <w:rFonts w:hint="eastAsia" w:ascii="华文中宋" w:hAnsi="华文中宋" w:eastAsia="华文中宋" w:cs="宋体"/>
          <w:bCs/>
          <w:kern w:val="36"/>
          <w:sz w:val="32"/>
          <w:szCs w:val="32"/>
          <w:lang w:eastAsia="zh-CN"/>
        </w:rPr>
        <w:t>兴国县退役军人事务局2021年度优抚安置资金</w:t>
      </w:r>
    </w:p>
    <w:p>
      <w:pPr>
        <w:widowControl/>
        <w:shd w:val="clear" w:color="auto" w:fill="FFFFFF"/>
        <w:spacing w:line="560" w:lineRule="exact"/>
        <w:jc w:val="center"/>
        <w:outlineLvl w:val="0"/>
        <w:rPr>
          <w:rFonts w:ascii="华文中宋" w:hAnsi="华文中宋" w:eastAsia="华文中宋" w:cs="宋体"/>
          <w:bCs/>
          <w:kern w:val="36"/>
          <w:sz w:val="32"/>
          <w:szCs w:val="32"/>
          <w:lang w:eastAsia="zh-CN"/>
        </w:rPr>
      </w:pPr>
      <w:r>
        <w:rPr>
          <w:rFonts w:hint="eastAsia" w:ascii="华文中宋" w:hAnsi="华文中宋" w:eastAsia="华文中宋" w:cs="宋体"/>
          <w:bCs/>
          <w:kern w:val="36"/>
          <w:sz w:val="32"/>
          <w:szCs w:val="32"/>
          <w:lang w:eastAsia="zh-CN"/>
        </w:rPr>
        <w:t>项目支出绩效自评报告</w:t>
      </w:r>
    </w:p>
    <w:p>
      <w:pPr>
        <w:widowControl/>
        <w:shd w:val="clear" w:color="auto" w:fill="FFFFFF"/>
        <w:spacing w:line="560" w:lineRule="exact"/>
        <w:ind w:firstLine="600" w:firstLineChars="200"/>
        <w:rPr>
          <w:rFonts w:ascii="黑体" w:hAnsi="黑体" w:eastAsia="黑体" w:cs="宋体"/>
          <w:color w:val="4A4A4A"/>
          <w:sz w:val="30"/>
          <w:szCs w:val="30"/>
          <w:lang w:eastAsia="zh-CN"/>
        </w:rPr>
      </w:pPr>
      <w:r>
        <w:rPr>
          <w:rFonts w:hint="eastAsia" w:ascii="黑体" w:hAnsi="黑体" w:eastAsia="黑体" w:cs="宋体"/>
          <w:color w:val="4A4A4A"/>
          <w:sz w:val="30"/>
          <w:szCs w:val="30"/>
          <w:lang w:eastAsia="zh-CN"/>
        </w:rPr>
        <w:t>一、基本情况</w:t>
      </w:r>
    </w:p>
    <w:p>
      <w:pPr>
        <w:widowControl/>
        <w:shd w:val="clear" w:color="auto" w:fill="FFFFFF"/>
        <w:spacing w:line="560" w:lineRule="exact"/>
        <w:ind w:firstLine="602" w:firstLineChars="200"/>
        <w:rPr>
          <w:rFonts w:ascii="华文楷体" w:hAnsi="华文楷体" w:eastAsia="华文楷体" w:cs="宋体"/>
          <w:b/>
          <w:color w:val="4A4A4A"/>
          <w:sz w:val="30"/>
          <w:szCs w:val="30"/>
          <w:lang w:eastAsia="zh-CN"/>
        </w:rPr>
      </w:pPr>
      <w:r>
        <w:rPr>
          <w:rFonts w:hint="eastAsia" w:ascii="华文楷体" w:hAnsi="华文楷体" w:eastAsia="华文楷体" w:cs="宋体"/>
          <w:b/>
          <w:color w:val="4A4A4A"/>
          <w:sz w:val="30"/>
          <w:szCs w:val="30"/>
          <w:lang w:eastAsia="zh-CN"/>
        </w:rPr>
        <w:t>（一）项目概况</w:t>
      </w:r>
    </w:p>
    <w:p>
      <w:pPr>
        <w:widowControl/>
        <w:shd w:val="clear" w:color="auto" w:fill="FFFFFF"/>
        <w:spacing w:line="560" w:lineRule="exact"/>
        <w:ind w:firstLine="600" w:firstLineChars="200"/>
        <w:rPr>
          <w:rFonts w:ascii="仿宋" w:hAnsi="仿宋" w:eastAsia="仿宋" w:cs="宋体"/>
          <w:color w:val="4A4A4A"/>
          <w:sz w:val="30"/>
          <w:szCs w:val="30"/>
          <w:lang w:eastAsia="zh-CN"/>
        </w:rPr>
      </w:pPr>
      <w:r>
        <w:rPr>
          <w:rFonts w:hint="eastAsia" w:ascii="仿宋" w:hAnsi="仿宋" w:eastAsia="仿宋" w:cs="宋体"/>
          <w:color w:val="4A4A4A"/>
          <w:sz w:val="30"/>
          <w:szCs w:val="30"/>
          <w:lang w:eastAsia="zh-CN"/>
        </w:rPr>
        <w:t>项目名称：优抚安置资金</w:t>
      </w:r>
    </w:p>
    <w:p>
      <w:pPr>
        <w:widowControl/>
        <w:shd w:val="clear" w:color="auto" w:fill="FFFFFF"/>
        <w:spacing w:line="560" w:lineRule="exact"/>
        <w:ind w:firstLine="600" w:firstLineChars="200"/>
        <w:rPr>
          <w:rFonts w:ascii="仿宋" w:hAnsi="仿宋" w:eastAsia="仿宋" w:cs="宋体"/>
          <w:color w:val="4A4A4A"/>
          <w:sz w:val="30"/>
          <w:szCs w:val="30"/>
          <w:lang w:eastAsia="zh-CN"/>
        </w:rPr>
      </w:pPr>
      <w:r>
        <w:rPr>
          <w:rFonts w:hint="eastAsia" w:ascii="仿宋" w:hAnsi="仿宋" w:eastAsia="仿宋" w:cs="宋体"/>
          <w:color w:val="4A4A4A"/>
          <w:sz w:val="30"/>
          <w:szCs w:val="30"/>
          <w:lang w:eastAsia="zh-CN"/>
        </w:rPr>
        <w:t>项目背景：为</w:t>
      </w:r>
      <w:r>
        <w:rPr>
          <w:rFonts w:hint="eastAsia" w:ascii="仿宋" w:hAnsi="仿宋" w:eastAsia="仿宋" w:cs="Arial Narrow"/>
          <w:sz w:val="30"/>
          <w:szCs w:val="30"/>
          <w:lang w:eastAsia="zh-CN"/>
        </w:rPr>
        <w:t>深入贯彻落实习近平总书记关于退役军人工作重要论述精神，切实做好退役军人服务管理工作，全力维护退役军人合法权益，用实际行动让军人成为全社会尊崇的职业。项目实施根据</w:t>
      </w:r>
      <w:r>
        <w:rPr>
          <w:rFonts w:ascii="仿宋" w:hAnsi="仿宋" w:eastAsia="仿宋" w:cs="Arial Narrow"/>
          <w:sz w:val="30"/>
          <w:szCs w:val="30"/>
          <w:lang w:eastAsia="zh-CN"/>
        </w:rPr>
        <w:t>《军人抚恤优待条例》、《优抚对象抚恤补助资金使用管理办法》、《一至六级残疾军人医疗保障办法》、《优抚对象医疗保障办法》、《优抚对象医疗补助资金使用管理办法》</w:t>
      </w:r>
      <w:r>
        <w:rPr>
          <w:rFonts w:hint="eastAsia" w:ascii="仿宋" w:hAnsi="仿宋" w:eastAsia="仿宋" w:cs="Arial Narrow"/>
          <w:sz w:val="30"/>
          <w:szCs w:val="30"/>
          <w:lang w:eastAsia="zh-CN"/>
        </w:rPr>
        <w:t>等法律法规，认真贯彻落实各项优抚安置政策，全力维护优抚对象的切身利益。确保优抚对象生活水平不低于当地的平均生活水平，保障优抚工作顺利开展。</w:t>
      </w:r>
    </w:p>
    <w:p>
      <w:pPr>
        <w:spacing w:line="560" w:lineRule="exact"/>
        <w:ind w:firstLine="480"/>
        <w:rPr>
          <w:rFonts w:ascii="仿宋" w:hAnsi="仿宋" w:eastAsia="仿宋" w:cs="Arial Narrow"/>
          <w:sz w:val="30"/>
          <w:szCs w:val="30"/>
          <w:lang w:eastAsia="zh-CN"/>
        </w:rPr>
      </w:pPr>
      <w:r>
        <w:rPr>
          <w:rFonts w:hint="eastAsia" w:ascii="仿宋" w:hAnsi="仿宋" w:eastAsia="仿宋" w:cs="Arial Narrow"/>
          <w:sz w:val="30"/>
          <w:szCs w:val="30"/>
          <w:lang w:eastAsia="zh-CN"/>
        </w:rPr>
        <w:t>主要内容及实施情况：通过发放义务兵优待金、春节八一慰问金、优抚抚恤金、优质对象医疗补助等经费支出，保障优抚对象基本权益，维护改革发展稳定大局、促进国防军队建设、构建社会主义和谐社会。</w:t>
      </w:r>
    </w:p>
    <w:p>
      <w:pPr>
        <w:spacing w:line="560" w:lineRule="exact"/>
        <w:ind w:firstLine="480"/>
        <w:rPr>
          <w:rFonts w:ascii="仿宋" w:hAnsi="仿宋" w:eastAsia="仿宋" w:cs="Arial Narrow"/>
          <w:sz w:val="30"/>
          <w:szCs w:val="30"/>
          <w:lang w:eastAsia="zh-CN"/>
        </w:rPr>
      </w:pPr>
      <w:r>
        <w:rPr>
          <w:rFonts w:hint="eastAsia" w:ascii="仿宋" w:hAnsi="仿宋" w:eastAsia="仿宋" w:cs="Arial Narrow"/>
          <w:sz w:val="30"/>
          <w:szCs w:val="30"/>
          <w:lang w:eastAsia="zh-CN"/>
        </w:rPr>
        <w:t>资金投入和使用情况：本项目年初预算安排8293.19万元，实际到位8293.19万元，使用8293.19万元，结余0万元。</w:t>
      </w:r>
    </w:p>
    <w:p>
      <w:pPr>
        <w:widowControl/>
        <w:shd w:val="clear" w:color="auto" w:fill="FFFFFF"/>
        <w:spacing w:line="560" w:lineRule="exact"/>
        <w:ind w:firstLine="602" w:firstLineChars="200"/>
        <w:rPr>
          <w:rFonts w:ascii="华文楷体" w:hAnsi="华文楷体" w:eastAsia="华文楷体" w:cs="宋体"/>
          <w:b/>
          <w:color w:val="4A4A4A"/>
          <w:sz w:val="30"/>
          <w:szCs w:val="30"/>
          <w:lang w:eastAsia="zh-CN"/>
        </w:rPr>
      </w:pPr>
      <w:r>
        <w:rPr>
          <w:rFonts w:hint="eastAsia" w:ascii="华文楷体" w:hAnsi="华文楷体" w:eastAsia="华文楷体" w:cs="宋体"/>
          <w:b/>
          <w:color w:val="4A4A4A"/>
          <w:sz w:val="30"/>
          <w:szCs w:val="30"/>
          <w:lang w:eastAsia="zh-CN"/>
        </w:rPr>
        <w:t>（二）项目绩效目标</w:t>
      </w:r>
    </w:p>
    <w:p>
      <w:pPr>
        <w:spacing w:line="560" w:lineRule="exact"/>
        <w:ind w:firstLine="480"/>
        <w:rPr>
          <w:rFonts w:ascii="仿宋" w:hAnsi="仿宋" w:eastAsia="仿宋" w:cs="Arial Narrow"/>
          <w:sz w:val="30"/>
          <w:szCs w:val="30"/>
          <w:lang w:eastAsia="zh-CN"/>
        </w:rPr>
      </w:pPr>
      <w:r>
        <w:rPr>
          <w:rFonts w:hint="eastAsia" w:ascii="仿宋" w:hAnsi="仿宋" w:eastAsia="仿宋" w:cs="Arial Narrow"/>
          <w:sz w:val="30"/>
          <w:szCs w:val="30"/>
          <w:lang w:eastAsia="zh-CN"/>
        </w:rPr>
        <w:t>总体目标：通过发放优抚对象抚恤补助、生活补助、医疗补助、义务兵家庭优待金等资金，使优抚对象等人员的基本生活得到有效保障，有效帮助解决优抚对象医疗难问题，落实好义务兵家庭优待问题，促进国防军队建设、构建社会主义和谐社会。</w:t>
      </w:r>
    </w:p>
    <w:p>
      <w:pPr>
        <w:spacing w:line="580" w:lineRule="exact"/>
        <w:ind w:firstLine="480"/>
        <w:rPr>
          <w:rFonts w:ascii="仿宋" w:hAnsi="仿宋" w:eastAsia="仿宋" w:cs="宋体"/>
          <w:color w:val="4A4A4A"/>
          <w:sz w:val="30"/>
          <w:szCs w:val="30"/>
          <w:lang w:eastAsia="zh-CN"/>
        </w:rPr>
      </w:pPr>
      <w:r>
        <w:rPr>
          <w:rFonts w:hint="eastAsia" w:ascii="仿宋" w:hAnsi="仿宋" w:eastAsia="仿宋" w:cs="Arial Narrow"/>
          <w:sz w:val="30"/>
          <w:szCs w:val="30"/>
          <w:lang w:eastAsia="zh-CN"/>
        </w:rPr>
        <w:t>阶段性目标：全年预算总费用8293.19万元，主要用于义务兵优待、春节八一慰问、优抚抚恤、优质对象医疗补助等经费支出，有效的提高了优抚对象的基本生活水平，</w:t>
      </w:r>
      <w:r>
        <w:rPr>
          <w:rFonts w:hint="eastAsia" w:ascii="仿宋" w:hAnsi="仿宋" w:eastAsia="仿宋" w:cs="宋体"/>
          <w:color w:val="4A4A4A"/>
          <w:sz w:val="30"/>
          <w:szCs w:val="30"/>
          <w:lang w:eastAsia="zh-CN"/>
        </w:rPr>
        <w:t>为优抚对象排忧解难，有利于化解社会矛盾，促进社会公平，维护社会和谐稳定。</w:t>
      </w:r>
    </w:p>
    <w:p>
      <w:pPr>
        <w:widowControl/>
        <w:shd w:val="clear" w:color="auto" w:fill="FFFFFF"/>
        <w:spacing w:line="580" w:lineRule="exact"/>
        <w:ind w:firstLine="600" w:firstLineChars="200"/>
        <w:rPr>
          <w:rFonts w:ascii="黑体" w:hAnsi="黑体" w:eastAsia="黑体" w:cs="宋体"/>
          <w:color w:val="4A4A4A"/>
          <w:sz w:val="30"/>
          <w:szCs w:val="30"/>
          <w:lang w:eastAsia="zh-CN"/>
        </w:rPr>
      </w:pPr>
      <w:r>
        <w:rPr>
          <w:rFonts w:hint="eastAsia" w:ascii="黑体" w:hAnsi="黑体" w:eastAsia="黑体" w:cs="宋体"/>
          <w:color w:val="4A4A4A"/>
          <w:sz w:val="30"/>
          <w:szCs w:val="30"/>
          <w:lang w:eastAsia="zh-CN"/>
        </w:rPr>
        <w:t>　　二、绩效评价工作开展情况</w:t>
      </w:r>
    </w:p>
    <w:p>
      <w:pPr>
        <w:widowControl/>
        <w:shd w:val="clear" w:color="auto" w:fill="FFFFFF"/>
        <w:spacing w:line="580" w:lineRule="exact"/>
        <w:ind w:firstLine="602" w:firstLineChars="200"/>
        <w:rPr>
          <w:rFonts w:ascii="华文楷体" w:hAnsi="华文楷体" w:eastAsia="华文楷体" w:cs="宋体"/>
          <w:b/>
          <w:color w:val="4A4A4A"/>
          <w:sz w:val="30"/>
          <w:szCs w:val="30"/>
          <w:lang w:eastAsia="zh-CN"/>
        </w:rPr>
      </w:pPr>
      <w:r>
        <w:rPr>
          <w:rFonts w:hint="eastAsia" w:ascii="华文楷体" w:hAnsi="华文楷体" w:eastAsia="华文楷体" w:cs="宋体"/>
          <w:b/>
          <w:color w:val="4A4A4A"/>
          <w:sz w:val="30"/>
          <w:szCs w:val="30"/>
          <w:lang w:eastAsia="zh-CN"/>
        </w:rPr>
        <w:t>（一）绩效评价目的、对象和范围。</w:t>
      </w:r>
    </w:p>
    <w:p>
      <w:pPr>
        <w:spacing w:line="580" w:lineRule="exact"/>
        <w:ind w:firstLine="663" w:firstLineChars="221"/>
        <w:rPr>
          <w:rFonts w:ascii="仿宋" w:hAnsi="仿宋" w:eastAsia="仿宋" w:cs="Arial Narrow"/>
          <w:sz w:val="30"/>
          <w:szCs w:val="30"/>
          <w:lang w:eastAsia="zh-CN"/>
        </w:rPr>
      </w:pPr>
      <w:r>
        <w:rPr>
          <w:rFonts w:hint="eastAsia" w:ascii="仿宋" w:hAnsi="仿宋" w:eastAsia="仿宋" w:cs="Arial Narrow"/>
          <w:sz w:val="30"/>
          <w:szCs w:val="30"/>
          <w:lang w:eastAsia="zh-CN"/>
        </w:rPr>
        <w:t>本次绩效评价的主要目的是加强项目资金管理，提高“优抚安置资金”使用效益。运用一定的量化指标及评价标准，通过单位履行职能所确定的绩效目标的实现程度，及为实现这一目标所安排预算的执行结果进行综合性评价，以此来了解资金使用是否达到预期目标、资金管理是否规范、资金使用是否有效，检验资金支出效率和效果，分析存在问题及原因，及时总结经验，改进管理措施，不断增强和落实绩效管理责任，完善工作机制，有效提高资金管理水平和使用效益，牢固树立“讲绩效、重绩效、用绩效”的绩效管理理念。</w:t>
      </w:r>
    </w:p>
    <w:p>
      <w:pPr>
        <w:widowControl/>
        <w:shd w:val="clear" w:color="auto" w:fill="FFFFFF"/>
        <w:spacing w:line="580" w:lineRule="exact"/>
        <w:rPr>
          <w:rFonts w:ascii="仿宋" w:hAnsi="仿宋" w:eastAsia="仿宋" w:cs="Arial Narrow"/>
          <w:sz w:val="30"/>
          <w:szCs w:val="30"/>
          <w:lang w:eastAsia="zh-CN"/>
        </w:rPr>
      </w:pPr>
      <w:r>
        <w:rPr>
          <w:rFonts w:hint="eastAsia" w:ascii="仿宋" w:hAnsi="仿宋" w:eastAsia="仿宋" w:cs="Arial Narrow"/>
          <w:sz w:val="30"/>
          <w:szCs w:val="30"/>
          <w:lang w:eastAsia="zh-CN"/>
        </w:rPr>
        <w:t>　　对象和范围：优抚安置资金项目资金收支安排、资金使用和绩效管理情况。</w:t>
      </w:r>
    </w:p>
    <w:p>
      <w:pPr>
        <w:widowControl/>
        <w:shd w:val="clear" w:color="auto" w:fill="FFFFFF"/>
        <w:spacing w:line="580" w:lineRule="exact"/>
        <w:ind w:firstLine="602" w:firstLineChars="200"/>
        <w:rPr>
          <w:rFonts w:ascii="华文楷体" w:hAnsi="华文楷体" w:eastAsia="华文楷体" w:cs="宋体"/>
          <w:b/>
          <w:color w:val="4A4A4A"/>
          <w:sz w:val="30"/>
          <w:szCs w:val="30"/>
          <w:lang w:eastAsia="zh-CN"/>
        </w:rPr>
      </w:pPr>
      <w:r>
        <w:rPr>
          <w:rFonts w:hint="eastAsia" w:ascii="华文楷体" w:hAnsi="华文楷体" w:eastAsia="华文楷体" w:cs="宋体"/>
          <w:b/>
          <w:color w:val="4A4A4A"/>
          <w:sz w:val="30"/>
          <w:szCs w:val="30"/>
          <w:lang w:eastAsia="zh-CN"/>
        </w:rPr>
        <w:t>（二）绩效评价原则、评价指标体系、评价方法、评价标准</w:t>
      </w:r>
    </w:p>
    <w:p>
      <w:pPr>
        <w:spacing w:line="580" w:lineRule="exact"/>
        <w:ind w:firstLine="663" w:firstLineChars="221"/>
        <w:rPr>
          <w:rFonts w:ascii="仿宋" w:hAnsi="仿宋" w:eastAsia="仿宋" w:cs="Arial Narrow"/>
          <w:sz w:val="30"/>
          <w:szCs w:val="30"/>
          <w:lang w:eastAsia="zh-CN"/>
        </w:rPr>
      </w:pPr>
      <w:r>
        <w:rPr>
          <w:rFonts w:hint="eastAsia" w:ascii="仿宋" w:hAnsi="仿宋" w:eastAsia="仿宋" w:cs="Arial Narrow"/>
          <w:sz w:val="30"/>
          <w:szCs w:val="30"/>
          <w:lang w:eastAsia="zh-CN"/>
        </w:rPr>
        <w:t>1、评价原则</w:t>
      </w:r>
    </w:p>
    <w:p>
      <w:pPr>
        <w:spacing w:line="580" w:lineRule="exact"/>
        <w:ind w:firstLine="663" w:firstLineChars="221"/>
        <w:rPr>
          <w:rFonts w:ascii="仿宋" w:hAnsi="仿宋" w:eastAsia="仿宋" w:cs="Arial Narrow"/>
          <w:sz w:val="30"/>
          <w:szCs w:val="30"/>
          <w:lang w:eastAsia="zh-CN"/>
        </w:rPr>
      </w:pPr>
      <w:r>
        <w:rPr>
          <w:rFonts w:hint="eastAsia" w:ascii="仿宋" w:hAnsi="仿宋" w:eastAsia="仿宋" w:cs="Arial Narrow"/>
          <w:sz w:val="30"/>
          <w:szCs w:val="30"/>
          <w:lang w:eastAsia="zh-CN"/>
        </w:rPr>
        <w:t>绩效评价原则应当遵循科学规范、公正公开、分级分类及绩效相关的原则，严格执行规定的程序，按照科学可行的要求，采用定量与定性分析相结合的方法，且符合真实、客观、公正的要求，针对具体支出及其产出绩效进行评价。本次绩效评价，我们遵循相关性原则、重要性原则、可比性原则、系统性原则、经济性原则。</w:t>
      </w:r>
    </w:p>
    <w:p>
      <w:pPr>
        <w:spacing w:line="560" w:lineRule="exact"/>
        <w:ind w:firstLine="663" w:firstLineChars="221"/>
        <w:rPr>
          <w:rFonts w:ascii="仿宋" w:hAnsi="仿宋" w:eastAsia="仿宋" w:cs="Arial Narrow"/>
          <w:sz w:val="30"/>
          <w:szCs w:val="30"/>
          <w:lang w:eastAsia="zh-CN"/>
        </w:rPr>
      </w:pPr>
      <w:r>
        <w:rPr>
          <w:rFonts w:hint="eastAsia" w:ascii="仿宋" w:hAnsi="仿宋" w:eastAsia="仿宋" w:cs="Arial Narrow"/>
          <w:sz w:val="30"/>
          <w:szCs w:val="30"/>
          <w:lang w:eastAsia="zh-CN"/>
        </w:rPr>
        <w:t>2、评价指标体系、评价标准</w:t>
      </w:r>
    </w:p>
    <w:p>
      <w:pPr>
        <w:pStyle w:val="2"/>
        <w:rPr>
          <w:lang w:val="en-US" w:eastAsia="zh-CN" w:bidi="en-US"/>
        </w:rPr>
      </w:pPr>
    </w:p>
    <w:tbl>
      <w:tblPr>
        <w:tblStyle w:val="6"/>
        <w:tblW w:w="0" w:type="auto"/>
        <w:tblInd w:w="93" w:type="dxa"/>
        <w:tblLayout w:type="autofit"/>
        <w:tblCellMar>
          <w:top w:w="0" w:type="dxa"/>
          <w:left w:w="108" w:type="dxa"/>
          <w:bottom w:w="0" w:type="dxa"/>
          <w:right w:w="108" w:type="dxa"/>
        </w:tblCellMar>
      </w:tblPr>
      <w:tblGrid>
        <w:gridCol w:w="758"/>
        <w:gridCol w:w="817"/>
        <w:gridCol w:w="941"/>
        <w:gridCol w:w="2373"/>
        <w:gridCol w:w="3680"/>
        <w:gridCol w:w="516"/>
      </w:tblGrid>
      <w:tr>
        <w:tblPrEx>
          <w:tblCellMar>
            <w:top w:w="0" w:type="dxa"/>
            <w:left w:w="108" w:type="dxa"/>
            <w:bottom w:w="0" w:type="dxa"/>
            <w:right w:w="108" w:type="dxa"/>
          </w:tblCellMar>
        </w:tblPrEx>
        <w:trPr>
          <w:trHeight w:val="720" w:hRule="atLeast"/>
        </w:trPr>
        <w:tc>
          <w:tcPr>
            <w:tcW w:w="0" w:type="auto"/>
            <w:gridSpan w:val="6"/>
            <w:tcBorders>
              <w:top w:val="nil"/>
              <w:left w:val="nil"/>
              <w:bottom w:val="single" w:color="auto" w:sz="4" w:space="0"/>
              <w:right w:val="nil"/>
            </w:tcBorders>
            <w:shd w:val="clear" w:color="auto" w:fill="auto"/>
            <w:noWrap/>
            <w:vAlign w:val="center"/>
          </w:tcPr>
          <w:p>
            <w:pPr>
              <w:widowControl/>
              <w:jc w:val="center"/>
              <w:rPr>
                <w:rFonts w:ascii="宋体" w:hAnsi="宋体" w:eastAsia="宋体" w:cs="宋体"/>
                <w:b/>
                <w:bCs/>
                <w:sz w:val="36"/>
                <w:szCs w:val="36"/>
                <w:lang w:eastAsia="zh-CN" w:bidi="ar-SA"/>
              </w:rPr>
            </w:pPr>
            <w:r>
              <w:rPr>
                <w:rFonts w:hint="eastAsia" w:ascii="宋体" w:hAnsi="宋体" w:eastAsia="宋体" w:cs="宋体"/>
                <w:b/>
                <w:bCs/>
                <w:sz w:val="36"/>
                <w:szCs w:val="36"/>
                <w:lang w:eastAsia="zh-CN" w:bidi="ar-SA"/>
              </w:rPr>
              <w:t>兴国县退役军人事务局部门评价指标体系</w:t>
            </w:r>
          </w:p>
        </w:tc>
      </w:tr>
      <w:tr>
        <w:tblPrEx>
          <w:tblCellMar>
            <w:top w:w="0" w:type="dxa"/>
            <w:left w:w="108" w:type="dxa"/>
            <w:bottom w:w="0" w:type="dxa"/>
            <w:right w:w="108" w:type="dxa"/>
          </w:tblCellMar>
        </w:tblPrEx>
        <w:trPr>
          <w:trHeight w:val="582" w:hRule="atLeast"/>
        </w:trPr>
        <w:tc>
          <w:tcPr>
            <w:tcW w:w="0" w:type="auto"/>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b/>
                <w:bCs/>
                <w:sz w:val="16"/>
                <w:szCs w:val="16"/>
                <w:lang w:eastAsia="zh-CN" w:bidi="ar-SA"/>
              </w:rPr>
            </w:pPr>
            <w:r>
              <w:rPr>
                <w:rFonts w:hint="eastAsia" w:ascii="宋体" w:hAnsi="宋体" w:eastAsia="宋体" w:cs="宋体"/>
                <w:b/>
                <w:bCs/>
                <w:sz w:val="16"/>
                <w:szCs w:val="16"/>
                <w:lang w:eastAsia="zh-CN" w:bidi="ar-SA"/>
              </w:rPr>
              <w:t>一级指标</w:t>
            </w:r>
          </w:p>
        </w:tc>
        <w:tc>
          <w:tcPr>
            <w:tcW w:w="0" w:type="auto"/>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b/>
                <w:bCs/>
                <w:sz w:val="16"/>
                <w:szCs w:val="16"/>
                <w:lang w:eastAsia="zh-CN" w:bidi="ar-SA"/>
              </w:rPr>
            </w:pPr>
            <w:r>
              <w:rPr>
                <w:rFonts w:hint="eastAsia" w:ascii="宋体" w:hAnsi="宋体" w:eastAsia="宋体" w:cs="宋体"/>
                <w:b/>
                <w:bCs/>
                <w:sz w:val="16"/>
                <w:szCs w:val="16"/>
                <w:lang w:eastAsia="zh-CN" w:bidi="ar-SA"/>
              </w:rPr>
              <w:t>二级指标</w:t>
            </w:r>
          </w:p>
        </w:tc>
        <w:tc>
          <w:tcPr>
            <w:tcW w:w="0" w:type="auto"/>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b/>
                <w:bCs/>
                <w:sz w:val="16"/>
                <w:szCs w:val="16"/>
                <w:lang w:eastAsia="zh-CN" w:bidi="ar-SA"/>
              </w:rPr>
            </w:pPr>
            <w:r>
              <w:rPr>
                <w:rFonts w:hint="eastAsia" w:ascii="宋体" w:hAnsi="宋体" w:eastAsia="宋体" w:cs="宋体"/>
                <w:b/>
                <w:bCs/>
                <w:sz w:val="16"/>
                <w:szCs w:val="16"/>
                <w:lang w:eastAsia="zh-CN" w:bidi="ar-SA"/>
              </w:rPr>
              <w:t>三级指标</w:t>
            </w:r>
          </w:p>
        </w:tc>
        <w:tc>
          <w:tcPr>
            <w:tcW w:w="0" w:type="auto"/>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b/>
                <w:bCs/>
                <w:sz w:val="16"/>
                <w:szCs w:val="16"/>
                <w:lang w:eastAsia="zh-CN" w:bidi="ar-SA"/>
              </w:rPr>
            </w:pPr>
            <w:r>
              <w:rPr>
                <w:rFonts w:hint="eastAsia" w:ascii="宋体" w:hAnsi="宋体" w:eastAsia="宋体" w:cs="宋体"/>
                <w:b/>
                <w:bCs/>
                <w:sz w:val="16"/>
                <w:szCs w:val="16"/>
                <w:lang w:eastAsia="zh-CN" w:bidi="ar-SA"/>
              </w:rPr>
              <w:t>指标解释</w:t>
            </w:r>
          </w:p>
        </w:tc>
        <w:tc>
          <w:tcPr>
            <w:tcW w:w="0" w:type="auto"/>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b/>
                <w:bCs/>
                <w:sz w:val="16"/>
                <w:szCs w:val="16"/>
                <w:lang w:eastAsia="zh-CN" w:bidi="ar-SA"/>
              </w:rPr>
            </w:pPr>
            <w:r>
              <w:rPr>
                <w:rFonts w:hint="eastAsia" w:ascii="宋体" w:hAnsi="宋体" w:eastAsia="宋体" w:cs="宋体"/>
                <w:b/>
                <w:bCs/>
                <w:sz w:val="16"/>
                <w:szCs w:val="16"/>
                <w:lang w:eastAsia="zh-CN" w:bidi="ar-SA"/>
              </w:rPr>
              <w:t>指标说明</w:t>
            </w:r>
          </w:p>
        </w:tc>
        <w:tc>
          <w:tcPr>
            <w:tcW w:w="0" w:type="auto"/>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b/>
                <w:bCs/>
                <w:sz w:val="16"/>
                <w:szCs w:val="16"/>
                <w:lang w:eastAsia="zh-CN" w:bidi="ar-SA"/>
              </w:rPr>
            </w:pPr>
            <w:r>
              <w:rPr>
                <w:rFonts w:hint="eastAsia" w:ascii="宋体" w:hAnsi="宋体" w:eastAsia="宋体" w:cs="宋体"/>
                <w:b/>
                <w:bCs/>
                <w:sz w:val="16"/>
                <w:szCs w:val="16"/>
                <w:lang w:eastAsia="zh-CN" w:bidi="ar-SA"/>
              </w:rPr>
              <w:t>得分</w:t>
            </w:r>
          </w:p>
        </w:tc>
      </w:tr>
      <w:tr>
        <w:tblPrEx>
          <w:tblCellMar>
            <w:top w:w="0" w:type="dxa"/>
            <w:left w:w="108" w:type="dxa"/>
            <w:bottom w:w="0" w:type="dxa"/>
            <w:right w:w="108" w:type="dxa"/>
          </w:tblCellMar>
        </w:tblPrEx>
        <w:trPr>
          <w:trHeight w:val="300" w:hRule="atLeast"/>
        </w:trPr>
        <w:tc>
          <w:tcPr>
            <w:tcW w:w="0" w:type="auto"/>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sz w:val="16"/>
                <w:szCs w:val="16"/>
                <w:lang w:eastAsia="zh-CN" w:bidi="ar-SA"/>
              </w:rPr>
            </w:pPr>
            <w:r>
              <w:rPr>
                <w:rFonts w:hint="eastAsia" w:ascii="宋体" w:hAnsi="宋体" w:eastAsia="宋体" w:cs="宋体"/>
                <w:sz w:val="16"/>
                <w:szCs w:val="16"/>
                <w:lang w:eastAsia="zh-CN" w:bidi="ar-SA"/>
              </w:rPr>
              <w:t>决策（10分）　</w:t>
            </w:r>
          </w:p>
        </w:tc>
        <w:tc>
          <w:tcPr>
            <w:tcW w:w="0" w:type="auto"/>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sz w:val="16"/>
                <w:szCs w:val="16"/>
                <w:lang w:eastAsia="zh-CN" w:bidi="ar-SA"/>
              </w:rPr>
            </w:pPr>
            <w:r>
              <w:rPr>
                <w:rFonts w:hint="eastAsia" w:ascii="宋体" w:hAnsi="宋体" w:eastAsia="宋体" w:cs="宋体"/>
                <w:sz w:val="16"/>
                <w:szCs w:val="16"/>
                <w:lang w:eastAsia="zh-CN" w:bidi="ar-SA"/>
              </w:rPr>
              <w:t>项目立项（2分）　</w:t>
            </w:r>
          </w:p>
        </w:tc>
        <w:tc>
          <w:tcPr>
            <w:tcW w:w="0" w:type="auto"/>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sz w:val="16"/>
                <w:szCs w:val="16"/>
                <w:lang w:eastAsia="zh-CN" w:bidi="ar-SA"/>
              </w:rPr>
            </w:pPr>
            <w:r>
              <w:rPr>
                <w:rFonts w:hint="eastAsia" w:ascii="宋体" w:hAnsi="宋体" w:eastAsia="宋体" w:cs="宋体"/>
                <w:sz w:val="16"/>
                <w:szCs w:val="16"/>
                <w:lang w:eastAsia="zh-CN" w:bidi="ar-SA"/>
              </w:rPr>
              <w:t>立项依据</w:t>
            </w:r>
          </w:p>
          <w:p>
            <w:pPr>
              <w:widowControl/>
              <w:jc w:val="center"/>
              <w:rPr>
                <w:rFonts w:ascii="宋体" w:hAnsi="宋体" w:eastAsia="宋体" w:cs="宋体"/>
                <w:sz w:val="16"/>
                <w:szCs w:val="16"/>
                <w:lang w:eastAsia="zh-CN" w:bidi="ar-SA"/>
              </w:rPr>
            </w:pPr>
            <w:r>
              <w:rPr>
                <w:rFonts w:hint="eastAsia" w:ascii="宋体" w:hAnsi="宋体" w:eastAsia="宋体" w:cs="宋体"/>
                <w:sz w:val="16"/>
                <w:szCs w:val="16"/>
                <w:lang w:eastAsia="zh-CN" w:bidi="ar-SA"/>
              </w:rPr>
              <w:t>充分性（1分）</w:t>
            </w:r>
          </w:p>
        </w:tc>
        <w:tc>
          <w:tcPr>
            <w:tcW w:w="0" w:type="auto"/>
            <w:vMerge w:val="restart"/>
            <w:tcBorders>
              <w:top w:val="nil"/>
              <w:left w:val="single" w:color="auto" w:sz="4" w:space="0"/>
              <w:bottom w:val="single" w:color="auto" w:sz="4" w:space="0"/>
              <w:right w:val="single" w:color="auto" w:sz="4" w:space="0"/>
            </w:tcBorders>
            <w:shd w:val="clear" w:color="000000" w:fill="FFFFFF"/>
            <w:vAlign w:val="center"/>
          </w:tcPr>
          <w:p>
            <w:pPr>
              <w:widowControl/>
              <w:jc w:val="both"/>
              <w:rPr>
                <w:rFonts w:ascii="宋体" w:hAnsi="宋体" w:eastAsia="宋体" w:cs="宋体"/>
                <w:sz w:val="16"/>
                <w:szCs w:val="16"/>
                <w:lang w:eastAsia="zh-CN" w:bidi="ar-SA"/>
              </w:rPr>
            </w:pPr>
            <w:r>
              <w:rPr>
                <w:rFonts w:hint="eastAsia" w:ascii="宋体" w:hAnsi="宋体" w:eastAsia="宋体" w:cs="宋体"/>
                <w:sz w:val="16"/>
                <w:szCs w:val="16"/>
                <w:lang w:eastAsia="zh-CN" w:bidi="ar-SA"/>
              </w:rPr>
              <w:t>项目立项是否符合法律法规、相关政策、发展规划以及部门职责，用以反映和考核项目立项依据情况。</w:t>
            </w:r>
          </w:p>
        </w:tc>
        <w:tc>
          <w:tcPr>
            <w:tcW w:w="0" w:type="auto"/>
            <w:tcBorders>
              <w:top w:val="nil"/>
              <w:left w:val="nil"/>
              <w:bottom w:val="single" w:color="auto" w:sz="4" w:space="0"/>
              <w:right w:val="single" w:color="auto" w:sz="4" w:space="0"/>
            </w:tcBorders>
            <w:shd w:val="clear" w:color="000000" w:fill="FFFFFF"/>
            <w:vAlign w:val="center"/>
          </w:tcPr>
          <w:p>
            <w:pPr>
              <w:widowControl/>
              <w:rPr>
                <w:rFonts w:ascii="宋体" w:hAnsi="宋体" w:eastAsia="宋体" w:cs="宋体"/>
                <w:sz w:val="16"/>
                <w:szCs w:val="16"/>
                <w:lang w:eastAsia="zh-CN" w:bidi="ar-SA"/>
              </w:rPr>
            </w:pPr>
            <w:r>
              <w:rPr>
                <w:rFonts w:hint="eastAsia" w:ascii="宋体" w:hAnsi="宋体" w:eastAsia="宋体" w:cs="宋体"/>
                <w:sz w:val="16"/>
                <w:szCs w:val="16"/>
                <w:lang w:eastAsia="zh-CN" w:bidi="ar-SA"/>
              </w:rPr>
              <w:t>评价要点：</w:t>
            </w:r>
          </w:p>
        </w:tc>
        <w:tc>
          <w:tcPr>
            <w:tcW w:w="0" w:type="auto"/>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sz w:val="16"/>
                <w:szCs w:val="16"/>
                <w:lang w:eastAsia="zh-CN" w:bidi="ar-SA"/>
              </w:rPr>
            </w:pPr>
            <w:r>
              <w:rPr>
                <w:rFonts w:hint="eastAsia" w:ascii="等线" w:hAnsi="等线" w:eastAsia="等线" w:cs="宋体"/>
                <w:sz w:val="16"/>
                <w:szCs w:val="16"/>
                <w:lang w:eastAsia="zh-CN" w:bidi="ar-SA"/>
              </w:rPr>
              <w:t>1</w:t>
            </w:r>
          </w:p>
        </w:tc>
      </w:tr>
      <w:tr>
        <w:tblPrEx>
          <w:tblCellMar>
            <w:top w:w="0" w:type="dxa"/>
            <w:left w:w="108" w:type="dxa"/>
            <w:bottom w:w="0" w:type="dxa"/>
            <w:right w:w="108" w:type="dxa"/>
          </w:tblCellMar>
        </w:tblPrEx>
        <w:trPr>
          <w:trHeight w:val="30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tcBorders>
              <w:top w:val="nil"/>
              <w:left w:val="nil"/>
              <w:bottom w:val="single" w:color="auto" w:sz="4" w:space="0"/>
              <w:right w:val="single" w:color="auto" w:sz="4" w:space="0"/>
            </w:tcBorders>
            <w:shd w:val="clear" w:color="000000" w:fill="FFFFFF"/>
            <w:vAlign w:val="center"/>
          </w:tcPr>
          <w:p>
            <w:pPr>
              <w:widowControl/>
              <w:rPr>
                <w:rFonts w:ascii="宋体" w:hAnsi="宋体" w:eastAsia="宋体" w:cs="宋体"/>
                <w:sz w:val="16"/>
                <w:szCs w:val="16"/>
                <w:lang w:eastAsia="zh-CN" w:bidi="ar-SA"/>
              </w:rPr>
            </w:pPr>
            <w:r>
              <w:rPr>
                <w:rFonts w:hint="eastAsia" w:ascii="宋体" w:hAnsi="宋体" w:eastAsia="宋体" w:cs="宋体"/>
                <w:sz w:val="16"/>
                <w:szCs w:val="16"/>
                <w:lang w:eastAsia="zh-CN" w:bidi="ar-SA"/>
              </w:rPr>
              <w:t>①项目立项是否符合国家法律法规、国民经济发展规划和相关政策；</w:t>
            </w: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等线" w:hAnsi="等线" w:eastAsia="等线" w:cs="宋体"/>
                <w:sz w:val="16"/>
                <w:szCs w:val="16"/>
                <w:lang w:eastAsia="zh-CN" w:bidi="ar-SA"/>
              </w:rPr>
            </w:pPr>
          </w:p>
        </w:tc>
      </w:tr>
      <w:tr>
        <w:tblPrEx>
          <w:tblCellMar>
            <w:top w:w="0" w:type="dxa"/>
            <w:left w:w="108" w:type="dxa"/>
            <w:bottom w:w="0" w:type="dxa"/>
            <w:right w:w="108" w:type="dxa"/>
          </w:tblCellMar>
        </w:tblPrEx>
        <w:trPr>
          <w:trHeight w:val="30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tcBorders>
              <w:top w:val="nil"/>
              <w:left w:val="nil"/>
              <w:bottom w:val="single" w:color="auto" w:sz="4" w:space="0"/>
              <w:right w:val="single" w:color="auto" w:sz="4" w:space="0"/>
            </w:tcBorders>
            <w:shd w:val="clear" w:color="000000" w:fill="FFFFFF"/>
            <w:vAlign w:val="center"/>
          </w:tcPr>
          <w:p>
            <w:pPr>
              <w:widowControl/>
              <w:rPr>
                <w:rFonts w:ascii="宋体" w:hAnsi="宋体" w:eastAsia="宋体" w:cs="宋体"/>
                <w:sz w:val="16"/>
                <w:szCs w:val="16"/>
                <w:lang w:eastAsia="zh-CN" w:bidi="ar-SA"/>
              </w:rPr>
            </w:pPr>
            <w:r>
              <w:rPr>
                <w:rFonts w:hint="eastAsia" w:ascii="宋体" w:hAnsi="宋体" w:eastAsia="宋体" w:cs="宋体"/>
                <w:sz w:val="16"/>
                <w:szCs w:val="16"/>
                <w:lang w:eastAsia="zh-CN" w:bidi="ar-SA"/>
              </w:rPr>
              <w:t>②项目立项是否符合行业发展规划和政策要求；</w:t>
            </w: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等线" w:hAnsi="等线" w:eastAsia="等线" w:cs="宋体"/>
                <w:sz w:val="16"/>
                <w:szCs w:val="16"/>
                <w:lang w:eastAsia="zh-CN" w:bidi="ar-SA"/>
              </w:rPr>
            </w:pPr>
          </w:p>
        </w:tc>
      </w:tr>
      <w:tr>
        <w:tblPrEx>
          <w:tblCellMar>
            <w:top w:w="0" w:type="dxa"/>
            <w:left w:w="108" w:type="dxa"/>
            <w:bottom w:w="0" w:type="dxa"/>
            <w:right w:w="108" w:type="dxa"/>
          </w:tblCellMar>
        </w:tblPrEx>
        <w:trPr>
          <w:trHeight w:val="30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tcBorders>
              <w:top w:val="nil"/>
              <w:left w:val="nil"/>
              <w:bottom w:val="single" w:color="auto" w:sz="4" w:space="0"/>
              <w:right w:val="single" w:color="auto" w:sz="4" w:space="0"/>
            </w:tcBorders>
            <w:shd w:val="clear" w:color="000000" w:fill="FFFFFF"/>
            <w:vAlign w:val="center"/>
          </w:tcPr>
          <w:p>
            <w:pPr>
              <w:widowControl/>
              <w:rPr>
                <w:rFonts w:ascii="宋体" w:hAnsi="宋体" w:eastAsia="宋体" w:cs="宋体"/>
                <w:sz w:val="16"/>
                <w:szCs w:val="16"/>
                <w:lang w:eastAsia="zh-CN" w:bidi="ar-SA"/>
              </w:rPr>
            </w:pPr>
            <w:r>
              <w:rPr>
                <w:rFonts w:hint="eastAsia" w:ascii="宋体" w:hAnsi="宋体" w:eastAsia="宋体" w:cs="宋体"/>
                <w:sz w:val="16"/>
                <w:szCs w:val="16"/>
                <w:lang w:eastAsia="zh-CN" w:bidi="ar-SA"/>
              </w:rPr>
              <w:t>③项目立项是否与部门职责范围相符，属于部门履职所需；</w:t>
            </w: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等线" w:hAnsi="等线" w:eastAsia="等线" w:cs="宋体"/>
                <w:sz w:val="16"/>
                <w:szCs w:val="16"/>
                <w:lang w:eastAsia="zh-CN" w:bidi="ar-SA"/>
              </w:rPr>
            </w:pPr>
          </w:p>
        </w:tc>
      </w:tr>
      <w:tr>
        <w:tblPrEx>
          <w:tblCellMar>
            <w:top w:w="0" w:type="dxa"/>
            <w:left w:w="108" w:type="dxa"/>
            <w:bottom w:w="0" w:type="dxa"/>
            <w:right w:w="108" w:type="dxa"/>
          </w:tblCellMar>
        </w:tblPrEx>
        <w:trPr>
          <w:trHeight w:val="30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tcBorders>
              <w:top w:val="nil"/>
              <w:left w:val="nil"/>
              <w:bottom w:val="single" w:color="auto" w:sz="4" w:space="0"/>
              <w:right w:val="single" w:color="auto" w:sz="4" w:space="0"/>
            </w:tcBorders>
            <w:shd w:val="clear" w:color="000000" w:fill="FFFFFF"/>
            <w:vAlign w:val="center"/>
          </w:tcPr>
          <w:p>
            <w:pPr>
              <w:widowControl/>
              <w:rPr>
                <w:rFonts w:ascii="宋体" w:hAnsi="宋体" w:eastAsia="宋体" w:cs="宋体"/>
                <w:sz w:val="16"/>
                <w:szCs w:val="16"/>
                <w:lang w:eastAsia="zh-CN" w:bidi="ar-SA"/>
              </w:rPr>
            </w:pPr>
            <w:r>
              <w:rPr>
                <w:rFonts w:hint="eastAsia" w:ascii="宋体" w:hAnsi="宋体" w:eastAsia="宋体" w:cs="宋体"/>
                <w:sz w:val="16"/>
                <w:szCs w:val="16"/>
                <w:lang w:eastAsia="zh-CN" w:bidi="ar-SA"/>
              </w:rPr>
              <w:t>④项目是否属于公共财政支持范围，是否符合中央、地方事权支出责任划分原则；</w:t>
            </w: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等线" w:hAnsi="等线" w:eastAsia="等线" w:cs="宋体"/>
                <w:sz w:val="16"/>
                <w:szCs w:val="16"/>
                <w:lang w:eastAsia="zh-CN" w:bidi="ar-SA"/>
              </w:rPr>
            </w:pPr>
          </w:p>
        </w:tc>
      </w:tr>
      <w:tr>
        <w:tblPrEx>
          <w:tblCellMar>
            <w:top w:w="0" w:type="dxa"/>
            <w:left w:w="108" w:type="dxa"/>
            <w:bottom w:w="0" w:type="dxa"/>
            <w:right w:w="108" w:type="dxa"/>
          </w:tblCellMar>
        </w:tblPrEx>
        <w:trPr>
          <w:trHeight w:val="30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tcBorders>
              <w:top w:val="nil"/>
              <w:left w:val="nil"/>
              <w:bottom w:val="single" w:color="auto" w:sz="4" w:space="0"/>
              <w:right w:val="single" w:color="auto" w:sz="4" w:space="0"/>
            </w:tcBorders>
            <w:shd w:val="clear" w:color="000000" w:fill="FFFFFF"/>
            <w:vAlign w:val="center"/>
          </w:tcPr>
          <w:p>
            <w:pPr>
              <w:widowControl/>
              <w:rPr>
                <w:rFonts w:ascii="宋体" w:hAnsi="宋体" w:eastAsia="宋体" w:cs="宋体"/>
                <w:sz w:val="16"/>
                <w:szCs w:val="16"/>
                <w:lang w:eastAsia="zh-CN" w:bidi="ar-SA"/>
              </w:rPr>
            </w:pPr>
            <w:r>
              <w:rPr>
                <w:rFonts w:hint="eastAsia" w:ascii="宋体" w:hAnsi="宋体" w:eastAsia="宋体" w:cs="宋体"/>
                <w:sz w:val="16"/>
                <w:szCs w:val="16"/>
                <w:lang w:eastAsia="zh-CN" w:bidi="ar-SA"/>
              </w:rPr>
              <w:t>⑤项目是否与相关部门同类项目或部门内部相关项目重复。</w:t>
            </w: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等线" w:hAnsi="等线" w:eastAsia="等线" w:cs="宋体"/>
                <w:sz w:val="16"/>
                <w:szCs w:val="16"/>
                <w:lang w:eastAsia="zh-CN" w:bidi="ar-SA"/>
              </w:rPr>
            </w:pPr>
          </w:p>
        </w:tc>
      </w:tr>
      <w:tr>
        <w:tblPrEx>
          <w:tblCellMar>
            <w:top w:w="0" w:type="dxa"/>
            <w:left w:w="108" w:type="dxa"/>
            <w:bottom w:w="0" w:type="dxa"/>
            <w:right w:w="108" w:type="dxa"/>
          </w:tblCellMar>
        </w:tblPrEx>
        <w:trPr>
          <w:trHeight w:val="30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sz w:val="16"/>
                <w:szCs w:val="16"/>
                <w:lang w:eastAsia="zh-CN" w:bidi="ar-SA"/>
              </w:rPr>
            </w:pPr>
            <w:r>
              <w:rPr>
                <w:rFonts w:hint="eastAsia" w:ascii="宋体" w:hAnsi="宋体" w:eastAsia="宋体" w:cs="宋体"/>
                <w:sz w:val="16"/>
                <w:szCs w:val="16"/>
                <w:lang w:eastAsia="zh-CN" w:bidi="ar-SA"/>
              </w:rPr>
              <w:t>立项程序</w:t>
            </w:r>
          </w:p>
          <w:p>
            <w:pPr>
              <w:widowControl/>
              <w:jc w:val="center"/>
              <w:rPr>
                <w:rFonts w:ascii="宋体" w:hAnsi="宋体" w:eastAsia="宋体" w:cs="宋体"/>
                <w:sz w:val="16"/>
                <w:szCs w:val="16"/>
                <w:lang w:eastAsia="zh-CN" w:bidi="ar-SA"/>
              </w:rPr>
            </w:pPr>
            <w:r>
              <w:rPr>
                <w:rFonts w:hint="eastAsia" w:ascii="宋体" w:hAnsi="宋体" w:eastAsia="宋体" w:cs="宋体"/>
                <w:sz w:val="16"/>
                <w:szCs w:val="16"/>
                <w:lang w:eastAsia="zh-CN" w:bidi="ar-SA"/>
              </w:rPr>
              <w:t>规范性（1分）</w:t>
            </w:r>
          </w:p>
        </w:tc>
        <w:tc>
          <w:tcPr>
            <w:tcW w:w="0" w:type="auto"/>
            <w:vMerge w:val="restart"/>
            <w:tcBorders>
              <w:top w:val="nil"/>
              <w:left w:val="single" w:color="auto" w:sz="4" w:space="0"/>
              <w:bottom w:val="single" w:color="auto" w:sz="4" w:space="0"/>
              <w:right w:val="single" w:color="auto" w:sz="4" w:space="0"/>
            </w:tcBorders>
            <w:shd w:val="clear" w:color="000000" w:fill="FFFFFF"/>
            <w:vAlign w:val="center"/>
          </w:tcPr>
          <w:p>
            <w:pPr>
              <w:widowControl/>
              <w:jc w:val="both"/>
              <w:rPr>
                <w:rFonts w:ascii="宋体" w:hAnsi="宋体" w:eastAsia="宋体" w:cs="宋体"/>
                <w:sz w:val="16"/>
                <w:szCs w:val="16"/>
                <w:lang w:eastAsia="zh-CN" w:bidi="ar-SA"/>
              </w:rPr>
            </w:pPr>
            <w:r>
              <w:rPr>
                <w:rFonts w:hint="eastAsia" w:ascii="宋体" w:hAnsi="宋体" w:eastAsia="宋体" w:cs="宋体"/>
                <w:sz w:val="16"/>
                <w:szCs w:val="16"/>
                <w:lang w:eastAsia="zh-CN" w:bidi="ar-SA"/>
              </w:rPr>
              <w:t>项目申请、设立过程是否符合相关要求，用以反映和考核项目立项的规范情况。</w:t>
            </w:r>
          </w:p>
        </w:tc>
        <w:tc>
          <w:tcPr>
            <w:tcW w:w="0" w:type="auto"/>
            <w:tcBorders>
              <w:top w:val="nil"/>
              <w:left w:val="nil"/>
              <w:bottom w:val="single" w:color="auto" w:sz="4" w:space="0"/>
              <w:right w:val="single" w:color="auto" w:sz="4" w:space="0"/>
            </w:tcBorders>
            <w:shd w:val="clear" w:color="000000" w:fill="FFFFFF"/>
            <w:vAlign w:val="center"/>
          </w:tcPr>
          <w:p>
            <w:pPr>
              <w:widowControl/>
              <w:rPr>
                <w:rFonts w:ascii="宋体" w:hAnsi="宋体" w:eastAsia="宋体" w:cs="宋体"/>
                <w:sz w:val="16"/>
                <w:szCs w:val="16"/>
                <w:lang w:eastAsia="zh-CN" w:bidi="ar-SA"/>
              </w:rPr>
            </w:pPr>
            <w:r>
              <w:rPr>
                <w:rFonts w:hint="eastAsia" w:ascii="宋体" w:hAnsi="宋体" w:eastAsia="宋体" w:cs="宋体"/>
                <w:sz w:val="16"/>
                <w:szCs w:val="16"/>
                <w:lang w:eastAsia="zh-CN" w:bidi="ar-SA"/>
              </w:rPr>
              <w:t>评价要点：</w:t>
            </w:r>
          </w:p>
        </w:tc>
        <w:tc>
          <w:tcPr>
            <w:tcW w:w="0" w:type="auto"/>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sz w:val="16"/>
                <w:szCs w:val="16"/>
                <w:lang w:eastAsia="zh-CN" w:bidi="ar-SA"/>
              </w:rPr>
            </w:pPr>
            <w:r>
              <w:rPr>
                <w:rFonts w:hint="eastAsia" w:ascii="等线" w:hAnsi="等线" w:eastAsia="等线" w:cs="宋体"/>
                <w:sz w:val="16"/>
                <w:szCs w:val="16"/>
                <w:lang w:eastAsia="zh-CN" w:bidi="ar-SA"/>
              </w:rPr>
              <w:t>1</w:t>
            </w:r>
          </w:p>
        </w:tc>
      </w:tr>
      <w:tr>
        <w:tblPrEx>
          <w:tblCellMar>
            <w:top w:w="0" w:type="dxa"/>
            <w:left w:w="108" w:type="dxa"/>
            <w:bottom w:w="0" w:type="dxa"/>
            <w:right w:w="108" w:type="dxa"/>
          </w:tblCellMar>
        </w:tblPrEx>
        <w:trPr>
          <w:trHeight w:val="30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tcBorders>
              <w:top w:val="nil"/>
              <w:left w:val="nil"/>
              <w:bottom w:val="single" w:color="auto" w:sz="4" w:space="0"/>
              <w:right w:val="single" w:color="auto" w:sz="4" w:space="0"/>
            </w:tcBorders>
            <w:shd w:val="clear" w:color="000000" w:fill="FFFFFF"/>
            <w:vAlign w:val="center"/>
          </w:tcPr>
          <w:p>
            <w:pPr>
              <w:widowControl/>
              <w:rPr>
                <w:rFonts w:ascii="宋体" w:hAnsi="宋体" w:eastAsia="宋体" w:cs="宋体"/>
                <w:sz w:val="16"/>
                <w:szCs w:val="16"/>
                <w:lang w:eastAsia="zh-CN" w:bidi="ar-SA"/>
              </w:rPr>
            </w:pPr>
            <w:r>
              <w:rPr>
                <w:rFonts w:hint="eastAsia" w:ascii="宋体" w:hAnsi="宋体" w:eastAsia="宋体" w:cs="宋体"/>
                <w:sz w:val="16"/>
                <w:szCs w:val="16"/>
                <w:lang w:eastAsia="zh-CN" w:bidi="ar-SA"/>
              </w:rPr>
              <w:t>①项目是否按照规定的程序申请设立；</w:t>
            </w: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等线" w:hAnsi="等线" w:eastAsia="等线" w:cs="宋体"/>
                <w:sz w:val="16"/>
                <w:szCs w:val="16"/>
                <w:lang w:eastAsia="zh-CN" w:bidi="ar-SA"/>
              </w:rPr>
            </w:pPr>
          </w:p>
        </w:tc>
      </w:tr>
      <w:tr>
        <w:tblPrEx>
          <w:tblCellMar>
            <w:top w:w="0" w:type="dxa"/>
            <w:left w:w="108" w:type="dxa"/>
            <w:bottom w:w="0" w:type="dxa"/>
            <w:right w:w="108" w:type="dxa"/>
          </w:tblCellMar>
        </w:tblPrEx>
        <w:trPr>
          <w:trHeight w:val="30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tcBorders>
              <w:top w:val="nil"/>
              <w:left w:val="nil"/>
              <w:bottom w:val="single" w:color="auto" w:sz="4" w:space="0"/>
              <w:right w:val="single" w:color="auto" w:sz="4" w:space="0"/>
            </w:tcBorders>
            <w:shd w:val="clear" w:color="000000" w:fill="FFFFFF"/>
            <w:vAlign w:val="center"/>
          </w:tcPr>
          <w:p>
            <w:pPr>
              <w:widowControl/>
              <w:rPr>
                <w:rFonts w:ascii="宋体" w:hAnsi="宋体" w:eastAsia="宋体" w:cs="宋体"/>
                <w:sz w:val="16"/>
                <w:szCs w:val="16"/>
                <w:lang w:eastAsia="zh-CN" w:bidi="ar-SA"/>
              </w:rPr>
            </w:pPr>
            <w:r>
              <w:rPr>
                <w:rFonts w:hint="eastAsia" w:ascii="宋体" w:hAnsi="宋体" w:eastAsia="宋体" w:cs="宋体"/>
                <w:sz w:val="16"/>
                <w:szCs w:val="16"/>
                <w:lang w:eastAsia="zh-CN" w:bidi="ar-SA"/>
              </w:rPr>
              <w:t>②审批文件、材料是否符合相关要求；</w:t>
            </w: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等线" w:hAnsi="等线" w:eastAsia="等线" w:cs="宋体"/>
                <w:sz w:val="16"/>
                <w:szCs w:val="16"/>
                <w:lang w:eastAsia="zh-CN" w:bidi="ar-SA"/>
              </w:rPr>
            </w:pPr>
          </w:p>
        </w:tc>
      </w:tr>
      <w:tr>
        <w:tblPrEx>
          <w:tblCellMar>
            <w:top w:w="0" w:type="dxa"/>
            <w:left w:w="108" w:type="dxa"/>
            <w:bottom w:w="0" w:type="dxa"/>
            <w:right w:w="108" w:type="dxa"/>
          </w:tblCellMar>
        </w:tblPrEx>
        <w:trPr>
          <w:trHeight w:val="30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tcBorders>
              <w:top w:val="nil"/>
              <w:left w:val="nil"/>
              <w:bottom w:val="single" w:color="auto" w:sz="4" w:space="0"/>
              <w:right w:val="single" w:color="auto" w:sz="4" w:space="0"/>
            </w:tcBorders>
            <w:shd w:val="clear" w:color="000000" w:fill="FFFFFF"/>
            <w:vAlign w:val="center"/>
          </w:tcPr>
          <w:p>
            <w:pPr>
              <w:widowControl/>
              <w:rPr>
                <w:rFonts w:ascii="宋体" w:hAnsi="宋体" w:eastAsia="宋体" w:cs="宋体"/>
                <w:sz w:val="16"/>
                <w:szCs w:val="16"/>
                <w:lang w:eastAsia="zh-CN" w:bidi="ar-SA"/>
              </w:rPr>
            </w:pPr>
            <w:r>
              <w:rPr>
                <w:rFonts w:hint="eastAsia" w:ascii="宋体" w:hAnsi="宋体" w:eastAsia="宋体" w:cs="宋体"/>
                <w:sz w:val="16"/>
                <w:szCs w:val="16"/>
                <w:lang w:eastAsia="zh-CN" w:bidi="ar-SA"/>
              </w:rPr>
              <w:t>③事前是否已经过必要的可行性研究、专家论证、风险评估、绩效评估、集体决策。</w:t>
            </w: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等线" w:hAnsi="等线" w:eastAsia="等线" w:cs="宋体"/>
                <w:sz w:val="16"/>
                <w:szCs w:val="16"/>
                <w:lang w:eastAsia="zh-CN" w:bidi="ar-SA"/>
              </w:rPr>
            </w:pPr>
          </w:p>
        </w:tc>
      </w:tr>
      <w:tr>
        <w:tblPrEx>
          <w:tblCellMar>
            <w:top w:w="0" w:type="dxa"/>
            <w:left w:w="108" w:type="dxa"/>
            <w:bottom w:w="0" w:type="dxa"/>
            <w:right w:w="108" w:type="dxa"/>
          </w:tblCellMar>
        </w:tblPrEx>
        <w:trPr>
          <w:trHeight w:val="30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sz w:val="16"/>
                <w:szCs w:val="16"/>
                <w:lang w:eastAsia="zh-CN" w:bidi="ar-SA"/>
              </w:rPr>
            </w:pPr>
            <w:r>
              <w:rPr>
                <w:rFonts w:hint="eastAsia" w:ascii="宋体" w:hAnsi="宋体" w:eastAsia="宋体" w:cs="宋体"/>
                <w:sz w:val="16"/>
                <w:szCs w:val="16"/>
                <w:lang w:eastAsia="zh-CN" w:bidi="ar-SA"/>
              </w:rPr>
              <w:t>绩效目标（2分）　</w:t>
            </w:r>
          </w:p>
        </w:tc>
        <w:tc>
          <w:tcPr>
            <w:tcW w:w="0" w:type="auto"/>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sz w:val="16"/>
                <w:szCs w:val="16"/>
                <w:lang w:eastAsia="zh-CN" w:bidi="ar-SA"/>
              </w:rPr>
            </w:pPr>
            <w:r>
              <w:rPr>
                <w:rFonts w:hint="eastAsia" w:ascii="宋体" w:hAnsi="宋体" w:eastAsia="宋体" w:cs="宋体"/>
                <w:sz w:val="16"/>
                <w:szCs w:val="16"/>
                <w:lang w:eastAsia="zh-CN" w:bidi="ar-SA"/>
              </w:rPr>
              <w:t>绩效目标</w:t>
            </w:r>
          </w:p>
          <w:p>
            <w:pPr>
              <w:widowControl/>
              <w:jc w:val="center"/>
              <w:rPr>
                <w:rFonts w:ascii="宋体" w:hAnsi="宋体" w:eastAsia="宋体" w:cs="宋体"/>
                <w:sz w:val="16"/>
                <w:szCs w:val="16"/>
                <w:lang w:eastAsia="zh-CN" w:bidi="ar-SA"/>
              </w:rPr>
            </w:pPr>
            <w:r>
              <w:rPr>
                <w:rFonts w:hint="eastAsia" w:ascii="宋体" w:hAnsi="宋体" w:eastAsia="宋体" w:cs="宋体"/>
                <w:sz w:val="16"/>
                <w:szCs w:val="16"/>
                <w:lang w:eastAsia="zh-CN" w:bidi="ar-SA"/>
              </w:rPr>
              <w:t>合理性（1分）</w:t>
            </w:r>
          </w:p>
        </w:tc>
        <w:tc>
          <w:tcPr>
            <w:tcW w:w="0" w:type="auto"/>
            <w:vMerge w:val="restart"/>
            <w:tcBorders>
              <w:top w:val="nil"/>
              <w:left w:val="single" w:color="auto" w:sz="4" w:space="0"/>
              <w:bottom w:val="single" w:color="auto" w:sz="4" w:space="0"/>
              <w:right w:val="single" w:color="auto" w:sz="4" w:space="0"/>
            </w:tcBorders>
            <w:shd w:val="clear" w:color="000000" w:fill="FFFFFF"/>
            <w:vAlign w:val="center"/>
          </w:tcPr>
          <w:p>
            <w:pPr>
              <w:widowControl/>
              <w:jc w:val="both"/>
              <w:rPr>
                <w:rFonts w:ascii="宋体" w:hAnsi="宋体" w:eastAsia="宋体" w:cs="宋体"/>
                <w:sz w:val="16"/>
                <w:szCs w:val="16"/>
                <w:lang w:eastAsia="zh-CN" w:bidi="ar-SA"/>
              </w:rPr>
            </w:pPr>
            <w:r>
              <w:rPr>
                <w:rFonts w:hint="eastAsia" w:ascii="宋体" w:hAnsi="宋体" w:eastAsia="宋体" w:cs="宋体"/>
                <w:sz w:val="16"/>
                <w:szCs w:val="16"/>
                <w:lang w:eastAsia="zh-CN" w:bidi="ar-SA"/>
              </w:rPr>
              <w:t>项目所设定的绩效目标是否依据充分，是否符合客观实际，用以反映和考核项目绩效目标与项目实施的相符情况。</w:t>
            </w:r>
          </w:p>
        </w:tc>
        <w:tc>
          <w:tcPr>
            <w:tcW w:w="0" w:type="auto"/>
            <w:tcBorders>
              <w:top w:val="nil"/>
              <w:left w:val="nil"/>
              <w:bottom w:val="single" w:color="auto" w:sz="4" w:space="0"/>
              <w:right w:val="single" w:color="auto" w:sz="4" w:space="0"/>
            </w:tcBorders>
            <w:shd w:val="clear" w:color="000000" w:fill="FFFFFF"/>
            <w:vAlign w:val="center"/>
          </w:tcPr>
          <w:p>
            <w:pPr>
              <w:widowControl/>
              <w:rPr>
                <w:rFonts w:ascii="宋体" w:hAnsi="宋体" w:eastAsia="宋体" w:cs="宋体"/>
                <w:sz w:val="16"/>
                <w:szCs w:val="16"/>
                <w:lang w:eastAsia="zh-CN" w:bidi="ar-SA"/>
              </w:rPr>
            </w:pPr>
            <w:r>
              <w:rPr>
                <w:rFonts w:hint="eastAsia" w:ascii="宋体" w:hAnsi="宋体" w:eastAsia="宋体" w:cs="宋体"/>
                <w:sz w:val="16"/>
                <w:szCs w:val="16"/>
                <w:lang w:eastAsia="zh-CN" w:bidi="ar-SA"/>
              </w:rPr>
              <w:t>评价要点：</w:t>
            </w:r>
          </w:p>
        </w:tc>
        <w:tc>
          <w:tcPr>
            <w:tcW w:w="0" w:type="auto"/>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等线" w:hAnsi="等线" w:eastAsia="等线" w:cs="宋体"/>
                <w:sz w:val="16"/>
                <w:szCs w:val="16"/>
                <w:lang w:eastAsia="zh-CN" w:bidi="ar-SA"/>
              </w:rPr>
            </w:pPr>
            <w:r>
              <w:rPr>
                <w:rFonts w:hint="eastAsia" w:ascii="等线" w:hAnsi="等线" w:eastAsia="等线" w:cs="宋体"/>
                <w:sz w:val="16"/>
                <w:szCs w:val="16"/>
                <w:lang w:eastAsia="zh-CN" w:bidi="ar-SA"/>
              </w:rPr>
              <w:t>1</w:t>
            </w:r>
          </w:p>
        </w:tc>
      </w:tr>
      <w:tr>
        <w:tblPrEx>
          <w:tblCellMar>
            <w:top w:w="0" w:type="dxa"/>
            <w:left w:w="108" w:type="dxa"/>
            <w:bottom w:w="0" w:type="dxa"/>
            <w:right w:w="108" w:type="dxa"/>
          </w:tblCellMar>
        </w:tblPrEx>
        <w:trPr>
          <w:trHeight w:val="30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tcBorders>
              <w:top w:val="nil"/>
              <w:left w:val="nil"/>
              <w:bottom w:val="single" w:color="auto" w:sz="4" w:space="0"/>
              <w:right w:val="single" w:color="auto" w:sz="4" w:space="0"/>
            </w:tcBorders>
            <w:shd w:val="clear" w:color="000000" w:fill="FFFFFF"/>
            <w:vAlign w:val="center"/>
          </w:tcPr>
          <w:p>
            <w:pPr>
              <w:widowControl/>
              <w:rPr>
                <w:rFonts w:ascii="宋体" w:hAnsi="宋体" w:eastAsia="宋体" w:cs="宋体"/>
                <w:sz w:val="16"/>
                <w:szCs w:val="16"/>
                <w:lang w:eastAsia="zh-CN" w:bidi="ar-SA"/>
              </w:rPr>
            </w:pPr>
            <w:r>
              <w:rPr>
                <w:rFonts w:hint="eastAsia" w:ascii="宋体" w:hAnsi="宋体" w:eastAsia="宋体" w:cs="宋体"/>
                <w:sz w:val="16"/>
                <w:szCs w:val="16"/>
                <w:lang w:eastAsia="zh-CN" w:bidi="ar-SA"/>
              </w:rPr>
              <w:t>（如未设定预算绩效目标，也可考核其他工作任务目标）</w:t>
            </w:r>
          </w:p>
        </w:tc>
        <w:tc>
          <w:tcPr>
            <w:tcW w:w="0" w:type="auto"/>
            <w:vMerge w:val="continue"/>
            <w:tcBorders>
              <w:top w:val="nil"/>
              <w:left w:val="single" w:color="auto" w:sz="4" w:space="0"/>
              <w:bottom w:val="single" w:color="000000" w:sz="4" w:space="0"/>
              <w:right w:val="single" w:color="auto" w:sz="4" w:space="0"/>
            </w:tcBorders>
            <w:vAlign w:val="center"/>
          </w:tcPr>
          <w:p>
            <w:pPr>
              <w:widowControl/>
              <w:rPr>
                <w:rFonts w:ascii="等线" w:hAnsi="等线" w:eastAsia="等线" w:cs="宋体"/>
                <w:sz w:val="16"/>
                <w:szCs w:val="16"/>
                <w:lang w:eastAsia="zh-CN" w:bidi="ar-SA"/>
              </w:rPr>
            </w:pPr>
          </w:p>
        </w:tc>
      </w:tr>
      <w:tr>
        <w:tblPrEx>
          <w:tblCellMar>
            <w:top w:w="0" w:type="dxa"/>
            <w:left w:w="108" w:type="dxa"/>
            <w:bottom w:w="0" w:type="dxa"/>
            <w:right w:w="108" w:type="dxa"/>
          </w:tblCellMar>
        </w:tblPrEx>
        <w:trPr>
          <w:trHeight w:val="30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tcBorders>
              <w:top w:val="nil"/>
              <w:left w:val="nil"/>
              <w:bottom w:val="single" w:color="auto" w:sz="4" w:space="0"/>
              <w:right w:val="single" w:color="auto" w:sz="4" w:space="0"/>
            </w:tcBorders>
            <w:shd w:val="clear" w:color="000000" w:fill="FFFFFF"/>
            <w:vAlign w:val="center"/>
          </w:tcPr>
          <w:p>
            <w:pPr>
              <w:widowControl/>
              <w:rPr>
                <w:rFonts w:ascii="宋体" w:hAnsi="宋体" w:eastAsia="宋体" w:cs="宋体"/>
                <w:sz w:val="16"/>
                <w:szCs w:val="16"/>
                <w:lang w:eastAsia="zh-CN" w:bidi="ar-SA"/>
              </w:rPr>
            </w:pPr>
            <w:r>
              <w:rPr>
                <w:rFonts w:hint="eastAsia" w:ascii="宋体" w:hAnsi="宋体" w:eastAsia="宋体" w:cs="宋体"/>
                <w:sz w:val="16"/>
                <w:szCs w:val="16"/>
                <w:lang w:eastAsia="zh-CN" w:bidi="ar-SA"/>
              </w:rPr>
              <w:t>①项目是否有绩效目标；</w:t>
            </w:r>
          </w:p>
        </w:tc>
        <w:tc>
          <w:tcPr>
            <w:tcW w:w="0" w:type="auto"/>
            <w:vMerge w:val="continue"/>
            <w:tcBorders>
              <w:top w:val="nil"/>
              <w:left w:val="single" w:color="auto" w:sz="4" w:space="0"/>
              <w:bottom w:val="single" w:color="000000" w:sz="4" w:space="0"/>
              <w:right w:val="single" w:color="auto" w:sz="4" w:space="0"/>
            </w:tcBorders>
            <w:vAlign w:val="center"/>
          </w:tcPr>
          <w:p>
            <w:pPr>
              <w:widowControl/>
              <w:rPr>
                <w:rFonts w:ascii="等线" w:hAnsi="等线" w:eastAsia="等线" w:cs="宋体"/>
                <w:sz w:val="16"/>
                <w:szCs w:val="16"/>
                <w:lang w:eastAsia="zh-CN" w:bidi="ar-SA"/>
              </w:rPr>
            </w:pPr>
          </w:p>
        </w:tc>
      </w:tr>
      <w:tr>
        <w:tblPrEx>
          <w:tblCellMar>
            <w:top w:w="0" w:type="dxa"/>
            <w:left w:w="108" w:type="dxa"/>
            <w:bottom w:w="0" w:type="dxa"/>
            <w:right w:w="108" w:type="dxa"/>
          </w:tblCellMar>
        </w:tblPrEx>
        <w:trPr>
          <w:trHeight w:val="30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tcBorders>
              <w:top w:val="nil"/>
              <w:left w:val="nil"/>
              <w:bottom w:val="single" w:color="auto" w:sz="4" w:space="0"/>
              <w:right w:val="single" w:color="auto" w:sz="4" w:space="0"/>
            </w:tcBorders>
            <w:shd w:val="clear" w:color="000000" w:fill="FFFFFF"/>
            <w:vAlign w:val="center"/>
          </w:tcPr>
          <w:p>
            <w:pPr>
              <w:widowControl/>
              <w:rPr>
                <w:rFonts w:ascii="宋体" w:hAnsi="宋体" w:eastAsia="宋体" w:cs="宋体"/>
                <w:sz w:val="16"/>
                <w:szCs w:val="16"/>
                <w:lang w:eastAsia="zh-CN" w:bidi="ar-SA"/>
              </w:rPr>
            </w:pPr>
            <w:r>
              <w:rPr>
                <w:rFonts w:hint="eastAsia" w:ascii="宋体" w:hAnsi="宋体" w:eastAsia="宋体" w:cs="宋体"/>
                <w:sz w:val="16"/>
                <w:szCs w:val="16"/>
                <w:lang w:eastAsia="zh-CN" w:bidi="ar-SA"/>
              </w:rPr>
              <w:t>②项目绩效目标与实际工作内容是否具有相关性；</w:t>
            </w:r>
          </w:p>
        </w:tc>
        <w:tc>
          <w:tcPr>
            <w:tcW w:w="0" w:type="auto"/>
            <w:vMerge w:val="continue"/>
            <w:tcBorders>
              <w:top w:val="nil"/>
              <w:left w:val="single" w:color="auto" w:sz="4" w:space="0"/>
              <w:bottom w:val="single" w:color="000000" w:sz="4" w:space="0"/>
              <w:right w:val="single" w:color="auto" w:sz="4" w:space="0"/>
            </w:tcBorders>
            <w:vAlign w:val="center"/>
          </w:tcPr>
          <w:p>
            <w:pPr>
              <w:widowControl/>
              <w:rPr>
                <w:rFonts w:ascii="等线" w:hAnsi="等线" w:eastAsia="等线" w:cs="宋体"/>
                <w:sz w:val="16"/>
                <w:szCs w:val="16"/>
                <w:lang w:eastAsia="zh-CN" w:bidi="ar-SA"/>
              </w:rPr>
            </w:pPr>
          </w:p>
        </w:tc>
      </w:tr>
      <w:tr>
        <w:tblPrEx>
          <w:tblCellMar>
            <w:top w:w="0" w:type="dxa"/>
            <w:left w:w="108" w:type="dxa"/>
            <w:bottom w:w="0" w:type="dxa"/>
            <w:right w:w="108" w:type="dxa"/>
          </w:tblCellMar>
        </w:tblPrEx>
        <w:trPr>
          <w:trHeight w:val="30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tcBorders>
              <w:top w:val="nil"/>
              <w:left w:val="nil"/>
              <w:bottom w:val="single" w:color="auto" w:sz="4" w:space="0"/>
              <w:right w:val="single" w:color="auto" w:sz="4" w:space="0"/>
            </w:tcBorders>
            <w:shd w:val="clear" w:color="000000" w:fill="FFFFFF"/>
            <w:vAlign w:val="center"/>
          </w:tcPr>
          <w:p>
            <w:pPr>
              <w:widowControl/>
              <w:rPr>
                <w:rFonts w:ascii="宋体" w:hAnsi="宋体" w:eastAsia="宋体" w:cs="宋体"/>
                <w:sz w:val="16"/>
                <w:szCs w:val="16"/>
                <w:lang w:eastAsia="zh-CN" w:bidi="ar-SA"/>
              </w:rPr>
            </w:pPr>
            <w:r>
              <w:rPr>
                <w:rFonts w:hint="eastAsia" w:ascii="宋体" w:hAnsi="宋体" w:eastAsia="宋体" w:cs="宋体"/>
                <w:sz w:val="16"/>
                <w:szCs w:val="16"/>
                <w:lang w:eastAsia="zh-CN" w:bidi="ar-SA"/>
              </w:rPr>
              <w:t>③项目预期产出效益和效果是否符合正常的业绩水平；</w:t>
            </w:r>
          </w:p>
        </w:tc>
        <w:tc>
          <w:tcPr>
            <w:tcW w:w="0" w:type="auto"/>
            <w:vMerge w:val="continue"/>
            <w:tcBorders>
              <w:top w:val="nil"/>
              <w:left w:val="single" w:color="auto" w:sz="4" w:space="0"/>
              <w:bottom w:val="single" w:color="000000" w:sz="4" w:space="0"/>
              <w:right w:val="single" w:color="auto" w:sz="4" w:space="0"/>
            </w:tcBorders>
            <w:vAlign w:val="center"/>
          </w:tcPr>
          <w:p>
            <w:pPr>
              <w:widowControl/>
              <w:rPr>
                <w:rFonts w:ascii="等线" w:hAnsi="等线" w:eastAsia="等线" w:cs="宋体"/>
                <w:sz w:val="16"/>
                <w:szCs w:val="16"/>
                <w:lang w:eastAsia="zh-CN" w:bidi="ar-SA"/>
              </w:rPr>
            </w:pPr>
          </w:p>
        </w:tc>
      </w:tr>
      <w:tr>
        <w:tblPrEx>
          <w:tblCellMar>
            <w:top w:w="0" w:type="dxa"/>
            <w:left w:w="108" w:type="dxa"/>
            <w:bottom w:w="0" w:type="dxa"/>
            <w:right w:w="108" w:type="dxa"/>
          </w:tblCellMar>
        </w:tblPrEx>
        <w:trPr>
          <w:trHeight w:val="30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tcBorders>
              <w:top w:val="nil"/>
              <w:left w:val="nil"/>
              <w:bottom w:val="single" w:color="auto" w:sz="4" w:space="0"/>
              <w:right w:val="single" w:color="auto" w:sz="4" w:space="0"/>
            </w:tcBorders>
            <w:shd w:val="clear" w:color="000000" w:fill="FFFFFF"/>
            <w:vAlign w:val="center"/>
          </w:tcPr>
          <w:p>
            <w:pPr>
              <w:widowControl/>
              <w:rPr>
                <w:rFonts w:ascii="宋体" w:hAnsi="宋体" w:eastAsia="宋体" w:cs="宋体"/>
                <w:sz w:val="16"/>
                <w:szCs w:val="16"/>
                <w:lang w:eastAsia="zh-CN" w:bidi="ar-SA"/>
              </w:rPr>
            </w:pPr>
            <w:r>
              <w:rPr>
                <w:rFonts w:hint="eastAsia" w:ascii="宋体" w:hAnsi="宋体" w:eastAsia="宋体" w:cs="宋体"/>
                <w:sz w:val="16"/>
                <w:szCs w:val="16"/>
                <w:lang w:eastAsia="zh-CN" w:bidi="ar-SA"/>
              </w:rPr>
              <w:t>④是否与预算确定的项目投资额或资金量相匹配。</w:t>
            </w:r>
          </w:p>
        </w:tc>
        <w:tc>
          <w:tcPr>
            <w:tcW w:w="0" w:type="auto"/>
            <w:vMerge w:val="continue"/>
            <w:tcBorders>
              <w:top w:val="nil"/>
              <w:left w:val="single" w:color="auto" w:sz="4" w:space="0"/>
              <w:bottom w:val="single" w:color="000000" w:sz="4" w:space="0"/>
              <w:right w:val="single" w:color="auto" w:sz="4" w:space="0"/>
            </w:tcBorders>
            <w:vAlign w:val="center"/>
          </w:tcPr>
          <w:p>
            <w:pPr>
              <w:widowControl/>
              <w:rPr>
                <w:rFonts w:ascii="等线" w:hAnsi="等线" w:eastAsia="等线" w:cs="宋体"/>
                <w:sz w:val="16"/>
                <w:szCs w:val="16"/>
                <w:lang w:eastAsia="zh-CN" w:bidi="ar-SA"/>
              </w:rPr>
            </w:pPr>
          </w:p>
        </w:tc>
      </w:tr>
      <w:tr>
        <w:tblPrEx>
          <w:tblCellMar>
            <w:top w:w="0" w:type="dxa"/>
            <w:left w:w="108" w:type="dxa"/>
            <w:bottom w:w="0" w:type="dxa"/>
            <w:right w:w="108" w:type="dxa"/>
          </w:tblCellMar>
        </w:tblPrEx>
        <w:trPr>
          <w:trHeight w:val="30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sz w:val="16"/>
                <w:szCs w:val="16"/>
                <w:lang w:eastAsia="zh-CN" w:bidi="ar-SA"/>
              </w:rPr>
            </w:pPr>
            <w:r>
              <w:rPr>
                <w:rFonts w:hint="eastAsia" w:ascii="宋体" w:hAnsi="宋体" w:eastAsia="宋体" w:cs="宋体"/>
                <w:sz w:val="16"/>
                <w:szCs w:val="16"/>
                <w:lang w:eastAsia="zh-CN" w:bidi="ar-SA"/>
              </w:rPr>
              <w:t>绩效指标</w:t>
            </w:r>
          </w:p>
          <w:p>
            <w:pPr>
              <w:widowControl/>
              <w:jc w:val="center"/>
              <w:rPr>
                <w:rFonts w:ascii="宋体" w:hAnsi="宋体" w:eastAsia="宋体" w:cs="宋体"/>
                <w:sz w:val="16"/>
                <w:szCs w:val="16"/>
                <w:lang w:eastAsia="zh-CN" w:bidi="ar-SA"/>
              </w:rPr>
            </w:pPr>
            <w:r>
              <w:rPr>
                <w:rFonts w:hint="eastAsia" w:ascii="宋体" w:hAnsi="宋体" w:eastAsia="宋体" w:cs="宋体"/>
                <w:sz w:val="16"/>
                <w:szCs w:val="16"/>
                <w:lang w:eastAsia="zh-CN" w:bidi="ar-SA"/>
              </w:rPr>
              <w:t>明确性（1分）</w:t>
            </w:r>
          </w:p>
        </w:tc>
        <w:tc>
          <w:tcPr>
            <w:tcW w:w="0" w:type="auto"/>
            <w:vMerge w:val="restart"/>
            <w:tcBorders>
              <w:top w:val="nil"/>
              <w:left w:val="single" w:color="auto" w:sz="4" w:space="0"/>
              <w:bottom w:val="single" w:color="auto" w:sz="4" w:space="0"/>
              <w:right w:val="single" w:color="auto" w:sz="4" w:space="0"/>
            </w:tcBorders>
            <w:shd w:val="clear" w:color="000000" w:fill="FFFFFF"/>
            <w:vAlign w:val="center"/>
          </w:tcPr>
          <w:p>
            <w:pPr>
              <w:widowControl/>
              <w:jc w:val="both"/>
              <w:rPr>
                <w:rFonts w:ascii="宋体" w:hAnsi="宋体" w:eastAsia="宋体" w:cs="宋体"/>
                <w:sz w:val="16"/>
                <w:szCs w:val="16"/>
                <w:lang w:eastAsia="zh-CN" w:bidi="ar-SA"/>
              </w:rPr>
            </w:pPr>
            <w:r>
              <w:rPr>
                <w:rFonts w:hint="eastAsia" w:ascii="宋体" w:hAnsi="宋体" w:eastAsia="宋体" w:cs="宋体"/>
                <w:sz w:val="16"/>
                <w:szCs w:val="16"/>
                <w:lang w:eastAsia="zh-CN" w:bidi="ar-SA"/>
              </w:rPr>
              <w:t>依据绩效目标设定的绩效指标是否清晰、细化、可衡量等，用以反映和考核项目绩效目标的明细化情况。</w:t>
            </w:r>
          </w:p>
        </w:tc>
        <w:tc>
          <w:tcPr>
            <w:tcW w:w="0" w:type="auto"/>
            <w:tcBorders>
              <w:top w:val="nil"/>
              <w:left w:val="nil"/>
              <w:bottom w:val="single" w:color="auto" w:sz="4" w:space="0"/>
              <w:right w:val="single" w:color="auto" w:sz="4" w:space="0"/>
            </w:tcBorders>
            <w:shd w:val="clear" w:color="000000" w:fill="FFFFFF"/>
            <w:vAlign w:val="center"/>
          </w:tcPr>
          <w:p>
            <w:pPr>
              <w:widowControl/>
              <w:jc w:val="both"/>
              <w:rPr>
                <w:rFonts w:ascii="宋体" w:hAnsi="宋体" w:eastAsia="宋体" w:cs="宋体"/>
                <w:sz w:val="16"/>
                <w:szCs w:val="16"/>
                <w:lang w:eastAsia="zh-CN" w:bidi="ar-SA"/>
              </w:rPr>
            </w:pPr>
            <w:r>
              <w:rPr>
                <w:rFonts w:hint="eastAsia" w:ascii="宋体" w:hAnsi="宋体" w:eastAsia="宋体" w:cs="宋体"/>
                <w:sz w:val="16"/>
                <w:szCs w:val="16"/>
                <w:lang w:eastAsia="zh-CN" w:bidi="ar-SA"/>
              </w:rPr>
              <w:t>评价要点：</w:t>
            </w:r>
          </w:p>
        </w:tc>
        <w:tc>
          <w:tcPr>
            <w:tcW w:w="0" w:type="auto"/>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等线" w:hAnsi="等线" w:eastAsia="等线" w:cs="宋体"/>
                <w:sz w:val="16"/>
                <w:szCs w:val="16"/>
                <w:lang w:eastAsia="zh-CN" w:bidi="ar-SA"/>
              </w:rPr>
            </w:pPr>
            <w:r>
              <w:rPr>
                <w:rFonts w:hint="eastAsia" w:ascii="等线" w:hAnsi="等线" w:eastAsia="等线" w:cs="宋体"/>
                <w:sz w:val="16"/>
                <w:szCs w:val="16"/>
                <w:lang w:eastAsia="zh-CN" w:bidi="ar-SA"/>
              </w:rPr>
              <w:t>1</w:t>
            </w:r>
          </w:p>
        </w:tc>
      </w:tr>
      <w:tr>
        <w:tblPrEx>
          <w:tblCellMar>
            <w:top w:w="0" w:type="dxa"/>
            <w:left w:w="108" w:type="dxa"/>
            <w:bottom w:w="0" w:type="dxa"/>
            <w:right w:w="108" w:type="dxa"/>
          </w:tblCellMar>
        </w:tblPrEx>
        <w:trPr>
          <w:trHeight w:val="30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tcBorders>
              <w:top w:val="nil"/>
              <w:left w:val="nil"/>
              <w:bottom w:val="single" w:color="auto" w:sz="4" w:space="0"/>
              <w:right w:val="single" w:color="auto" w:sz="4" w:space="0"/>
            </w:tcBorders>
            <w:shd w:val="clear" w:color="000000" w:fill="FFFFFF"/>
            <w:vAlign w:val="center"/>
          </w:tcPr>
          <w:p>
            <w:pPr>
              <w:widowControl/>
              <w:jc w:val="both"/>
              <w:rPr>
                <w:rFonts w:ascii="宋体" w:hAnsi="宋体" w:eastAsia="宋体" w:cs="宋体"/>
                <w:sz w:val="16"/>
                <w:szCs w:val="16"/>
                <w:lang w:eastAsia="zh-CN" w:bidi="ar-SA"/>
              </w:rPr>
            </w:pPr>
            <w:r>
              <w:rPr>
                <w:rFonts w:hint="eastAsia" w:ascii="宋体" w:hAnsi="宋体" w:eastAsia="宋体" w:cs="宋体"/>
                <w:sz w:val="16"/>
                <w:szCs w:val="16"/>
                <w:lang w:eastAsia="zh-CN" w:bidi="ar-SA"/>
              </w:rPr>
              <w:t>①是否将项目绩效目标细化分解为具体的绩效指标；</w:t>
            </w:r>
          </w:p>
        </w:tc>
        <w:tc>
          <w:tcPr>
            <w:tcW w:w="0" w:type="auto"/>
            <w:vMerge w:val="continue"/>
            <w:tcBorders>
              <w:top w:val="nil"/>
              <w:left w:val="single" w:color="auto" w:sz="4" w:space="0"/>
              <w:bottom w:val="single" w:color="000000" w:sz="4" w:space="0"/>
              <w:right w:val="single" w:color="auto" w:sz="4" w:space="0"/>
            </w:tcBorders>
            <w:vAlign w:val="center"/>
          </w:tcPr>
          <w:p>
            <w:pPr>
              <w:widowControl/>
              <w:rPr>
                <w:rFonts w:ascii="等线" w:hAnsi="等线" w:eastAsia="等线" w:cs="宋体"/>
                <w:sz w:val="16"/>
                <w:szCs w:val="16"/>
                <w:lang w:eastAsia="zh-CN" w:bidi="ar-SA"/>
              </w:rPr>
            </w:pPr>
          </w:p>
        </w:tc>
      </w:tr>
      <w:tr>
        <w:tblPrEx>
          <w:tblCellMar>
            <w:top w:w="0" w:type="dxa"/>
            <w:left w:w="108" w:type="dxa"/>
            <w:bottom w:w="0" w:type="dxa"/>
            <w:right w:w="108" w:type="dxa"/>
          </w:tblCellMar>
        </w:tblPrEx>
        <w:trPr>
          <w:trHeight w:val="30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tcBorders>
              <w:top w:val="nil"/>
              <w:left w:val="nil"/>
              <w:bottom w:val="single" w:color="auto" w:sz="4" w:space="0"/>
              <w:right w:val="single" w:color="auto" w:sz="4" w:space="0"/>
            </w:tcBorders>
            <w:shd w:val="clear" w:color="000000" w:fill="FFFFFF"/>
            <w:vAlign w:val="center"/>
          </w:tcPr>
          <w:p>
            <w:pPr>
              <w:widowControl/>
              <w:jc w:val="both"/>
              <w:rPr>
                <w:rFonts w:ascii="宋体" w:hAnsi="宋体" w:eastAsia="宋体" w:cs="宋体"/>
                <w:sz w:val="16"/>
                <w:szCs w:val="16"/>
                <w:lang w:eastAsia="zh-CN" w:bidi="ar-SA"/>
              </w:rPr>
            </w:pPr>
            <w:r>
              <w:rPr>
                <w:rFonts w:hint="eastAsia" w:ascii="宋体" w:hAnsi="宋体" w:eastAsia="宋体" w:cs="宋体"/>
                <w:sz w:val="16"/>
                <w:szCs w:val="16"/>
                <w:lang w:eastAsia="zh-CN" w:bidi="ar-SA"/>
              </w:rPr>
              <w:t>②是否通过清晰、可衡量的指标值予以体现；</w:t>
            </w:r>
          </w:p>
        </w:tc>
        <w:tc>
          <w:tcPr>
            <w:tcW w:w="0" w:type="auto"/>
            <w:vMerge w:val="continue"/>
            <w:tcBorders>
              <w:top w:val="nil"/>
              <w:left w:val="single" w:color="auto" w:sz="4" w:space="0"/>
              <w:bottom w:val="single" w:color="000000" w:sz="4" w:space="0"/>
              <w:right w:val="single" w:color="auto" w:sz="4" w:space="0"/>
            </w:tcBorders>
            <w:vAlign w:val="center"/>
          </w:tcPr>
          <w:p>
            <w:pPr>
              <w:widowControl/>
              <w:rPr>
                <w:rFonts w:ascii="等线" w:hAnsi="等线" w:eastAsia="等线" w:cs="宋体"/>
                <w:sz w:val="16"/>
                <w:szCs w:val="16"/>
                <w:lang w:eastAsia="zh-CN" w:bidi="ar-SA"/>
              </w:rPr>
            </w:pPr>
          </w:p>
        </w:tc>
      </w:tr>
      <w:tr>
        <w:tblPrEx>
          <w:tblCellMar>
            <w:top w:w="0" w:type="dxa"/>
            <w:left w:w="108" w:type="dxa"/>
            <w:bottom w:w="0" w:type="dxa"/>
            <w:right w:w="108" w:type="dxa"/>
          </w:tblCellMar>
        </w:tblPrEx>
        <w:trPr>
          <w:trHeight w:val="30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tcBorders>
              <w:top w:val="nil"/>
              <w:left w:val="nil"/>
              <w:bottom w:val="single" w:color="auto" w:sz="4" w:space="0"/>
              <w:right w:val="single" w:color="auto" w:sz="4" w:space="0"/>
            </w:tcBorders>
            <w:shd w:val="clear" w:color="000000" w:fill="FFFFFF"/>
            <w:vAlign w:val="center"/>
          </w:tcPr>
          <w:p>
            <w:pPr>
              <w:widowControl/>
              <w:jc w:val="both"/>
              <w:rPr>
                <w:rFonts w:ascii="宋体" w:hAnsi="宋体" w:eastAsia="宋体" w:cs="宋体"/>
                <w:sz w:val="16"/>
                <w:szCs w:val="16"/>
                <w:lang w:eastAsia="zh-CN" w:bidi="ar-SA"/>
              </w:rPr>
            </w:pPr>
            <w:r>
              <w:rPr>
                <w:rFonts w:hint="eastAsia" w:ascii="宋体" w:hAnsi="宋体" w:eastAsia="宋体" w:cs="宋体"/>
                <w:sz w:val="16"/>
                <w:szCs w:val="16"/>
                <w:lang w:eastAsia="zh-CN" w:bidi="ar-SA"/>
              </w:rPr>
              <w:t>③是否与项目目标任务数或计划数相对应。</w:t>
            </w:r>
          </w:p>
        </w:tc>
        <w:tc>
          <w:tcPr>
            <w:tcW w:w="0" w:type="auto"/>
            <w:vMerge w:val="continue"/>
            <w:tcBorders>
              <w:top w:val="nil"/>
              <w:left w:val="single" w:color="auto" w:sz="4" w:space="0"/>
              <w:bottom w:val="single" w:color="000000" w:sz="4" w:space="0"/>
              <w:right w:val="single" w:color="auto" w:sz="4" w:space="0"/>
            </w:tcBorders>
            <w:vAlign w:val="center"/>
          </w:tcPr>
          <w:p>
            <w:pPr>
              <w:widowControl/>
              <w:rPr>
                <w:rFonts w:ascii="等线" w:hAnsi="等线" w:eastAsia="等线" w:cs="宋体"/>
                <w:sz w:val="16"/>
                <w:szCs w:val="16"/>
                <w:lang w:eastAsia="zh-CN" w:bidi="ar-SA"/>
              </w:rPr>
            </w:pPr>
          </w:p>
        </w:tc>
      </w:tr>
      <w:tr>
        <w:tblPrEx>
          <w:tblCellMar>
            <w:top w:w="0" w:type="dxa"/>
            <w:left w:w="108" w:type="dxa"/>
            <w:bottom w:w="0" w:type="dxa"/>
            <w:right w:w="108" w:type="dxa"/>
          </w:tblCellMar>
        </w:tblPrEx>
        <w:trPr>
          <w:trHeight w:val="300" w:hRule="atLeast"/>
        </w:trPr>
        <w:tc>
          <w:tcPr>
            <w:tcW w:w="0" w:type="auto"/>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sz w:val="16"/>
                <w:szCs w:val="16"/>
                <w:lang w:eastAsia="zh-CN" w:bidi="ar-SA"/>
              </w:rPr>
            </w:pPr>
            <w:r>
              <w:rPr>
                <w:rFonts w:hint="eastAsia" w:ascii="宋体" w:hAnsi="宋体" w:eastAsia="宋体" w:cs="宋体"/>
                <w:sz w:val="16"/>
                <w:szCs w:val="16"/>
                <w:lang w:eastAsia="zh-CN" w:bidi="ar-SA"/>
              </w:rPr>
              <w:t>决策（10分）　</w:t>
            </w:r>
          </w:p>
        </w:tc>
        <w:tc>
          <w:tcPr>
            <w:tcW w:w="0" w:type="auto"/>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sz w:val="16"/>
                <w:szCs w:val="16"/>
                <w:lang w:eastAsia="zh-CN" w:bidi="ar-SA"/>
              </w:rPr>
            </w:pPr>
            <w:r>
              <w:rPr>
                <w:rFonts w:hint="eastAsia" w:ascii="宋体" w:hAnsi="宋体" w:eastAsia="宋体" w:cs="宋体"/>
                <w:sz w:val="16"/>
                <w:szCs w:val="16"/>
                <w:lang w:eastAsia="zh-CN" w:bidi="ar-SA"/>
              </w:rPr>
              <w:t>资金投入（2分）</w:t>
            </w:r>
          </w:p>
        </w:tc>
        <w:tc>
          <w:tcPr>
            <w:tcW w:w="0" w:type="auto"/>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sz w:val="16"/>
                <w:szCs w:val="16"/>
                <w:lang w:eastAsia="zh-CN" w:bidi="ar-SA"/>
              </w:rPr>
            </w:pPr>
            <w:r>
              <w:rPr>
                <w:rFonts w:hint="eastAsia" w:ascii="宋体" w:hAnsi="宋体" w:eastAsia="宋体" w:cs="宋体"/>
                <w:sz w:val="16"/>
                <w:szCs w:val="16"/>
                <w:lang w:eastAsia="zh-CN" w:bidi="ar-SA"/>
              </w:rPr>
              <w:t>预算编制</w:t>
            </w:r>
          </w:p>
          <w:p>
            <w:pPr>
              <w:widowControl/>
              <w:jc w:val="center"/>
              <w:rPr>
                <w:rFonts w:ascii="宋体" w:hAnsi="宋体" w:eastAsia="宋体" w:cs="宋体"/>
                <w:sz w:val="16"/>
                <w:szCs w:val="16"/>
                <w:lang w:eastAsia="zh-CN" w:bidi="ar-SA"/>
              </w:rPr>
            </w:pPr>
            <w:r>
              <w:rPr>
                <w:rFonts w:hint="eastAsia" w:ascii="宋体" w:hAnsi="宋体" w:eastAsia="宋体" w:cs="宋体"/>
                <w:sz w:val="16"/>
                <w:szCs w:val="16"/>
                <w:lang w:eastAsia="zh-CN" w:bidi="ar-SA"/>
              </w:rPr>
              <w:t>科学性（1分）</w:t>
            </w:r>
          </w:p>
        </w:tc>
        <w:tc>
          <w:tcPr>
            <w:tcW w:w="0" w:type="auto"/>
            <w:vMerge w:val="restart"/>
            <w:tcBorders>
              <w:top w:val="nil"/>
              <w:left w:val="single" w:color="auto" w:sz="4" w:space="0"/>
              <w:bottom w:val="single" w:color="auto" w:sz="4" w:space="0"/>
              <w:right w:val="single" w:color="auto" w:sz="4" w:space="0"/>
            </w:tcBorders>
            <w:shd w:val="clear" w:color="000000" w:fill="FFFFFF"/>
            <w:vAlign w:val="center"/>
          </w:tcPr>
          <w:p>
            <w:pPr>
              <w:widowControl/>
              <w:jc w:val="both"/>
              <w:rPr>
                <w:rFonts w:ascii="宋体" w:hAnsi="宋体" w:eastAsia="宋体" w:cs="宋体"/>
                <w:sz w:val="16"/>
                <w:szCs w:val="16"/>
                <w:lang w:eastAsia="zh-CN" w:bidi="ar-SA"/>
              </w:rPr>
            </w:pPr>
            <w:r>
              <w:rPr>
                <w:rFonts w:hint="eastAsia" w:ascii="宋体" w:hAnsi="宋体" w:eastAsia="宋体" w:cs="宋体"/>
                <w:sz w:val="16"/>
                <w:szCs w:val="16"/>
                <w:lang w:eastAsia="zh-CN" w:bidi="ar-SA"/>
              </w:rPr>
              <w:t>项目预算编制是否经过科学论证、有明确标准，资金额度与年度目标是否相适应，用以反映和考核项目预算编制的科学性、合理性情况。</w:t>
            </w:r>
          </w:p>
        </w:tc>
        <w:tc>
          <w:tcPr>
            <w:tcW w:w="0" w:type="auto"/>
            <w:tcBorders>
              <w:top w:val="nil"/>
              <w:left w:val="nil"/>
              <w:bottom w:val="single" w:color="auto" w:sz="4" w:space="0"/>
              <w:right w:val="single" w:color="auto" w:sz="4" w:space="0"/>
            </w:tcBorders>
            <w:shd w:val="clear" w:color="000000" w:fill="FFFFFF"/>
            <w:vAlign w:val="center"/>
          </w:tcPr>
          <w:p>
            <w:pPr>
              <w:widowControl/>
              <w:jc w:val="both"/>
              <w:rPr>
                <w:rFonts w:ascii="宋体" w:hAnsi="宋体" w:eastAsia="宋体" w:cs="宋体"/>
                <w:sz w:val="16"/>
                <w:szCs w:val="16"/>
                <w:lang w:eastAsia="zh-CN" w:bidi="ar-SA"/>
              </w:rPr>
            </w:pPr>
            <w:r>
              <w:rPr>
                <w:rFonts w:hint="eastAsia" w:ascii="宋体" w:hAnsi="宋体" w:eastAsia="宋体" w:cs="宋体"/>
                <w:sz w:val="16"/>
                <w:szCs w:val="16"/>
                <w:lang w:eastAsia="zh-CN" w:bidi="ar-SA"/>
              </w:rPr>
              <w:t>评价要点：</w:t>
            </w:r>
          </w:p>
        </w:tc>
        <w:tc>
          <w:tcPr>
            <w:tcW w:w="0" w:type="auto"/>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等线" w:hAnsi="等线" w:eastAsia="等线" w:cs="宋体"/>
                <w:sz w:val="16"/>
                <w:szCs w:val="16"/>
                <w:lang w:eastAsia="zh-CN" w:bidi="ar-SA"/>
              </w:rPr>
            </w:pPr>
            <w:r>
              <w:rPr>
                <w:rFonts w:hint="eastAsia" w:ascii="等线" w:hAnsi="等线" w:eastAsia="等线" w:cs="宋体"/>
                <w:sz w:val="16"/>
                <w:szCs w:val="16"/>
                <w:lang w:eastAsia="zh-CN" w:bidi="ar-SA"/>
              </w:rPr>
              <w:t>1</w:t>
            </w:r>
          </w:p>
        </w:tc>
      </w:tr>
      <w:tr>
        <w:tblPrEx>
          <w:tblCellMar>
            <w:top w:w="0" w:type="dxa"/>
            <w:left w:w="108" w:type="dxa"/>
            <w:bottom w:w="0" w:type="dxa"/>
            <w:right w:w="108" w:type="dxa"/>
          </w:tblCellMar>
        </w:tblPrEx>
        <w:trPr>
          <w:trHeight w:val="30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tcBorders>
              <w:top w:val="nil"/>
              <w:left w:val="nil"/>
              <w:bottom w:val="single" w:color="auto" w:sz="4" w:space="0"/>
              <w:right w:val="single" w:color="auto" w:sz="4" w:space="0"/>
            </w:tcBorders>
            <w:shd w:val="clear" w:color="000000" w:fill="FFFFFF"/>
            <w:vAlign w:val="center"/>
          </w:tcPr>
          <w:p>
            <w:pPr>
              <w:widowControl/>
              <w:jc w:val="both"/>
              <w:rPr>
                <w:rFonts w:ascii="宋体" w:hAnsi="宋体" w:eastAsia="宋体" w:cs="宋体"/>
                <w:sz w:val="16"/>
                <w:szCs w:val="16"/>
                <w:lang w:eastAsia="zh-CN" w:bidi="ar-SA"/>
              </w:rPr>
            </w:pPr>
            <w:r>
              <w:rPr>
                <w:rFonts w:hint="eastAsia" w:ascii="宋体" w:hAnsi="宋体" w:eastAsia="宋体" w:cs="宋体"/>
                <w:sz w:val="16"/>
                <w:szCs w:val="16"/>
                <w:lang w:eastAsia="zh-CN" w:bidi="ar-SA"/>
              </w:rPr>
              <w:t>①预算编制是否经过科学论证；</w:t>
            </w:r>
          </w:p>
        </w:tc>
        <w:tc>
          <w:tcPr>
            <w:tcW w:w="0" w:type="auto"/>
            <w:vMerge w:val="continue"/>
            <w:tcBorders>
              <w:top w:val="nil"/>
              <w:left w:val="single" w:color="auto" w:sz="4" w:space="0"/>
              <w:bottom w:val="single" w:color="000000" w:sz="4" w:space="0"/>
              <w:right w:val="single" w:color="auto" w:sz="4" w:space="0"/>
            </w:tcBorders>
            <w:vAlign w:val="center"/>
          </w:tcPr>
          <w:p>
            <w:pPr>
              <w:widowControl/>
              <w:rPr>
                <w:rFonts w:ascii="等线" w:hAnsi="等线" w:eastAsia="等线" w:cs="宋体"/>
                <w:sz w:val="16"/>
                <w:szCs w:val="16"/>
                <w:lang w:eastAsia="zh-CN" w:bidi="ar-SA"/>
              </w:rPr>
            </w:pPr>
          </w:p>
        </w:tc>
      </w:tr>
      <w:tr>
        <w:tblPrEx>
          <w:tblCellMar>
            <w:top w:w="0" w:type="dxa"/>
            <w:left w:w="108" w:type="dxa"/>
            <w:bottom w:w="0" w:type="dxa"/>
            <w:right w:w="108" w:type="dxa"/>
          </w:tblCellMar>
        </w:tblPrEx>
        <w:trPr>
          <w:trHeight w:val="30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tcBorders>
              <w:top w:val="nil"/>
              <w:left w:val="nil"/>
              <w:bottom w:val="single" w:color="auto" w:sz="4" w:space="0"/>
              <w:right w:val="single" w:color="auto" w:sz="4" w:space="0"/>
            </w:tcBorders>
            <w:shd w:val="clear" w:color="000000" w:fill="FFFFFF"/>
            <w:vAlign w:val="center"/>
          </w:tcPr>
          <w:p>
            <w:pPr>
              <w:widowControl/>
              <w:jc w:val="both"/>
              <w:rPr>
                <w:rFonts w:ascii="宋体" w:hAnsi="宋体" w:eastAsia="宋体" w:cs="宋体"/>
                <w:sz w:val="16"/>
                <w:szCs w:val="16"/>
                <w:lang w:eastAsia="zh-CN" w:bidi="ar-SA"/>
              </w:rPr>
            </w:pPr>
            <w:r>
              <w:rPr>
                <w:rFonts w:hint="eastAsia" w:ascii="宋体" w:hAnsi="宋体" w:eastAsia="宋体" w:cs="宋体"/>
                <w:sz w:val="16"/>
                <w:szCs w:val="16"/>
                <w:lang w:eastAsia="zh-CN" w:bidi="ar-SA"/>
              </w:rPr>
              <w:t>②预算内容与项目内容是否匹配；</w:t>
            </w:r>
          </w:p>
        </w:tc>
        <w:tc>
          <w:tcPr>
            <w:tcW w:w="0" w:type="auto"/>
            <w:vMerge w:val="continue"/>
            <w:tcBorders>
              <w:top w:val="nil"/>
              <w:left w:val="single" w:color="auto" w:sz="4" w:space="0"/>
              <w:bottom w:val="single" w:color="000000" w:sz="4" w:space="0"/>
              <w:right w:val="single" w:color="auto" w:sz="4" w:space="0"/>
            </w:tcBorders>
            <w:vAlign w:val="center"/>
          </w:tcPr>
          <w:p>
            <w:pPr>
              <w:widowControl/>
              <w:rPr>
                <w:rFonts w:ascii="等线" w:hAnsi="等线" w:eastAsia="等线" w:cs="宋体"/>
                <w:sz w:val="16"/>
                <w:szCs w:val="16"/>
                <w:lang w:eastAsia="zh-CN" w:bidi="ar-SA"/>
              </w:rPr>
            </w:pPr>
          </w:p>
        </w:tc>
      </w:tr>
      <w:tr>
        <w:tblPrEx>
          <w:tblCellMar>
            <w:top w:w="0" w:type="dxa"/>
            <w:left w:w="108" w:type="dxa"/>
            <w:bottom w:w="0" w:type="dxa"/>
            <w:right w:w="108" w:type="dxa"/>
          </w:tblCellMar>
        </w:tblPrEx>
        <w:trPr>
          <w:trHeight w:val="30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tcBorders>
              <w:top w:val="nil"/>
              <w:left w:val="nil"/>
              <w:bottom w:val="single" w:color="auto" w:sz="4" w:space="0"/>
              <w:right w:val="single" w:color="auto" w:sz="4" w:space="0"/>
            </w:tcBorders>
            <w:shd w:val="clear" w:color="000000" w:fill="FFFFFF"/>
            <w:vAlign w:val="center"/>
          </w:tcPr>
          <w:p>
            <w:pPr>
              <w:widowControl/>
              <w:jc w:val="both"/>
              <w:rPr>
                <w:rFonts w:ascii="宋体" w:hAnsi="宋体" w:eastAsia="宋体" w:cs="宋体"/>
                <w:sz w:val="16"/>
                <w:szCs w:val="16"/>
                <w:lang w:eastAsia="zh-CN" w:bidi="ar-SA"/>
              </w:rPr>
            </w:pPr>
            <w:r>
              <w:rPr>
                <w:rFonts w:hint="eastAsia" w:ascii="宋体" w:hAnsi="宋体" w:eastAsia="宋体" w:cs="宋体"/>
                <w:sz w:val="16"/>
                <w:szCs w:val="16"/>
                <w:lang w:eastAsia="zh-CN" w:bidi="ar-SA"/>
              </w:rPr>
              <w:t>③预算额度测算依据是否充分，是否按照标准编制；</w:t>
            </w:r>
          </w:p>
        </w:tc>
        <w:tc>
          <w:tcPr>
            <w:tcW w:w="0" w:type="auto"/>
            <w:vMerge w:val="continue"/>
            <w:tcBorders>
              <w:top w:val="nil"/>
              <w:left w:val="single" w:color="auto" w:sz="4" w:space="0"/>
              <w:bottom w:val="single" w:color="000000" w:sz="4" w:space="0"/>
              <w:right w:val="single" w:color="auto" w:sz="4" w:space="0"/>
            </w:tcBorders>
            <w:vAlign w:val="center"/>
          </w:tcPr>
          <w:p>
            <w:pPr>
              <w:widowControl/>
              <w:rPr>
                <w:rFonts w:ascii="等线" w:hAnsi="等线" w:eastAsia="等线" w:cs="宋体"/>
                <w:sz w:val="16"/>
                <w:szCs w:val="16"/>
                <w:lang w:eastAsia="zh-CN" w:bidi="ar-SA"/>
              </w:rPr>
            </w:pPr>
          </w:p>
        </w:tc>
      </w:tr>
      <w:tr>
        <w:tblPrEx>
          <w:tblCellMar>
            <w:top w:w="0" w:type="dxa"/>
            <w:left w:w="108" w:type="dxa"/>
            <w:bottom w:w="0" w:type="dxa"/>
            <w:right w:w="108" w:type="dxa"/>
          </w:tblCellMar>
        </w:tblPrEx>
        <w:trPr>
          <w:trHeight w:val="30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tcBorders>
              <w:top w:val="nil"/>
              <w:left w:val="nil"/>
              <w:bottom w:val="single" w:color="auto" w:sz="4" w:space="0"/>
              <w:right w:val="single" w:color="auto" w:sz="4" w:space="0"/>
            </w:tcBorders>
            <w:shd w:val="clear" w:color="000000" w:fill="FFFFFF"/>
            <w:vAlign w:val="center"/>
          </w:tcPr>
          <w:p>
            <w:pPr>
              <w:widowControl/>
              <w:jc w:val="both"/>
              <w:rPr>
                <w:rFonts w:ascii="宋体" w:hAnsi="宋体" w:eastAsia="宋体" w:cs="宋体"/>
                <w:sz w:val="16"/>
                <w:szCs w:val="16"/>
                <w:lang w:eastAsia="zh-CN" w:bidi="ar-SA"/>
              </w:rPr>
            </w:pPr>
            <w:r>
              <w:rPr>
                <w:rFonts w:hint="eastAsia" w:ascii="宋体" w:hAnsi="宋体" w:eastAsia="宋体" w:cs="宋体"/>
                <w:sz w:val="16"/>
                <w:szCs w:val="16"/>
                <w:lang w:eastAsia="zh-CN" w:bidi="ar-SA"/>
              </w:rPr>
              <w:t>④预算确定的项目投资额或资金量是否与工作任务相匹配。</w:t>
            </w:r>
          </w:p>
        </w:tc>
        <w:tc>
          <w:tcPr>
            <w:tcW w:w="0" w:type="auto"/>
            <w:vMerge w:val="continue"/>
            <w:tcBorders>
              <w:top w:val="nil"/>
              <w:left w:val="single" w:color="auto" w:sz="4" w:space="0"/>
              <w:bottom w:val="single" w:color="000000" w:sz="4" w:space="0"/>
              <w:right w:val="single" w:color="auto" w:sz="4" w:space="0"/>
            </w:tcBorders>
            <w:vAlign w:val="center"/>
          </w:tcPr>
          <w:p>
            <w:pPr>
              <w:widowControl/>
              <w:rPr>
                <w:rFonts w:ascii="等线" w:hAnsi="等线" w:eastAsia="等线" w:cs="宋体"/>
                <w:sz w:val="16"/>
                <w:szCs w:val="16"/>
                <w:lang w:eastAsia="zh-CN" w:bidi="ar-SA"/>
              </w:rPr>
            </w:pPr>
          </w:p>
        </w:tc>
      </w:tr>
      <w:tr>
        <w:tblPrEx>
          <w:tblCellMar>
            <w:top w:w="0" w:type="dxa"/>
            <w:left w:w="108" w:type="dxa"/>
            <w:bottom w:w="0" w:type="dxa"/>
            <w:right w:w="108" w:type="dxa"/>
          </w:tblCellMar>
        </w:tblPrEx>
        <w:trPr>
          <w:trHeight w:val="30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sz w:val="16"/>
                <w:szCs w:val="16"/>
                <w:lang w:eastAsia="zh-CN" w:bidi="ar-SA"/>
              </w:rPr>
            </w:pPr>
            <w:r>
              <w:rPr>
                <w:rFonts w:hint="eastAsia" w:ascii="宋体" w:hAnsi="宋体" w:eastAsia="宋体" w:cs="宋体"/>
                <w:sz w:val="16"/>
                <w:szCs w:val="16"/>
                <w:lang w:eastAsia="zh-CN" w:bidi="ar-SA"/>
              </w:rPr>
              <w:t>资金分配</w:t>
            </w:r>
          </w:p>
          <w:p>
            <w:pPr>
              <w:widowControl/>
              <w:jc w:val="center"/>
              <w:rPr>
                <w:rFonts w:ascii="宋体" w:hAnsi="宋体" w:eastAsia="宋体" w:cs="宋体"/>
                <w:sz w:val="16"/>
                <w:szCs w:val="16"/>
                <w:lang w:eastAsia="zh-CN" w:bidi="ar-SA"/>
              </w:rPr>
            </w:pPr>
            <w:r>
              <w:rPr>
                <w:rFonts w:hint="eastAsia" w:ascii="宋体" w:hAnsi="宋体" w:eastAsia="宋体" w:cs="宋体"/>
                <w:sz w:val="16"/>
                <w:szCs w:val="16"/>
                <w:lang w:eastAsia="zh-CN" w:bidi="ar-SA"/>
              </w:rPr>
              <w:t>合理性（1分）</w:t>
            </w:r>
          </w:p>
        </w:tc>
        <w:tc>
          <w:tcPr>
            <w:tcW w:w="0" w:type="auto"/>
            <w:vMerge w:val="restart"/>
            <w:tcBorders>
              <w:top w:val="nil"/>
              <w:left w:val="single" w:color="auto" w:sz="4" w:space="0"/>
              <w:bottom w:val="single" w:color="auto" w:sz="4" w:space="0"/>
              <w:right w:val="single" w:color="auto" w:sz="4" w:space="0"/>
            </w:tcBorders>
            <w:shd w:val="clear" w:color="000000" w:fill="FFFFFF"/>
            <w:vAlign w:val="center"/>
          </w:tcPr>
          <w:p>
            <w:pPr>
              <w:widowControl/>
              <w:jc w:val="both"/>
              <w:rPr>
                <w:rFonts w:ascii="宋体" w:hAnsi="宋体" w:eastAsia="宋体" w:cs="宋体"/>
                <w:sz w:val="16"/>
                <w:szCs w:val="16"/>
                <w:lang w:eastAsia="zh-CN" w:bidi="ar-SA"/>
              </w:rPr>
            </w:pPr>
            <w:r>
              <w:rPr>
                <w:rFonts w:hint="eastAsia" w:ascii="宋体" w:hAnsi="宋体" w:eastAsia="宋体" w:cs="宋体"/>
                <w:sz w:val="16"/>
                <w:szCs w:val="16"/>
                <w:lang w:eastAsia="zh-CN" w:bidi="ar-SA"/>
              </w:rPr>
              <w:t>项目预算资金分配是否有测算依据，与补助单位或地方实际是否相适应，用以反映和考核项目预算资金分配的科学性、合理性情况。</w:t>
            </w:r>
          </w:p>
        </w:tc>
        <w:tc>
          <w:tcPr>
            <w:tcW w:w="0" w:type="auto"/>
            <w:tcBorders>
              <w:top w:val="nil"/>
              <w:left w:val="nil"/>
              <w:bottom w:val="single" w:color="auto" w:sz="4" w:space="0"/>
              <w:right w:val="single" w:color="auto" w:sz="4" w:space="0"/>
            </w:tcBorders>
            <w:shd w:val="clear" w:color="000000" w:fill="FFFFFF"/>
            <w:vAlign w:val="center"/>
          </w:tcPr>
          <w:p>
            <w:pPr>
              <w:widowControl/>
              <w:jc w:val="both"/>
              <w:rPr>
                <w:rFonts w:ascii="宋体" w:hAnsi="宋体" w:eastAsia="宋体" w:cs="宋体"/>
                <w:sz w:val="16"/>
                <w:szCs w:val="16"/>
                <w:lang w:eastAsia="zh-CN" w:bidi="ar-SA"/>
              </w:rPr>
            </w:pPr>
            <w:r>
              <w:rPr>
                <w:rFonts w:hint="eastAsia" w:ascii="宋体" w:hAnsi="宋体" w:eastAsia="宋体" w:cs="宋体"/>
                <w:sz w:val="16"/>
                <w:szCs w:val="16"/>
                <w:lang w:eastAsia="zh-CN" w:bidi="ar-SA"/>
              </w:rPr>
              <w:t>评价要点：</w:t>
            </w:r>
          </w:p>
        </w:tc>
        <w:tc>
          <w:tcPr>
            <w:tcW w:w="0" w:type="auto"/>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等线" w:hAnsi="等线" w:eastAsia="等线" w:cs="宋体"/>
                <w:sz w:val="16"/>
                <w:szCs w:val="16"/>
                <w:lang w:eastAsia="zh-CN" w:bidi="ar-SA"/>
              </w:rPr>
            </w:pPr>
            <w:r>
              <w:rPr>
                <w:rFonts w:hint="eastAsia" w:ascii="等线" w:hAnsi="等线" w:eastAsia="等线" w:cs="宋体"/>
                <w:sz w:val="16"/>
                <w:szCs w:val="16"/>
                <w:lang w:eastAsia="zh-CN" w:bidi="ar-SA"/>
              </w:rPr>
              <w:t>1</w:t>
            </w:r>
          </w:p>
        </w:tc>
      </w:tr>
      <w:tr>
        <w:tblPrEx>
          <w:tblCellMar>
            <w:top w:w="0" w:type="dxa"/>
            <w:left w:w="108" w:type="dxa"/>
            <w:bottom w:w="0" w:type="dxa"/>
            <w:right w:w="108" w:type="dxa"/>
          </w:tblCellMar>
        </w:tblPrEx>
        <w:trPr>
          <w:trHeight w:val="30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tcBorders>
              <w:top w:val="nil"/>
              <w:left w:val="nil"/>
              <w:bottom w:val="single" w:color="auto" w:sz="4" w:space="0"/>
              <w:right w:val="single" w:color="auto" w:sz="4" w:space="0"/>
            </w:tcBorders>
            <w:shd w:val="clear" w:color="000000" w:fill="FFFFFF"/>
            <w:vAlign w:val="center"/>
          </w:tcPr>
          <w:p>
            <w:pPr>
              <w:widowControl/>
              <w:jc w:val="both"/>
              <w:rPr>
                <w:rFonts w:ascii="宋体" w:hAnsi="宋体" w:eastAsia="宋体" w:cs="宋体"/>
                <w:sz w:val="16"/>
                <w:szCs w:val="16"/>
                <w:lang w:eastAsia="zh-CN" w:bidi="ar-SA"/>
              </w:rPr>
            </w:pPr>
            <w:r>
              <w:rPr>
                <w:rFonts w:hint="eastAsia" w:ascii="宋体" w:hAnsi="宋体" w:eastAsia="宋体" w:cs="宋体"/>
                <w:sz w:val="16"/>
                <w:szCs w:val="16"/>
                <w:lang w:eastAsia="zh-CN" w:bidi="ar-SA"/>
              </w:rPr>
              <w:t>①预算资金分配依据是否充分；</w:t>
            </w:r>
          </w:p>
        </w:tc>
        <w:tc>
          <w:tcPr>
            <w:tcW w:w="0" w:type="auto"/>
            <w:vMerge w:val="continue"/>
            <w:tcBorders>
              <w:top w:val="nil"/>
              <w:left w:val="single" w:color="auto" w:sz="4" w:space="0"/>
              <w:bottom w:val="single" w:color="000000" w:sz="4" w:space="0"/>
              <w:right w:val="single" w:color="auto" w:sz="4" w:space="0"/>
            </w:tcBorders>
            <w:vAlign w:val="center"/>
          </w:tcPr>
          <w:p>
            <w:pPr>
              <w:widowControl/>
              <w:rPr>
                <w:rFonts w:ascii="等线" w:hAnsi="等线" w:eastAsia="等线" w:cs="宋体"/>
                <w:sz w:val="16"/>
                <w:szCs w:val="16"/>
                <w:lang w:eastAsia="zh-CN" w:bidi="ar-SA"/>
              </w:rPr>
            </w:pPr>
          </w:p>
        </w:tc>
      </w:tr>
      <w:tr>
        <w:tblPrEx>
          <w:tblCellMar>
            <w:top w:w="0" w:type="dxa"/>
            <w:left w:w="108" w:type="dxa"/>
            <w:bottom w:w="0" w:type="dxa"/>
            <w:right w:w="108" w:type="dxa"/>
          </w:tblCellMar>
        </w:tblPrEx>
        <w:trPr>
          <w:trHeight w:val="30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tcBorders>
              <w:top w:val="nil"/>
              <w:left w:val="nil"/>
              <w:bottom w:val="single" w:color="auto" w:sz="4" w:space="0"/>
              <w:right w:val="single" w:color="auto" w:sz="4" w:space="0"/>
            </w:tcBorders>
            <w:shd w:val="clear" w:color="000000" w:fill="FFFFFF"/>
            <w:vAlign w:val="center"/>
          </w:tcPr>
          <w:p>
            <w:pPr>
              <w:widowControl/>
              <w:jc w:val="both"/>
              <w:rPr>
                <w:rFonts w:ascii="宋体" w:hAnsi="宋体" w:eastAsia="宋体" w:cs="宋体"/>
                <w:sz w:val="16"/>
                <w:szCs w:val="16"/>
                <w:lang w:eastAsia="zh-CN" w:bidi="ar-SA"/>
              </w:rPr>
            </w:pPr>
            <w:r>
              <w:rPr>
                <w:rFonts w:hint="eastAsia" w:ascii="宋体" w:hAnsi="宋体" w:eastAsia="宋体" w:cs="宋体"/>
                <w:sz w:val="16"/>
                <w:szCs w:val="16"/>
                <w:lang w:eastAsia="zh-CN" w:bidi="ar-SA"/>
              </w:rPr>
              <w:t>②资金分配额度是否合理，与项目单位或地方实际是否相适应。</w:t>
            </w:r>
          </w:p>
        </w:tc>
        <w:tc>
          <w:tcPr>
            <w:tcW w:w="0" w:type="auto"/>
            <w:vMerge w:val="continue"/>
            <w:tcBorders>
              <w:top w:val="nil"/>
              <w:left w:val="single" w:color="auto" w:sz="4" w:space="0"/>
              <w:bottom w:val="single" w:color="000000" w:sz="4" w:space="0"/>
              <w:right w:val="single" w:color="auto" w:sz="4" w:space="0"/>
            </w:tcBorders>
            <w:vAlign w:val="center"/>
          </w:tcPr>
          <w:p>
            <w:pPr>
              <w:widowControl/>
              <w:rPr>
                <w:rFonts w:ascii="等线" w:hAnsi="等线" w:eastAsia="等线" w:cs="宋体"/>
                <w:sz w:val="16"/>
                <w:szCs w:val="16"/>
                <w:lang w:eastAsia="zh-CN" w:bidi="ar-SA"/>
              </w:rPr>
            </w:pPr>
          </w:p>
        </w:tc>
      </w:tr>
      <w:tr>
        <w:tblPrEx>
          <w:tblCellMar>
            <w:top w:w="0" w:type="dxa"/>
            <w:left w:w="108" w:type="dxa"/>
            <w:bottom w:w="0" w:type="dxa"/>
            <w:right w:w="108" w:type="dxa"/>
          </w:tblCellMar>
        </w:tblPrEx>
        <w:trPr>
          <w:trHeight w:val="300" w:hRule="atLeast"/>
        </w:trPr>
        <w:tc>
          <w:tcPr>
            <w:tcW w:w="0" w:type="auto"/>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sz w:val="16"/>
                <w:szCs w:val="16"/>
                <w:lang w:eastAsia="zh-CN" w:bidi="ar-SA"/>
              </w:rPr>
            </w:pPr>
            <w:r>
              <w:rPr>
                <w:rFonts w:hint="eastAsia" w:ascii="宋体" w:hAnsi="宋体" w:eastAsia="宋体" w:cs="宋体"/>
                <w:sz w:val="16"/>
                <w:szCs w:val="16"/>
                <w:lang w:eastAsia="zh-CN" w:bidi="ar-SA"/>
              </w:rPr>
              <w:t>过程</w:t>
            </w:r>
          </w:p>
        </w:tc>
        <w:tc>
          <w:tcPr>
            <w:tcW w:w="0" w:type="auto"/>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sz w:val="16"/>
                <w:szCs w:val="16"/>
                <w:lang w:eastAsia="zh-CN" w:bidi="ar-SA"/>
              </w:rPr>
            </w:pPr>
            <w:r>
              <w:rPr>
                <w:rFonts w:hint="eastAsia" w:ascii="宋体" w:hAnsi="宋体" w:eastAsia="宋体" w:cs="宋体"/>
                <w:sz w:val="16"/>
                <w:szCs w:val="16"/>
                <w:lang w:eastAsia="zh-CN" w:bidi="ar-SA"/>
              </w:rPr>
              <w:t>资金管理（2分）</w:t>
            </w:r>
          </w:p>
        </w:tc>
        <w:tc>
          <w:tcPr>
            <w:tcW w:w="0" w:type="auto"/>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sz w:val="16"/>
                <w:szCs w:val="16"/>
                <w:lang w:eastAsia="zh-CN" w:bidi="ar-SA"/>
              </w:rPr>
            </w:pPr>
            <w:r>
              <w:rPr>
                <w:rFonts w:hint="eastAsia" w:ascii="宋体" w:hAnsi="宋体" w:eastAsia="宋体" w:cs="宋体"/>
                <w:sz w:val="16"/>
                <w:szCs w:val="16"/>
                <w:lang w:eastAsia="zh-CN" w:bidi="ar-SA"/>
              </w:rPr>
              <w:t>资金到位率（0.5分）</w:t>
            </w:r>
          </w:p>
        </w:tc>
        <w:tc>
          <w:tcPr>
            <w:tcW w:w="0" w:type="auto"/>
            <w:vMerge w:val="restart"/>
            <w:tcBorders>
              <w:top w:val="nil"/>
              <w:left w:val="single" w:color="auto" w:sz="4" w:space="0"/>
              <w:bottom w:val="single" w:color="auto" w:sz="4" w:space="0"/>
              <w:right w:val="single" w:color="auto" w:sz="4" w:space="0"/>
            </w:tcBorders>
            <w:shd w:val="clear" w:color="000000" w:fill="FFFFFF"/>
            <w:vAlign w:val="center"/>
          </w:tcPr>
          <w:p>
            <w:pPr>
              <w:widowControl/>
              <w:jc w:val="both"/>
              <w:rPr>
                <w:rFonts w:ascii="宋体" w:hAnsi="宋体" w:eastAsia="宋体" w:cs="宋体"/>
                <w:sz w:val="16"/>
                <w:szCs w:val="16"/>
                <w:lang w:eastAsia="zh-CN" w:bidi="ar-SA"/>
              </w:rPr>
            </w:pPr>
            <w:r>
              <w:rPr>
                <w:rFonts w:hint="eastAsia" w:ascii="宋体" w:hAnsi="宋体" w:eastAsia="宋体" w:cs="宋体"/>
                <w:sz w:val="16"/>
                <w:szCs w:val="16"/>
                <w:lang w:eastAsia="zh-CN" w:bidi="ar-SA"/>
              </w:rPr>
              <w:t>实际到位资金与预算资金的比率，用以反映和考核资金落实情况对项目实施的总体保障程度。</w:t>
            </w:r>
          </w:p>
        </w:tc>
        <w:tc>
          <w:tcPr>
            <w:tcW w:w="0" w:type="auto"/>
            <w:tcBorders>
              <w:top w:val="nil"/>
              <w:left w:val="nil"/>
              <w:bottom w:val="single" w:color="auto" w:sz="4" w:space="0"/>
              <w:right w:val="single" w:color="auto" w:sz="4" w:space="0"/>
            </w:tcBorders>
            <w:shd w:val="clear" w:color="000000" w:fill="FFFFFF"/>
            <w:vAlign w:val="center"/>
          </w:tcPr>
          <w:p>
            <w:pPr>
              <w:widowControl/>
              <w:jc w:val="both"/>
              <w:rPr>
                <w:rFonts w:ascii="宋体" w:hAnsi="宋体" w:eastAsia="宋体" w:cs="宋体"/>
                <w:sz w:val="16"/>
                <w:szCs w:val="16"/>
                <w:lang w:eastAsia="zh-CN" w:bidi="ar-SA"/>
              </w:rPr>
            </w:pPr>
            <w:r>
              <w:rPr>
                <w:rFonts w:hint="eastAsia" w:ascii="宋体" w:hAnsi="宋体" w:eastAsia="宋体" w:cs="宋体"/>
                <w:sz w:val="16"/>
                <w:szCs w:val="16"/>
                <w:lang w:eastAsia="zh-CN" w:bidi="ar-SA"/>
              </w:rPr>
              <w:t>资金到位率=（实际到位资金/预算资金）×100%。</w:t>
            </w:r>
          </w:p>
        </w:tc>
        <w:tc>
          <w:tcPr>
            <w:tcW w:w="0" w:type="auto"/>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等线" w:hAnsi="等线" w:eastAsia="等线" w:cs="宋体"/>
                <w:sz w:val="16"/>
                <w:szCs w:val="16"/>
                <w:lang w:eastAsia="zh-CN" w:bidi="ar-SA"/>
              </w:rPr>
            </w:pPr>
            <w:r>
              <w:rPr>
                <w:rFonts w:hint="eastAsia" w:ascii="等线" w:hAnsi="等线" w:eastAsia="等线" w:cs="宋体"/>
                <w:sz w:val="16"/>
                <w:szCs w:val="16"/>
                <w:lang w:eastAsia="zh-CN" w:bidi="ar-SA"/>
              </w:rPr>
              <w:t>0.5</w:t>
            </w:r>
          </w:p>
        </w:tc>
      </w:tr>
      <w:tr>
        <w:tblPrEx>
          <w:tblCellMar>
            <w:top w:w="0" w:type="dxa"/>
            <w:left w:w="108" w:type="dxa"/>
            <w:bottom w:w="0" w:type="dxa"/>
            <w:right w:w="108" w:type="dxa"/>
          </w:tblCellMar>
        </w:tblPrEx>
        <w:trPr>
          <w:trHeight w:val="30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tcBorders>
              <w:top w:val="nil"/>
              <w:left w:val="nil"/>
              <w:bottom w:val="single" w:color="auto" w:sz="4" w:space="0"/>
              <w:right w:val="single" w:color="auto" w:sz="4" w:space="0"/>
            </w:tcBorders>
            <w:shd w:val="clear" w:color="000000" w:fill="FFFFFF"/>
            <w:vAlign w:val="center"/>
          </w:tcPr>
          <w:p>
            <w:pPr>
              <w:widowControl/>
              <w:jc w:val="both"/>
              <w:rPr>
                <w:rFonts w:ascii="宋体" w:hAnsi="宋体" w:eastAsia="宋体" w:cs="宋体"/>
                <w:sz w:val="16"/>
                <w:szCs w:val="16"/>
                <w:lang w:eastAsia="zh-CN" w:bidi="ar-SA"/>
              </w:rPr>
            </w:pPr>
            <w:r>
              <w:rPr>
                <w:rFonts w:hint="eastAsia" w:ascii="宋体" w:hAnsi="宋体" w:eastAsia="宋体" w:cs="宋体"/>
                <w:sz w:val="16"/>
                <w:szCs w:val="16"/>
                <w:lang w:eastAsia="zh-CN" w:bidi="ar-SA"/>
              </w:rPr>
              <w:t>实际到位资金：一定时期（本年度或项目期）内落实到具体项目的资金。</w:t>
            </w:r>
          </w:p>
        </w:tc>
        <w:tc>
          <w:tcPr>
            <w:tcW w:w="0" w:type="auto"/>
            <w:vMerge w:val="continue"/>
            <w:tcBorders>
              <w:top w:val="nil"/>
              <w:left w:val="single" w:color="auto" w:sz="4" w:space="0"/>
              <w:bottom w:val="single" w:color="000000" w:sz="4" w:space="0"/>
              <w:right w:val="single" w:color="auto" w:sz="4" w:space="0"/>
            </w:tcBorders>
            <w:vAlign w:val="center"/>
          </w:tcPr>
          <w:p>
            <w:pPr>
              <w:widowControl/>
              <w:rPr>
                <w:rFonts w:ascii="等线" w:hAnsi="等线" w:eastAsia="等线" w:cs="宋体"/>
                <w:sz w:val="16"/>
                <w:szCs w:val="16"/>
                <w:lang w:eastAsia="zh-CN" w:bidi="ar-SA"/>
              </w:rPr>
            </w:pPr>
          </w:p>
        </w:tc>
      </w:tr>
      <w:tr>
        <w:tblPrEx>
          <w:tblCellMar>
            <w:top w:w="0" w:type="dxa"/>
            <w:left w:w="108" w:type="dxa"/>
            <w:bottom w:w="0" w:type="dxa"/>
            <w:right w:w="108" w:type="dxa"/>
          </w:tblCellMar>
        </w:tblPrEx>
        <w:trPr>
          <w:trHeight w:val="30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tcBorders>
              <w:top w:val="nil"/>
              <w:left w:val="nil"/>
              <w:bottom w:val="single" w:color="auto" w:sz="4" w:space="0"/>
              <w:right w:val="single" w:color="auto" w:sz="4" w:space="0"/>
            </w:tcBorders>
            <w:shd w:val="clear" w:color="000000" w:fill="FFFFFF"/>
            <w:vAlign w:val="center"/>
          </w:tcPr>
          <w:p>
            <w:pPr>
              <w:widowControl/>
              <w:jc w:val="both"/>
              <w:rPr>
                <w:rFonts w:ascii="宋体" w:hAnsi="宋体" w:eastAsia="宋体" w:cs="宋体"/>
                <w:sz w:val="16"/>
                <w:szCs w:val="16"/>
                <w:lang w:eastAsia="zh-CN" w:bidi="ar-SA"/>
              </w:rPr>
            </w:pPr>
            <w:r>
              <w:rPr>
                <w:rFonts w:hint="eastAsia" w:ascii="宋体" w:hAnsi="宋体" w:eastAsia="宋体" w:cs="宋体"/>
                <w:sz w:val="16"/>
                <w:szCs w:val="16"/>
                <w:lang w:eastAsia="zh-CN" w:bidi="ar-SA"/>
              </w:rPr>
              <w:t>预算资金：一定时期（本年度或项目期）内预算安排到具体项目的资金。</w:t>
            </w:r>
          </w:p>
        </w:tc>
        <w:tc>
          <w:tcPr>
            <w:tcW w:w="0" w:type="auto"/>
            <w:vMerge w:val="continue"/>
            <w:tcBorders>
              <w:top w:val="nil"/>
              <w:left w:val="single" w:color="auto" w:sz="4" w:space="0"/>
              <w:bottom w:val="single" w:color="000000" w:sz="4" w:space="0"/>
              <w:right w:val="single" w:color="auto" w:sz="4" w:space="0"/>
            </w:tcBorders>
            <w:vAlign w:val="center"/>
          </w:tcPr>
          <w:p>
            <w:pPr>
              <w:widowControl/>
              <w:rPr>
                <w:rFonts w:ascii="等线" w:hAnsi="等线" w:eastAsia="等线" w:cs="宋体"/>
                <w:sz w:val="16"/>
                <w:szCs w:val="16"/>
                <w:lang w:eastAsia="zh-CN" w:bidi="ar-SA"/>
              </w:rPr>
            </w:pPr>
          </w:p>
        </w:tc>
      </w:tr>
      <w:tr>
        <w:tblPrEx>
          <w:tblCellMar>
            <w:top w:w="0" w:type="dxa"/>
            <w:left w:w="108" w:type="dxa"/>
            <w:bottom w:w="0" w:type="dxa"/>
            <w:right w:w="108" w:type="dxa"/>
          </w:tblCellMar>
        </w:tblPrEx>
        <w:trPr>
          <w:trHeight w:val="30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sz w:val="16"/>
                <w:szCs w:val="16"/>
                <w:lang w:eastAsia="zh-CN" w:bidi="ar-SA"/>
              </w:rPr>
            </w:pPr>
            <w:r>
              <w:rPr>
                <w:rFonts w:hint="eastAsia" w:ascii="宋体" w:hAnsi="宋体" w:eastAsia="宋体" w:cs="宋体"/>
                <w:sz w:val="16"/>
                <w:szCs w:val="16"/>
                <w:lang w:eastAsia="zh-CN" w:bidi="ar-SA"/>
              </w:rPr>
              <w:t>预算执行率（1分）</w:t>
            </w:r>
          </w:p>
        </w:tc>
        <w:tc>
          <w:tcPr>
            <w:tcW w:w="0" w:type="auto"/>
            <w:vMerge w:val="restart"/>
            <w:tcBorders>
              <w:top w:val="nil"/>
              <w:left w:val="single" w:color="auto" w:sz="4" w:space="0"/>
              <w:bottom w:val="single" w:color="auto" w:sz="4" w:space="0"/>
              <w:right w:val="single" w:color="auto" w:sz="4" w:space="0"/>
            </w:tcBorders>
            <w:shd w:val="clear" w:color="000000" w:fill="FFFFFF"/>
            <w:vAlign w:val="center"/>
          </w:tcPr>
          <w:p>
            <w:pPr>
              <w:widowControl/>
              <w:jc w:val="both"/>
              <w:rPr>
                <w:rFonts w:ascii="宋体" w:hAnsi="宋体" w:eastAsia="宋体" w:cs="宋体"/>
                <w:sz w:val="16"/>
                <w:szCs w:val="16"/>
                <w:lang w:eastAsia="zh-CN" w:bidi="ar-SA"/>
              </w:rPr>
            </w:pPr>
            <w:r>
              <w:rPr>
                <w:rFonts w:hint="eastAsia" w:ascii="宋体" w:hAnsi="宋体" w:eastAsia="宋体" w:cs="宋体"/>
                <w:sz w:val="16"/>
                <w:szCs w:val="16"/>
                <w:lang w:eastAsia="zh-CN" w:bidi="ar-SA"/>
              </w:rPr>
              <w:t>项目预算资金是否按照计划执行，用以反映或考核项目预算执行情况。</w:t>
            </w:r>
          </w:p>
        </w:tc>
        <w:tc>
          <w:tcPr>
            <w:tcW w:w="0" w:type="auto"/>
            <w:tcBorders>
              <w:top w:val="nil"/>
              <w:left w:val="nil"/>
              <w:bottom w:val="single" w:color="auto" w:sz="4" w:space="0"/>
              <w:right w:val="single" w:color="auto" w:sz="4" w:space="0"/>
            </w:tcBorders>
            <w:shd w:val="clear" w:color="000000" w:fill="FFFFFF"/>
            <w:vAlign w:val="center"/>
          </w:tcPr>
          <w:p>
            <w:pPr>
              <w:widowControl/>
              <w:jc w:val="both"/>
              <w:rPr>
                <w:rFonts w:ascii="宋体" w:hAnsi="宋体" w:eastAsia="宋体" w:cs="宋体"/>
                <w:sz w:val="16"/>
                <w:szCs w:val="16"/>
                <w:lang w:eastAsia="zh-CN" w:bidi="ar-SA"/>
              </w:rPr>
            </w:pPr>
            <w:r>
              <w:rPr>
                <w:rFonts w:hint="eastAsia" w:ascii="宋体" w:hAnsi="宋体" w:eastAsia="宋体" w:cs="宋体"/>
                <w:sz w:val="16"/>
                <w:szCs w:val="16"/>
                <w:lang w:eastAsia="zh-CN" w:bidi="ar-SA"/>
              </w:rPr>
              <w:t>预算执行率=（实际支出资金/实际到位资金）×100%。</w:t>
            </w:r>
          </w:p>
        </w:tc>
        <w:tc>
          <w:tcPr>
            <w:tcW w:w="0" w:type="auto"/>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等线" w:hAnsi="等线" w:eastAsia="等线" w:cs="宋体"/>
                <w:sz w:val="16"/>
                <w:szCs w:val="16"/>
                <w:lang w:eastAsia="zh-CN" w:bidi="ar-SA"/>
              </w:rPr>
            </w:pPr>
            <w:r>
              <w:rPr>
                <w:rFonts w:hint="eastAsia" w:ascii="等线" w:hAnsi="等线" w:eastAsia="等线" w:cs="宋体"/>
                <w:sz w:val="16"/>
                <w:szCs w:val="16"/>
                <w:lang w:eastAsia="zh-CN" w:bidi="ar-SA"/>
              </w:rPr>
              <w:t>1</w:t>
            </w:r>
          </w:p>
        </w:tc>
      </w:tr>
      <w:tr>
        <w:tblPrEx>
          <w:tblCellMar>
            <w:top w:w="0" w:type="dxa"/>
            <w:left w:w="108" w:type="dxa"/>
            <w:bottom w:w="0" w:type="dxa"/>
            <w:right w:w="108" w:type="dxa"/>
          </w:tblCellMar>
        </w:tblPrEx>
        <w:trPr>
          <w:trHeight w:val="30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tcBorders>
              <w:top w:val="nil"/>
              <w:left w:val="nil"/>
              <w:bottom w:val="single" w:color="auto" w:sz="4" w:space="0"/>
              <w:right w:val="single" w:color="auto" w:sz="4" w:space="0"/>
            </w:tcBorders>
            <w:shd w:val="clear" w:color="000000" w:fill="FFFFFF"/>
            <w:vAlign w:val="center"/>
          </w:tcPr>
          <w:p>
            <w:pPr>
              <w:widowControl/>
              <w:jc w:val="both"/>
              <w:rPr>
                <w:rFonts w:ascii="宋体" w:hAnsi="宋体" w:eastAsia="宋体" w:cs="宋体"/>
                <w:sz w:val="16"/>
                <w:szCs w:val="16"/>
                <w:lang w:eastAsia="zh-CN" w:bidi="ar-SA"/>
              </w:rPr>
            </w:pPr>
            <w:r>
              <w:rPr>
                <w:rFonts w:hint="eastAsia" w:ascii="宋体" w:hAnsi="宋体" w:eastAsia="宋体" w:cs="宋体"/>
                <w:sz w:val="16"/>
                <w:szCs w:val="16"/>
                <w:lang w:eastAsia="zh-CN" w:bidi="ar-SA"/>
              </w:rPr>
              <w:t>实际支出资金：一定时期（本年度或项目期）内项目实际拨付的资金。</w:t>
            </w:r>
          </w:p>
        </w:tc>
        <w:tc>
          <w:tcPr>
            <w:tcW w:w="0" w:type="auto"/>
            <w:vMerge w:val="continue"/>
            <w:tcBorders>
              <w:top w:val="nil"/>
              <w:left w:val="single" w:color="auto" w:sz="4" w:space="0"/>
              <w:bottom w:val="single" w:color="000000" w:sz="4" w:space="0"/>
              <w:right w:val="single" w:color="auto" w:sz="4" w:space="0"/>
            </w:tcBorders>
            <w:vAlign w:val="center"/>
          </w:tcPr>
          <w:p>
            <w:pPr>
              <w:widowControl/>
              <w:rPr>
                <w:rFonts w:ascii="等线" w:hAnsi="等线" w:eastAsia="等线" w:cs="宋体"/>
                <w:sz w:val="16"/>
                <w:szCs w:val="16"/>
                <w:lang w:eastAsia="zh-CN" w:bidi="ar-SA"/>
              </w:rPr>
            </w:pPr>
          </w:p>
        </w:tc>
      </w:tr>
      <w:tr>
        <w:tblPrEx>
          <w:tblCellMar>
            <w:top w:w="0" w:type="dxa"/>
            <w:left w:w="108" w:type="dxa"/>
            <w:bottom w:w="0" w:type="dxa"/>
            <w:right w:w="108" w:type="dxa"/>
          </w:tblCellMar>
        </w:tblPrEx>
        <w:trPr>
          <w:trHeight w:val="30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sz w:val="16"/>
                <w:szCs w:val="16"/>
                <w:lang w:eastAsia="zh-CN" w:bidi="ar-SA"/>
              </w:rPr>
            </w:pPr>
            <w:r>
              <w:rPr>
                <w:rFonts w:hint="eastAsia" w:ascii="宋体" w:hAnsi="宋体" w:eastAsia="宋体" w:cs="宋体"/>
                <w:sz w:val="16"/>
                <w:szCs w:val="16"/>
                <w:lang w:eastAsia="zh-CN" w:bidi="ar-SA"/>
              </w:rPr>
              <w:t>资金使用</w:t>
            </w:r>
          </w:p>
          <w:p>
            <w:pPr>
              <w:widowControl/>
              <w:jc w:val="center"/>
              <w:rPr>
                <w:rFonts w:ascii="宋体" w:hAnsi="宋体" w:eastAsia="宋体" w:cs="宋体"/>
                <w:sz w:val="16"/>
                <w:szCs w:val="16"/>
                <w:lang w:eastAsia="zh-CN" w:bidi="ar-SA"/>
              </w:rPr>
            </w:pPr>
            <w:r>
              <w:rPr>
                <w:rFonts w:hint="eastAsia" w:ascii="宋体" w:hAnsi="宋体" w:eastAsia="宋体" w:cs="宋体"/>
                <w:sz w:val="16"/>
                <w:szCs w:val="16"/>
                <w:lang w:eastAsia="zh-CN" w:bidi="ar-SA"/>
              </w:rPr>
              <w:t>合规性（0.5分）</w:t>
            </w:r>
          </w:p>
        </w:tc>
        <w:tc>
          <w:tcPr>
            <w:tcW w:w="0" w:type="auto"/>
            <w:vMerge w:val="restart"/>
            <w:tcBorders>
              <w:top w:val="nil"/>
              <w:left w:val="single" w:color="auto" w:sz="4" w:space="0"/>
              <w:bottom w:val="single" w:color="auto" w:sz="4" w:space="0"/>
              <w:right w:val="single" w:color="auto" w:sz="4" w:space="0"/>
            </w:tcBorders>
            <w:shd w:val="clear" w:color="000000" w:fill="FFFFFF"/>
            <w:vAlign w:val="center"/>
          </w:tcPr>
          <w:p>
            <w:pPr>
              <w:widowControl/>
              <w:jc w:val="both"/>
              <w:rPr>
                <w:rFonts w:ascii="宋体" w:hAnsi="宋体" w:eastAsia="宋体" w:cs="宋体"/>
                <w:sz w:val="16"/>
                <w:szCs w:val="16"/>
                <w:lang w:eastAsia="zh-CN" w:bidi="ar-SA"/>
              </w:rPr>
            </w:pPr>
            <w:r>
              <w:rPr>
                <w:rFonts w:hint="eastAsia" w:ascii="宋体" w:hAnsi="宋体" w:eastAsia="宋体" w:cs="宋体"/>
                <w:sz w:val="16"/>
                <w:szCs w:val="16"/>
                <w:lang w:eastAsia="zh-CN" w:bidi="ar-SA"/>
              </w:rPr>
              <w:t>项目资金使用是否符合相关的财务管理制度规定，用以反映和考核项目资金的规范运行情况。</w:t>
            </w:r>
          </w:p>
        </w:tc>
        <w:tc>
          <w:tcPr>
            <w:tcW w:w="0" w:type="auto"/>
            <w:tcBorders>
              <w:top w:val="nil"/>
              <w:left w:val="nil"/>
              <w:bottom w:val="single" w:color="auto" w:sz="4" w:space="0"/>
              <w:right w:val="single" w:color="auto" w:sz="4" w:space="0"/>
            </w:tcBorders>
            <w:shd w:val="clear" w:color="000000" w:fill="FFFFFF"/>
            <w:vAlign w:val="center"/>
          </w:tcPr>
          <w:p>
            <w:pPr>
              <w:widowControl/>
              <w:jc w:val="both"/>
              <w:rPr>
                <w:rFonts w:ascii="宋体" w:hAnsi="宋体" w:eastAsia="宋体" w:cs="宋体"/>
                <w:sz w:val="16"/>
                <w:szCs w:val="16"/>
                <w:lang w:eastAsia="zh-CN" w:bidi="ar-SA"/>
              </w:rPr>
            </w:pPr>
            <w:r>
              <w:rPr>
                <w:rFonts w:hint="eastAsia" w:ascii="宋体" w:hAnsi="宋体" w:eastAsia="宋体" w:cs="宋体"/>
                <w:sz w:val="16"/>
                <w:szCs w:val="16"/>
                <w:lang w:eastAsia="zh-CN" w:bidi="ar-SA"/>
              </w:rPr>
              <w:t>评价要点：</w:t>
            </w:r>
          </w:p>
        </w:tc>
        <w:tc>
          <w:tcPr>
            <w:tcW w:w="0" w:type="auto"/>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等线" w:hAnsi="等线" w:eastAsia="等线" w:cs="宋体"/>
                <w:sz w:val="16"/>
                <w:szCs w:val="16"/>
                <w:lang w:eastAsia="zh-CN" w:bidi="ar-SA"/>
              </w:rPr>
            </w:pPr>
            <w:r>
              <w:rPr>
                <w:rFonts w:hint="eastAsia" w:ascii="等线" w:hAnsi="等线" w:eastAsia="等线" w:cs="宋体"/>
                <w:sz w:val="16"/>
                <w:szCs w:val="16"/>
                <w:lang w:eastAsia="zh-CN" w:bidi="ar-SA"/>
              </w:rPr>
              <w:t>0.5</w:t>
            </w:r>
          </w:p>
        </w:tc>
      </w:tr>
      <w:tr>
        <w:tblPrEx>
          <w:tblCellMar>
            <w:top w:w="0" w:type="dxa"/>
            <w:left w:w="108" w:type="dxa"/>
            <w:bottom w:w="0" w:type="dxa"/>
            <w:right w:w="108" w:type="dxa"/>
          </w:tblCellMar>
        </w:tblPrEx>
        <w:trPr>
          <w:trHeight w:val="30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tcBorders>
              <w:top w:val="nil"/>
              <w:left w:val="nil"/>
              <w:bottom w:val="single" w:color="auto" w:sz="4" w:space="0"/>
              <w:right w:val="single" w:color="auto" w:sz="4" w:space="0"/>
            </w:tcBorders>
            <w:shd w:val="clear" w:color="000000" w:fill="FFFFFF"/>
            <w:vAlign w:val="center"/>
          </w:tcPr>
          <w:p>
            <w:pPr>
              <w:widowControl/>
              <w:jc w:val="both"/>
              <w:rPr>
                <w:rFonts w:ascii="宋体" w:hAnsi="宋体" w:eastAsia="宋体" w:cs="宋体"/>
                <w:sz w:val="16"/>
                <w:szCs w:val="16"/>
                <w:lang w:eastAsia="zh-CN" w:bidi="ar-SA"/>
              </w:rPr>
            </w:pPr>
            <w:r>
              <w:rPr>
                <w:rFonts w:hint="eastAsia" w:ascii="宋体" w:hAnsi="宋体" w:eastAsia="宋体" w:cs="宋体"/>
                <w:sz w:val="16"/>
                <w:szCs w:val="16"/>
                <w:lang w:eastAsia="zh-CN" w:bidi="ar-SA"/>
              </w:rPr>
              <w:t>①是否符合国家财经法规和财务管理制度以及有关专项资金管理办法的规定；</w:t>
            </w:r>
          </w:p>
        </w:tc>
        <w:tc>
          <w:tcPr>
            <w:tcW w:w="0" w:type="auto"/>
            <w:vMerge w:val="continue"/>
            <w:tcBorders>
              <w:top w:val="nil"/>
              <w:left w:val="single" w:color="auto" w:sz="4" w:space="0"/>
              <w:bottom w:val="single" w:color="000000" w:sz="4" w:space="0"/>
              <w:right w:val="single" w:color="auto" w:sz="4" w:space="0"/>
            </w:tcBorders>
            <w:vAlign w:val="center"/>
          </w:tcPr>
          <w:p>
            <w:pPr>
              <w:widowControl/>
              <w:rPr>
                <w:rFonts w:ascii="等线" w:hAnsi="等线" w:eastAsia="等线" w:cs="宋体"/>
                <w:sz w:val="16"/>
                <w:szCs w:val="16"/>
                <w:lang w:eastAsia="zh-CN" w:bidi="ar-SA"/>
              </w:rPr>
            </w:pPr>
          </w:p>
        </w:tc>
      </w:tr>
      <w:tr>
        <w:tblPrEx>
          <w:tblCellMar>
            <w:top w:w="0" w:type="dxa"/>
            <w:left w:w="108" w:type="dxa"/>
            <w:bottom w:w="0" w:type="dxa"/>
            <w:right w:w="108" w:type="dxa"/>
          </w:tblCellMar>
        </w:tblPrEx>
        <w:trPr>
          <w:trHeight w:val="30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tcBorders>
              <w:top w:val="nil"/>
              <w:left w:val="nil"/>
              <w:bottom w:val="single" w:color="auto" w:sz="4" w:space="0"/>
              <w:right w:val="single" w:color="auto" w:sz="4" w:space="0"/>
            </w:tcBorders>
            <w:shd w:val="clear" w:color="000000" w:fill="FFFFFF"/>
            <w:vAlign w:val="center"/>
          </w:tcPr>
          <w:p>
            <w:pPr>
              <w:widowControl/>
              <w:jc w:val="both"/>
              <w:rPr>
                <w:rFonts w:ascii="宋体" w:hAnsi="宋体" w:eastAsia="宋体" w:cs="宋体"/>
                <w:sz w:val="16"/>
                <w:szCs w:val="16"/>
                <w:lang w:eastAsia="zh-CN" w:bidi="ar-SA"/>
              </w:rPr>
            </w:pPr>
            <w:r>
              <w:rPr>
                <w:rFonts w:hint="eastAsia" w:ascii="宋体" w:hAnsi="宋体" w:eastAsia="宋体" w:cs="宋体"/>
                <w:sz w:val="16"/>
                <w:szCs w:val="16"/>
                <w:lang w:eastAsia="zh-CN" w:bidi="ar-SA"/>
              </w:rPr>
              <w:t>②资金的拨付是否有完整的审批程序和手续；</w:t>
            </w:r>
          </w:p>
        </w:tc>
        <w:tc>
          <w:tcPr>
            <w:tcW w:w="0" w:type="auto"/>
            <w:vMerge w:val="continue"/>
            <w:tcBorders>
              <w:top w:val="nil"/>
              <w:left w:val="single" w:color="auto" w:sz="4" w:space="0"/>
              <w:bottom w:val="single" w:color="000000" w:sz="4" w:space="0"/>
              <w:right w:val="single" w:color="auto" w:sz="4" w:space="0"/>
            </w:tcBorders>
            <w:vAlign w:val="center"/>
          </w:tcPr>
          <w:p>
            <w:pPr>
              <w:widowControl/>
              <w:rPr>
                <w:rFonts w:ascii="等线" w:hAnsi="等线" w:eastAsia="等线" w:cs="宋体"/>
                <w:sz w:val="16"/>
                <w:szCs w:val="16"/>
                <w:lang w:eastAsia="zh-CN" w:bidi="ar-SA"/>
              </w:rPr>
            </w:pPr>
          </w:p>
        </w:tc>
      </w:tr>
      <w:tr>
        <w:tblPrEx>
          <w:tblCellMar>
            <w:top w:w="0" w:type="dxa"/>
            <w:left w:w="108" w:type="dxa"/>
            <w:bottom w:w="0" w:type="dxa"/>
            <w:right w:w="108" w:type="dxa"/>
          </w:tblCellMar>
        </w:tblPrEx>
        <w:trPr>
          <w:trHeight w:val="30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tcBorders>
              <w:top w:val="nil"/>
              <w:left w:val="nil"/>
              <w:bottom w:val="single" w:color="auto" w:sz="4" w:space="0"/>
              <w:right w:val="single" w:color="auto" w:sz="4" w:space="0"/>
            </w:tcBorders>
            <w:shd w:val="clear" w:color="000000" w:fill="FFFFFF"/>
            <w:vAlign w:val="center"/>
          </w:tcPr>
          <w:p>
            <w:pPr>
              <w:widowControl/>
              <w:jc w:val="both"/>
              <w:rPr>
                <w:rFonts w:ascii="宋体" w:hAnsi="宋体" w:eastAsia="宋体" w:cs="宋体"/>
                <w:sz w:val="16"/>
                <w:szCs w:val="16"/>
                <w:lang w:eastAsia="zh-CN" w:bidi="ar-SA"/>
              </w:rPr>
            </w:pPr>
            <w:r>
              <w:rPr>
                <w:rFonts w:hint="eastAsia" w:ascii="宋体" w:hAnsi="宋体" w:eastAsia="宋体" w:cs="宋体"/>
                <w:sz w:val="16"/>
                <w:szCs w:val="16"/>
                <w:lang w:eastAsia="zh-CN" w:bidi="ar-SA"/>
              </w:rPr>
              <w:t>③是否符合项目预算批复或合同规定的用途；</w:t>
            </w:r>
          </w:p>
        </w:tc>
        <w:tc>
          <w:tcPr>
            <w:tcW w:w="0" w:type="auto"/>
            <w:vMerge w:val="continue"/>
            <w:tcBorders>
              <w:top w:val="nil"/>
              <w:left w:val="single" w:color="auto" w:sz="4" w:space="0"/>
              <w:bottom w:val="single" w:color="000000" w:sz="4" w:space="0"/>
              <w:right w:val="single" w:color="auto" w:sz="4" w:space="0"/>
            </w:tcBorders>
            <w:vAlign w:val="center"/>
          </w:tcPr>
          <w:p>
            <w:pPr>
              <w:widowControl/>
              <w:rPr>
                <w:rFonts w:ascii="等线" w:hAnsi="等线" w:eastAsia="等线" w:cs="宋体"/>
                <w:sz w:val="16"/>
                <w:szCs w:val="16"/>
                <w:lang w:eastAsia="zh-CN" w:bidi="ar-SA"/>
              </w:rPr>
            </w:pPr>
          </w:p>
        </w:tc>
      </w:tr>
      <w:tr>
        <w:tblPrEx>
          <w:tblCellMar>
            <w:top w:w="0" w:type="dxa"/>
            <w:left w:w="108" w:type="dxa"/>
            <w:bottom w:w="0" w:type="dxa"/>
            <w:right w:w="108" w:type="dxa"/>
          </w:tblCellMar>
        </w:tblPrEx>
        <w:trPr>
          <w:trHeight w:val="30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tcBorders>
              <w:top w:val="nil"/>
              <w:left w:val="nil"/>
              <w:bottom w:val="single" w:color="auto" w:sz="4" w:space="0"/>
              <w:right w:val="single" w:color="auto" w:sz="4" w:space="0"/>
            </w:tcBorders>
            <w:shd w:val="clear" w:color="000000" w:fill="FFFFFF"/>
            <w:vAlign w:val="center"/>
          </w:tcPr>
          <w:p>
            <w:pPr>
              <w:widowControl/>
              <w:jc w:val="both"/>
              <w:rPr>
                <w:rFonts w:ascii="宋体" w:hAnsi="宋体" w:eastAsia="宋体" w:cs="宋体"/>
                <w:sz w:val="16"/>
                <w:szCs w:val="16"/>
                <w:lang w:eastAsia="zh-CN" w:bidi="ar-SA"/>
              </w:rPr>
            </w:pPr>
            <w:r>
              <w:rPr>
                <w:rFonts w:hint="eastAsia" w:ascii="宋体" w:hAnsi="宋体" w:eastAsia="宋体" w:cs="宋体"/>
                <w:sz w:val="16"/>
                <w:szCs w:val="16"/>
                <w:lang w:eastAsia="zh-CN" w:bidi="ar-SA"/>
              </w:rPr>
              <w:t>④是否存在截留、挤占、挪用、虚列支出等情况。</w:t>
            </w:r>
          </w:p>
        </w:tc>
        <w:tc>
          <w:tcPr>
            <w:tcW w:w="0" w:type="auto"/>
            <w:vMerge w:val="continue"/>
            <w:tcBorders>
              <w:top w:val="nil"/>
              <w:left w:val="single" w:color="auto" w:sz="4" w:space="0"/>
              <w:bottom w:val="single" w:color="000000" w:sz="4" w:space="0"/>
              <w:right w:val="single" w:color="auto" w:sz="4" w:space="0"/>
            </w:tcBorders>
            <w:vAlign w:val="center"/>
          </w:tcPr>
          <w:p>
            <w:pPr>
              <w:widowControl/>
              <w:rPr>
                <w:rFonts w:ascii="等线" w:hAnsi="等线" w:eastAsia="等线" w:cs="宋体"/>
                <w:sz w:val="16"/>
                <w:szCs w:val="16"/>
                <w:lang w:eastAsia="zh-CN" w:bidi="ar-SA"/>
              </w:rPr>
            </w:pPr>
          </w:p>
        </w:tc>
      </w:tr>
      <w:tr>
        <w:tblPrEx>
          <w:tblCellMar>
            <w:top w:w="0" w:type="dxa"/>
            <w:left w:w="108" w:type="dxa"/>
            <w:bottom w:w="0" w:type="dxa"/>
            <w:right w:w="108" w:type="dxa"/>
          </w:tblCellMar>
        </w:tblPrEx>
        <w:trPr>
          <w:trHeight w:val="30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sz w:val="16"/>
                <w:szCs w:val="16"/>
                <w:lang w:eastAsia="zh-CN" w:bidi="ar-SA"/>
              </w:rPr>
            </w:pPr>
            <w:r>
              <w:rPr>
                <w:rFonts w:hint="eastAsia" w:ascii="宋体" w:hAnsi="宋体" w:eastAsia="宋体" w:cs="宋体"/>
                <w:sz w:val="16"/>
                <w:szCs w:val="16"/>
                <w:lang w:eastAsia="zh-CN" w:bidi="ar-SA"/>
              </w:rPr>
              <w:t>组织实施（2分）</w:t>
            </w:r>
          </w:p>
        </w:tc>
        <w:tc>
          <w:tcPr>
            <w:tcW w:w="0" w:type="auto"/>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sz w:val="16"/>
                <w:szCs w:val="16"/>
                <w:lang w:eastAsia="zh-CN" w:bidi="ar-SA"/>
              </w:rPr>
            </w:pPr>
            <w:r>
              <w:rPr>
                <w:rFonts w:hint="eastAsia" w:ascii="宋体" w:hAnsi="宋体" w:eastAsia="宋体" w:cs="宋体"/>
                <w:sz w:val="16"/>
                <w:szCs w:val="16"/>
                <w:lang w:eastAsia="zh-CN" w:bidi="ar-SA"/>
              </w:rPr>
              <w:t>管理制度</w:t>
            </w:r>
          </w:p>
          <w:p>
            <w:pPr>
              <w:widowControl/>
              <w:jc w:val="center"/>
              <w:rPr>
                <w:rFonts w:ascii="宋体" w:hAnsi="宋体" w:eastAsia="宋体" w:cs="宋体"/>
                <w:sz w:val="16"/>
                <w:szCs w:val="16"/>
                <w:lang w:eastAsia="zh-CN" w:bidi="ar-SA"/>
              </w:rPr>
            </w:pPr>
            <w:r>
              <w:rPr>
                <w:rFonts w:hint="eastAsia" w:ascii="宋体" w:hAnsi="宋体" w:eastAsia="宋体" w:cs="宋体"/>
                <w:sz w:val="16"/>
                <w:szCs w:val="16"/>
                <w:lang w:eastAsia="zh-CN" w:bidi="ar-SA"/>
              </w:rPr>
              <w:t>健全性（1分）</w:t>
            </w:r>
          </w:p>
        </w:tc>
        <w:tc>
          <w:tcPr>
            <w:tcW w:w="0" w:type="auto"/>
            <w:vMerge w:val="restart"/>
            <w:tcBorders>
              <w:top w:val="nil"/>
              <w:left w:val="single" w:color="auto" w:sz="4" w:space="0"/>
              <w:bottom w:val="single" w:color="auto" w:sz="4" w:space="0"/>
              <w:right w:val="single" w:color="auto" w:sz="4" w:space="0"/>
            </w:tcBorders>
            <w:shd w:val="clear" w:color="000000" w:fill="FFFFFF"/>
            <w:vAlign w:val="center"/>
          </w:tcPr>
          <w:p>
            <w:pPr>
              <w:widowControl/>
              <w:jc w:val="both"/>
              <w:rPr>
                <w:rFonts w:ascii="宋体" w:hAnsi="宋体" w:eastAsia="宋体" w:cs="宋体"/>
                <w:sz w:val="16"/>
                <w:szCs w:val="16"/>
                <w:lang w:eastAsia="zh-CN" w:bidi="ar-SA"/>
              </w:rPr>
            </w:pPr>
            <w:r>
              <w:rPr>
                <w:rFonts w:hint="eastAsia" w:ascii="宋体" w:hAnsi="宋体" w:eastAsia="宋体" w:cs="宋体"/>
                <w:sz w:val="16"/>
                <w:szCs w:val="16"/>
                <w:lang w:eastAsia="zh-CN" w:bidi="ar-SA"/>
              </w:rPr>
              <w:t>项目实施单位的财务和业务管理制度是否健全，用以反映和考核财务和业务管理制度对项目顺利实施的保障情况。</w:t>
            </w:r>
          </w:p>
        </w:tc>
        <w:tc>
          <w:tcPr>
            <w:tcW w:w="0" w:type="auto"/>
            <w:tcBorders>
              <w:top w:val="nil"/>
              <w:left w:val="nil"/>
              <w:bottom w:val="single" w:color="auto" w:sz="4" w:space="0"/>
              <w:right w:val="single" w:color="auto" w:sz="4" w:space="0"/>
            </w:tcBorders>
            <w:shd w:val="clear" w:color="000000" w:fill="FFFFFF"/>
            <w:vAlign w:val="center"/>
          </w:tcPr>
          <w:p>
            <w:pPr>
              <w:widowControl/>
              <w:jc w:val="both"/>
              <w:rPr>
                <w:rFonts w:ascii="宋体" w:hAnsi="宋体" w:eastAsia="宋体" w:cs="宋体"/>
                <w:sz w:val="16"/>
                <w:szCs w:val="16"/>
                <w:lang w:eastAsia="zh-CN" w:bidi="ar-SA"/>
              </w:rPr>
            </w:pPr>
            <w:r>
              <w:rPr>
                <w:rFonts w:hint="eastAsia" w:ascii="宋体" w:hAnsi="宋体" w:eastAsia="宋体" w:cs="宋体"/>
                <w:sz w:val="16"/>
                <w:szCs w:val="16"/>
                <w:lang w:eastAsia="zh-CN" w:bidi="ar-SA"/>
              </w:rPr>
              <w:t>评价要点：</w:t>
            </w:r>
          </w:p>
        </w:tc>
        <w:tc>
          <w:tcPr>
            <w:tcW w:w="0" w:type="auto"/>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等线" w:hAnsi="等线" w:eastAsia="等线" w:cs="宋体"/>
                <w:sz w:val="16"/>
                <w:szCs w:val="16"/>
                <w:lang w:eastAsia="zh-CN" w:bidi="ar-SA"/>
              </w:rPr>
            </w:pPr>
            <w:r>
              <w:rPr>
                <w:rFonts w:hint="eastAsia" w:ascii="等线" w:hAnsi="等线" w:eastAsia="等线" w:cs="宋体"/>
                <w:sz w:val="16"/>
                <w:szCs w:val="16"/>
                <w:lang w:eastAsia="zh-CN" w:bidi="ar-SA"/>
              </w:rPr>
              <w:t>1</w:t>
            </w:r>
          </w:p>
        </w:tc>
      </w:tr>
      <w:tr>
        <w:tblPrEx>
          <w:tblCellMar>
            <w:top w:w="0" w:type="dxa"/>
            <w:left w:w="108" w:type="dxa"/>
            <w:bottom w:w="0" w:type="dxa"/>
            <w:right w:w="108" w:type="dxa"/>
          </w:tblCellMar>
        </w:tblPrEx>
        <w:trPr>
          <w:trHeight w:val="30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tcBorders>
              <w:top w:val="nil"/>
              <w:left w:val="nil"/>
              <w:bottom w:val="single" w:color="auto" w:sz="4" w:space="0"/>
              <w:right w:val="single" w:color="auto" w:sz="4" w:space="0"/>
            </w:tcBorders>
            <w:shd w:val="clear" w:color="000000" w:fill="FFFFFF"/>
            <w:vAlign w:val="center"/>
          </w:tcPr>
          <w:p>
            <w:pPr>
              <w:widowControl/>
              <w:jc w:val="both"/>
              <w:rPr>
                <w:rFonts w:ascii="宋体" w:hAnsi="宋体" w:eastAsia="宋体" w:cs="宋体"/>
                <w:sz w:val="16"/>
                <w:szCs w:val="16"/>
                <w:lang w:eastAsia="zh-CN" w:bidi="ar-SA"/>
              </w:rPr>
            </w:pPr>
            <w:r>
              <w:rPr>
                <w:rFonts w:hint="eastAsia" w:ascii="宋体" w:hAnsi="宋体" w:eastAsia="宋体" w:cs="宋体"/>
                <w:sz w:val="16"/>
                <w:szCs w:val="16"/>
                <w:lang w:eastAsia="zh-CN" w:bidi="ar-SA"/>
              </w:rPr>
              <w:t>①是否已制定或具有相应的财务和业务管理制度；</w:t>
            </w:r>
          </w:p>
        </w:tc>
        <w:tc>
          <w:tcPr>
            <w:tcW w:w="0" w:type="auto"/>
            <w:vMerge w:val="continue"/>
            <w:tcBorders>
              <w:top w:val="nil"/>
              <w:left w:val="single" w:color="auto" w:sz="4" w:space="0"/>
              <w:bottom w:val="single" w:color="000000" w:sz="4" w:space="0"/>
              <w:right w:val="single" w:color="auto" w:sz="4" w:space="0"/>
            </w:tcBorders>
            <w:vAlign w:val="center"/>
          </w:tcPr>
          <w:p>
            <w:pPr>
              <w:widowControl/>
              <w:rPr>
                <w:rFonts w:ascii="等线" w:hAnsi="等线" w:eastAsia="等线" w:cs="宋体"/>
                <w:sz w:val="16"/>
                <w:szCs w:val="16"/>
                <w:lang w:eastAsia="zh-CN" w:bidi="ar-SA"/>
              </w:rPr>
            </w:pPr>
          </w:p>
        </w:tc>
      </w:tr>
      <w:tr>
        <w:tblPrEx>
          <w:tblCellMar>
            <w:top w:w="0" w:type="dxa"/>
            <w:left w:w="108" w:type="dxa"/>
            <w:bottom w:w="0" w:type="dxa"/>
            <w:right w:w="108" w:type="dxa"/>
          </w:tblCellMar>
        </w:tblPrEx>
        <w:trPr>
          <w:trHeight w:val="30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tcBorders>
              <w:top w:val="nil"/>
              <w:left w:val="nil"/>
              <w:bottom w:val="single" w:color="auto" w:sz="4" w:space="0"/>
              <w:right w:val="single" w:color="auto" w:sz="4" w:space="0"/>
            </w:tcBorders>
            <w:shd w:val="clear" w:color="000000" w:fill="FFFFFF"/>
            <w:vAlign w:val="center"/>
          </w:tcPr>
          <w:p>
            <w:pPr>
              <w:widowControl/>
              <w:jc w:val="both"/>
              <w:rPr>
                <w:rFonts w:ascii="宋体" w:hAnsi="宋体" w:eastAsia="宋体" w:cs="宋体"/>
                <w:sz w:val="16"/>
                <w:szCs w:val="16"/>
                <w:lang w:eastAsia="zh-CN" w:bidi="ar-SA"/>
              </w:rPr>
            </w:pPr>
            <w:r>
              <w:rPr>
                <w:rFonts w:hint="eastAsia" w:ascii="宋体" w:hAnsi="宋体" w:eastAsia="宋体" w:cs="宋体"/>
                <w:sz w:val="16"/>
                <w:szCs w:val="16"/>
                <w:lang w:eastAsia="zh-CN" w:bidi="ar-SA"/>
              </w:rPr>
              <w:t>②财务和业务管理制度是否合法、合规、完整。</w:t>
            </w:r>
          </w:p>
        </w:tc>
        <w:tc>
          <w:tcPr>
            <w:tcW w:w="0" w:type="auto"/>
            <w:vMerge w:val="continue"/>
            <w:tcBorders>
              <w:top w:val="nil"/>
              <w:left w:val="single" w:color="auto" w:sz="4" w:space="0"/>
              <w:bottom w:val="single" w:color="000000" w:sz="4" w:space="0"/>
              <w:right w:val="single" w:color="auto" w:sz="4" w:space="0"/>
            </w:tcBorders>
            <w:vAlign w:val="center"/>
          </w:tcPr>
          <w:p>
            <w:pPr>
              <w:widowControl/>
              <w:rPr>
                <w:rFonts w:ascii="等线" w:hAnsi="等线" w:eastAsia="等线" w:cs="宋体"/>
                <w:sz w:val="16"/>
                <w:szCs w:val="16"/>
                <w:lang w:eastAsia="zh-CN" w:bidi="ar-SA"/>
              </w:rPr>
            </w:pPr>
          </w:p>
        </w:tc>
      </w:tr>
      <w:tr>
        <w:tblPrEx>
          <w:tblCellMar>
            <w:top w:w="0" w:type="dxa"/>
            <w:left w:w="108" w:type="dxa"/>
            <w:bottom w:w="0" w:type="dxa"/>
            <w:right w:w="108" w:type="dxa"/>
          </w:tblCellMar>
        </w:tblPrEx>
        <w:trPr>
          <w:trHeight w:val="30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sz w:val="16"/>
                <w:szCs w:val="16"/>
                <w:lang w:eastAsia="zh-CN" w:bidi="ar-SA"/>
              </w:rPr>
            </w:pPr>
            <w:r>
              <w:rPr>
                <w:rFonts w:hint="eastAsia" w:ascii="宋体" w:hAnsi="宋体" w:eastAsia="宋体" w:cs="宋体"/>
                <w:sz w:val="16"/>
                <w:szCs w:val="16"/>
                <w:lang w:eastAsia="zh-CN" w:bidi="ar-SA"/>
              </w:rPr>
              <w:t>制度执行</w:t>
            </w:r>
          </w:p>
          <w:p>
            <w:pPr>
              <w:widowControl/>
              <w:jc w:val="center"/>
              <w:rPr>
                <w:rFonts w:ascii="宋体" w:hAnsi="宋体" w:eastAsia="宋体" w:cs="宋体"/>
                <w:sz w:val="16"/>
                <w:szCs w:val="16"/>
                <w:lang w:eastAsia="zh-CN" w:bidi="ar-SA"/>
              </w:rPr>
            </w:pPr>
            <w:r>
              <w:rPr>
                <w:rFonts w:hint="eastAsia" w:ascii="宋体" w:hAnsi="宋体" w:eastAsia="宋体" w:cs="宋体"/>
                <w:sz w:val="16"/>
                <w:szCs w:val="16"/>
                <w:lang w:eastAsia="zh-CN" w:bidi="ar-SA"/>
              </w:rPr>
              <w:t>有效性（1分）</w:t>
            </w:r>
          </w:p>
        </w:tc>
        <w:tc>
          <w:tcPr>
            <w:tcW w:w="0" w:type="auto"/>
            <w:vMerge w:val="restart"/>
            <w:tcBorders>
              <w:top w:val="nil"/>
              <w:left w:val="single" w:color="auto" w:sz="4" w:space="0"/>
              <w:bottom w:val="single" w:color="auto" w:sz="4" w:space="0"/>
              <w:right w:val="single" w:color="auto" w:sz="4" w:space="0"/>
            </w:tcBorders>
            <w:shd w:val="clear" w:color="000000" w:fill="FFFFFF"/>
            <w:vAlign w:val="center"/>
          </w:tcPr>
          <w:p>
            <w:pPr>
              <w:widowControl/>
              <w:jc w:val="both"/>
              <w:rPr>
                <w:rFonts w:ascii="宋体" w:hAnsi="宋体" w:eastAsia="宋体" w:cs="宋体"/>
                <w:sz w:val="16"/>
                <w:szCs w:val="16"/>
                <w:lang w:eastAsia="zh-CN" w:bidi="ar-SA"/>
              </w:rPr>
            </w:pPr>
            <w:r>
              <w:rPr>
                <w:rFonts w:hint="eastAsia" w:ascii="宋体" w:hAnsi="宋体" w:eastAsia="宋体" w:cs="宋体"/>
                <w:sz w:val="16"/>
                <w:szCs w:val="16"/>
                <w:lang w:eastAsia="zh-CN" w:bidi="ar-SA"/>
              </w:rPr>
              <w:t>项目实施是否符合相关管理规定，用以反映和考核相关管理制度的有效执行情况。</w:t>
            </w:r>
          </w:p>
        </w:tc>
        <w:tc>
          <w:tcPr>
            <w:tcW w:w="0" w:type="auto"/>
            <w:tcBorders>
              <w:top w:val="nil"/>
              <w:left w:val="nil"/>
              <w:bottom w:val="single" w:color="auto" w:sz="4" w:space="0"/>
              <w:right w:val="single" w:color="auto" w:sz="4" w:space="0"/>
            </w:tcBorders>
            <w:shd w:val="clear" w:color="000000" w:fill="FFFFFF"/>
            <w:vAlign w:val="center"/>
          </w:tcPr>
          <w:p>
            <w:pPr>
              <w:widowControl/>
              <w:jc w:val="both"/>
              <w:rPr>
                <w:rFonts w:ascii="宋体" w:hAnsi="宋体" w:eastAsia="宋体" w:cs="宋体"/>
                <w:sz w:val="16"/>
                <w:szCs w:val="16"/>
                <w:lang w:eastAsia="zh-CN" w:bidi="ar-SA"/>
              </w:rPr>
            </w:pPr>
            <w:r>
              <w:rPr>
                <w:rFonts w:hint="eastAsia" w:ascii="宋体" w:hAnsi="宋体" w:eastAsia="宋体" w:cs="宋体"/>
                <w:sz w:val="16"/>
                <w:szCs w:val="16"/>
                <w:lang w:eastAsia="zh-CN" w:bidi="ar-SA"/>
              </w:rPr>
              <w:t>评价要点：</w:t>
            </w:r>
          </w:p>
        </w:tc>
        <w:tc>
          <w:tcPr>
            <w:tcW w:w="0" w:type="auto"/>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等线" w:hAnsi="等线" w:eastAsia="等线" w:cs="宋体"/>
                <w:sz w:val="16"/>
                <w:szCs w:val="16"/>
                <w:lang w:eastAsia="zh-CN" w:bidi="ar-SA"/>
              </w:rPr>
            </w:pPr>
            <w:r>
              <w:rPr>
                <w:rFonts w:hint="eastAsia" w:ascii="等线" w:hAnsi="等线" w:eastAsia="等线" w:cs="宋体"/>
                <w:sz w:val="16"/>
                <w:szCs w:val="16"/>
                <w:lang w:eastAsia="zh-CN" w:bidi="ar-SA"/>
              </w:rPr>
              <w:t>1</w:t>
            </w:r>
          </w:p>
        </w:tc>
      </w:tr>
      <w:tr>
        <w:tblPrEx>
          <w:tblCellMar>
            <w:top w:w="0" w:type="dxa"/>
            <w:left w:w="108" w:type="dxa"/>
            <w:bottom w:w="0" w:type="dxa"/>
            <w:right w:w="108" w:type="dxa"/>
          </w:tblCellMar>
        </w:tblPrEx>
        <w:trPr>
          <w:trHeight w:val="30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tcBorders>
              <w:top w:val="nil"/>
              <w:left w:val="nil"/>
              <w:bottom w:val="single" w:color="auto" w:sz="4" w:space="0"/>
              <w:right w:val="single" w:color="auto" w:sz="4" w:space="0"/>
            </w:tcBorders>
            <w:shd w:val="clear" w:color="000000" w:fill="FFFFFF"/>
            <w:vAlign w:val="center"/>
          </w:tcPr>
          <w:p>
            <w:pPr>
              <w:widowControl/>
              <w:jc w:val="both"/>
              <w:rPr>
                <w:rFonts w:ascii="宋体" w:hAnsi="宋体" w:eastAsia="宋体" w:cs="宋体"/>
                <w:sz w:val="16"/>
                <w:szCs w:val="16"/>
                <w:lang w:eastAsia="zh-CN" w:bidi="ar-SA"/>
              </w:rPr>
            </w:pPr>
            <w:r>
              <w:rPr>
                <w:rFonts w:hint="eastAsia" w:ascii="宋体" w:hAnsi="宋体" w:eastAsia="宋体" w:cs="宋体"/>
                <w:sz w:val="16"/>
                <w:szCs w:val="16"/>
                <w:lang w:eastAsia="zh-CN" w:bidi="ar-SA"/>
              </w:rPr>
              <w:t>①是否遵守相关法律法规和相关管理规定；</w:t>
            </w:r>
          </w:p>
        </w:tc>
        <w:tc>
          <w:tcPr>
            <w:tcW w:w="0" w:type="auto"/>
            <w:vMerge w:val="continue"/>
            <w:tcBorders>
              <w:top w:val="nil"/>
              <w:left w:val="single" w:color="auto" w:sz="4" w:space="0"/>
              <w:bottom w:val="single" w:color="000000" w:sz="4" w:space="0"/>
              <w:right w:val="single" w:color="auto" w:sz="4" w:space="0"/>
            </w:tcBorders>
            <w:vAlign w:val="center"/>
          </w:tcPr>
          <w:p>
            <w:pPr>
              <w:widowControl/>
              <w:rPr>
                <w:rFonts w:ascii="等线" w:hAnsi="等线" w:eastAsia="等线" w:cs="宋体"/>
                <w:sz w:val="16"/>
                <w:szCs w:val="16"/>
                <w:lang w:eastAsia="zh-CN" w:bidi="ar-SA"/>
              </w:rPr>
            </w:pPr>
          </w:p>
        </w:tc>
      </w:tr>
      <w:tr>
        <w:tblPrEx>
          <w:tblCellMar>
            <w:top w:w="0" w:type="dxa"/>
            <w:left w:w="108" w:type="dxa"/>
            <w:bottom w:w="0" w:type="dxa"/>
            <w:right w:w="108" w:type="dxa"/>
          </w:tblCellMar>
        </w:tblPrEx>
        <w:trPr>
          <w:trHeight w:val="30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tcBorders>
              <w:top w:val="nil"/>
              <w:left w:val="nil"/>
              <w:bottom w:val="single" w:color="auto" w:sz="4" w:space="0"/>
              <w:right w:val="single" w:color="auto" w:sz="4" w:space="0"/>
            </w:tcBorders>
            <w:shd w:val="clear" w:color="000000" w:fill="FFFFFF"/>
            <w:vAlign w:val="center"/>
          </w:tcPr>
          <w:p>
            <w:pPr>
              <w:widowControl/>
              <w:jc w:val="both"/>
              <w:rPr>
                <w:rFonts w:ascii="宋体" w:hAnsi="宋体" w:eastAsia="宋体" w:cs="宋体"/>
                <w:sz w:val="16"/>
                <w:szCs w:val="16"/>
                <w:lang w:eastAsia="zh-CN" w:bidi="ar-SA"/>
              </w:rPr>
            </w:pPr>
            <w:r>
              <w:rPr>
                <w:rFonts w:hint="eastAsia" w:ascii="宋体" w:hAnsi="宋体" w:eastAsia="宋体" w:cs="宋体"/>
                <w:sz w:val="16"/>
                <w:szCs w:val="16"/>
                <w:lang w:eastAsia="zh-CN" w:bidi="ar-SA"/>
              </w:rPr>
              <w:t>②项目调整及支出调整手续是否完备；</w:t>
            </w:r>
          </w:p>
        </w:tc>
        <w:tc>
          <w:tcPr>
            <w:tcW w:w="0" w:type="auto"/>
            <w:vMerge w:val="continue"/>
            <w:tcBorders>
              <w:top w:val="nil"/>
              <w:left w:val="single" w:color="auto" w:sz="4" w:space="0"/>
              <w:bottom w:val="single" w:color="000000" w:sz="4" w:space="0"/>
              <w:right w:val="single" w:color="auto" w:sz="4" w:space="0"/>
            </w:tcBorders>
            <w:vAlign w:val="center"/>
          </w:tcPr>
          <w:p>
            <w:pPr>
              <w:widowControl/>
              <w:rPr>
                <w:rFonts w:ascii="等线" w:hAnsi="等线" w:eastAsia="等线" w:cs="宋体"/>
                <w:sz w:val="16"/>
                <w:szCs w:val="16"/>
                <w:lang w:eastAsia="zh-CN" w:bidi="ar-SA"/>
              </w:rPr>
            </w:pPr>
          </w:p>
        </w:tc>
      </w:tr>
      <w:tr>
        <w:tblPrEx>
          <w:tblCellMar>
            <w:top w:w="0" w:type="dxa"/>
            <w:left w:w="108" w:type="dxa"/>
            <w:bottom w:w="0" w:type="dxa"/>
            <w:right w:w="108" w:type="dxa"/>
          </w:tblCellMar>
        </w:tblPrEx>
        <w:trPr>
          <w:trHeight w:val="30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tcBorders>
              <w:top w:val="nil"/>
              <w:left w:val="nil"/>
              <w:bottom w:val="single" w:color="auto" w:sz="4" w:space="0"/>
              <w:right w:val="single" w:color="auto" w:sz="4" w:space="0"/>
            </w:tcBorders>
            <w:shd w:val="clear" w:color="000000" w:fill="FFFFFF"/>
            <w:vAlign w:val="center"/>
          </w:tcPr>
          <w:p>
            <w:pPr>
              <w:widowControl/>
              <w:jc w:val="both"/>
              <w:rPr>
                <w:rFonts w:ascii="宋体" w:hAnsi="宋体" w:eastAsia="宋体" w:cs="宋体"/>
                <w:sz w:val="16"/>
                <w:szCs w:val="16"/>
                <w:lang w:eastAsia="zh-CN" w:bidi="ar-SA"/>
              </w:rPr>
            </w:pPr>
            <w:r>
              <w:rPr>
                <w:rFonts w:hint="eastAsia" w:ascii="宋体" w:hAnsi="宋体" w:eastAsia="宋体" w:cs="宋体"/>
                <w:sz w:val="16"/>
                <w:szCs w:val="16"/>
                <w:lang w:eastAsia="zh-CN" w:bidi="ar-SA"/>
              </w:rPr>
              <w:t>③项目合同书、验收报告、技术鉴定等资料是否齐全并及时归档；</w:t>
            </w:r>
          </w:p>
        </w:tc>
        <w:tc>
          <w:tcPr>
            <w:tcW w:w="0" w:type="auto"/>
            <w:vMerge w:val="continue"/>
            <w:tcBorders>
              <w:top w:val="nil"/>
              <w:left w:val="single" w:color="auto" w:sz="4" w:space="0"/>
              <w:bottom w:val="single" w:color="000000" w:sz="4" w:space="0"/>
              <w:right w:val="single" w:color="auto" w:sz="4" w:space="0"/>
            </w:tcBorders>
            <w:vAlign w:val="center"/>
          </w:tcPr>
          <w:p>
            <w:pPr>
              <w:widowControl/>
              <w:rPr>
                <w:rFonts w:ascii="等线" w:hAnsi="等线" w:eastAsia="等线" w:cs="宋体"/>
                <w:sz w:val="16"/>
                <w:szCs w:val="16"/>
                <w:lang w:eastAsia="zh-CN" w:bidi="ar-SA"/>
              </w:rPr>
            </w:pPr>
          </w:p>
        </w:tc>
      </w:tr>
      <w:tr>
        <w:tblPrEx>
          <w:tblCellMar>
            <w:top w:w="0" w:type="dxa"/>
            <w:left w:w="108" w:type="dxa"/>
            <w:bottom w:w="0" w:type="dxa"/>
            <w:right w:w="108" w:type="dxa"/>
          </w:tblCellMar>
        </w:tblPrEx>
        <w:trPr>
          <w:trHeight w:val="30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tcBorders>
              <w:top w:val="nil"/>
              <w:left w:val="nil"/>
              <w:bottom w:val="single" w:color="auto" w:sz="4" w:space="0"/>
              <w:right w:val="single" w:color="auto" w:sz="4" w:space="0"/>
            </w:tcBorders>
            <w:shd w:val="clear" w:color="000000" w:fill="FFFFFF"/>
            <w:vAlign w:val="center"/>
          </w:tcPr>
          <w:p>
            <w:pPr>
              <w:widowControl/>
              <w:jc w:val="both"/>
              <w:rPr>
                <w:rFonts w:ascii="宋体" w:hAnsi="宋体" w:eastAsia="宋体" w:cs="宋体"/>
                <w:sz w:val="16"/>
                <w:szCs w:val="16"/>
                <w:lang w:eastAsia="zh-CN" w:bidi="ar-SA"/>
              </w:rPr>
            </w:pPr>
            <w:r>
              <w:rPr>
                <w:rFonts w:hint="eastAsia" w:ascii="宋体" w:hAnsi="宋体" w:eastAsia="宋体" w:cs="宋体"/>
                <w:sz w:val="16"/>
                <w:szCs w:val="16"/>
                <w:lang w:eastAsia="zh-CN" w:bidi="ar-SA"/>
              </w:rPr>
              <w:t>④项目实施的人员条件、场地设备、信息支撑等是否落实到位。</w:t>
            </w:r>
          </w:p>
        </w:tc>
        <w:tc>
          <w:tcPr>
            <w:tcW w:w="0" w:type="auto"/>
            <w:vMerge w:val="continue"/>
            <w:tcBorders>
              <w:top w:val="nil"/>
              <w:left w:val="single" w:color="auto" w:sz="4" w:space="0"/>
              <w:bottom w:val="single" w:color="000000" w:sz="4" w:space="0"/>
              <w:right w:val="single" w:color="auto" w:sz="4" w:space="0"/>
            </w:tcBorders>
            <w:vAlign w:val="center"/>
          </w:tcPr>
          <w:p>
            <w:pPr>
              <w:widowControl/>
              <w:rPr>
                <w:rFonts w:ascii="等线" w:hAnsi="等线" w:eastAsia="等线" w:cs="宋体"/>
                <w:sz w:val="16"/>
                <w:szCs w:val="16"/>
                <w:lang w:eastAsia="zh-CN" w:bidi="ar-SA"/>
              </w:rPr>
            </w:pPr>
          </w:p>
        </w:tc>
      </w:tr>
      <w:tr>
        <w:tblPrEx>
          <w:tblCellMar>
            <w:top w:w="0" w:type="dxa"/>
            <w:left w:w="108" w:type="dxa"/>
            <w:bottom w:w="0" w:type="dxa"/>
            <w:right w:w="108" w:type="dxa"/>
          </w:tblCellMar>
        </w:tblPrEx>
        <w:trPr>
          <w:trHeight w:val="300" w:hRule="atLeast"/>
        </w:trPr>
        <w:tc>
          <w:tcPr>
            <w:tcW w:w="0" w:type="auto"/>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sz w:val="16"/>
                <w:szCs w:val="16"/>
                <w:lang w:eastAsia="zh-CN" w:bidi="ar-SA"/>
              </w:rPr>
            </w:pPr>
            <w:r>
              <w:rPr>
                <w:rFonts w:hint="eastAsia" w:ascii="宋体" w:hAnsi="宋体" w:eastAsia="宋体" w:cs="宋体"/>
                <w:sz w:val="16"/>
                <w:szCs w:val="16"/>
                <w:lang w:eastAsia="zh-CN" w:bidi="ar-SA"/>
              </w:rPr>
              <w:t>产出（50分）</w:t>
            </w:r>
          </w:p>
        </w:tc>
        <w:tc>
          <w:tcPr>
            <w:tcW w:w="0" w:type="auto"/>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sz w:val="16"/>
                <w:szCs w:val="16"/>
                <w:lang w:eastAsia="zh-CN" w:bidi="ar-SA"/>
              </w:rPr>
            </w:pPr>
            <w:r>
              <w:rPr>
                <w:rFonts w:hint="eastAsia" w:ascii="宋体" w:hAnsi="宋体" w:eastAsia="宋体" w:cs="宋体"/>
                <w:sz w:val="16"/>
                <w:szCs w:val="16"/>
                <w:lang w:eastAsia="zh-CN" w:bidi="ar-SA"/>
              </w:rPr>
              <w:t>产出数量（30分）</w:t>
            </w:r>
          </w:p>
        </w:tc>
        <w:tc>
          <w:tcPr>
            <w:tcW w:w="0" w:type="auto"/>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sz w:val="16"/>
                <w:szCs w:val="16"/>
                <w:lang w:eastAsia="zh-CN" w:bidi="ar-SA"/>
              </w:rPr>
            </w:pPr>
            <w:r>
              <w:rPr>
                <w:rFonts w:hint="eastAsia" w:ascii="宋体" w:hAnsi="宋体" w:eastAsia="宋体" w:cs="宋体"/>
                <w:sz w:val="16"/>
                <w:szCs w:val="16"/>
                <w:lang w:eastAsia="zh-CN" w:bidi="ar-SA"/>
              </w:rPr>
              <w:t>实际完成率（30分）</w:t>
            </w:r>
          </w:p>
        </w:tc>
        <w:tc>
          <w:tcPr>
            <w:tcW w:w="0" w:type="auto"/>
            <w:vMerge w:val="restart"/>
            <w:tcBorders>
              <w:top w:val="nil"/>
              <w:left w:val="single" w:color="auto" w:sz="4" w:space="0"/>
              <w:bottom w:val="single" w:color="auto" w:sz="4" w:space="0"/>
              <w:right w:val="single" w:color="auto" w:sz="4" w:space="0"/>
            </w:tcBorders>
            <w:shd w:val="clear" w:color="000000" w:fill="FFFFFF"/>
            <w:vAlign w:val="center"/>
          </w:tcPr>
          <w:p>
            <w:pPr>
              <w:widowControl/>
              <w:jc w:val="both"/>
              <w:rPr>
                <w:rFonts w:ascii="宋体" w:hAnsi="宋体" w:eastAsia="宋体" w:cs="宋体"/>
                <w:sz w:val="16"/>
                <w:szCs w:val="16"/>
                <w:lang w:eastAsia="zh-CN" w:bidi="ar-SA"/>
              </w:rPr>
            </w:pPr>
            <w:r>
              <w:rPr>
                <w:rFonts w:hint="eastAsia" w:ascii="宋体" w:hAnsi="宋体" w:eastAsia="宋体" w:cs="宋体"/>
                <w:sz w:val="16"/>
                <w:szCs w:val="16"/>
                <w:lang w:eastAsia="zh-CN" w:bidi="ar-SA"/>
              </w:rPr>
              <w:t>项目实施的实际产出数与计划产出数的比率，用以反映和考核项目产出数量目标的实现程度。</w:t>
            </w:r>
          </w:p>
        </w:tc>
        <w:tc>
          <w:tcPr>
            <w:tcW w:w="0" w:type="auto"/>
            <w:tcBorders>
              <w:top w:val="nil"/>
              <w:left w:val="nil"/>
              <w:bottom w:val="single" w:color="auto" w:sz="4" w:space="0"/>
              <w:right w:val="single" w:color="auto" w:sz="4" w:space="0"/>
            </w:tcBorders>
            <w:shd w:val="clear" w:color="000000" w:fill="FFFFFF"/>
            <w:vAlign w:val="center"/>
          </w:tcPr>
          <w:p>
            <w:pPr>
              <w:widowControl/>
              <w:jc w:val="both"/>
              <w:rPr>
                <w:rFonts w:ascii="宋体" w:hAnsi="宋体" w:eastAsia="宋体" w:cs="宋体"/>
                <w:sz w:val="16"/>
                <w:szCs w:val="16"/>
                <w:lang w:eastAsia="zh-CN" w:bidi="ar-SA"/>
              </w:rPr>
            </w:pPr>
            <w:r>
              <w:rPr>
                <w:rFonts w:hint="eastAsia" w:ascii="宋体" w:hAnsi="宋体" w:eastAsia="宋体" w:cs="宋体"/>
                <w:sz w:val="16"/>
                <w:szCs w:val="16"/>
                <w:lang w:eastAsia="zh-CN" w:bidi="ar-SA"/>
              </w:rPr>
              <w:t>实际完成率=（实际产出数/计划产出数）×100%。</w:t>
            </w:r>
          </w:p>
        </w:tc>
        <w:tc>
          <w:tcPr>
            <w:tcW w:w="0" w:type="auto"/>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等线" w:hAnsi="等线" w:eastAsia="等线" w:cs="宋体"/>
                <w:sz w:val="16"/>
                <w:szCs w:val="16"/>
                <w:lang w:eastAsia="zh-CN" w:bidi="ar-SA"/>
              </w:rPr>
            </w:pPr>
            <w:r>
              <w:rPr>
                <w:rFonts w:hint="eastAsia" w:ascii="等线" w:hAnsi="等线" w:eastAsia="等线" w:cs="宋体"/>
                <w:sz w:val="16"/>
                <w:szCs w:val="16"/>
                <w:lang w:eastAsia="zh-CN" w:bidi="ar-SA"/>
              </w:rPr>
              <w:t>25</w:t>
            </w:r>
          </w:p>
        </w:tc>
      </w:tr>
      <w:tr>
        <w:tblPrEx>
          <w:tblCellMar>
            <w:top w:w="0" w:type="dxa"/>
            <w:left w:w="108" w:type="dxa"/>
            <w:bottom w:w="0" w:type="dxa"/>
            <w:right w:w="108" w:type="dxa"/>
          </w:tblCellMar>
        </w:tblPrEx>
        <w:trPr>
          <w:trHeight w:val="285"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tcBorders>
              <w:top w:val="nil"/>
              <w:left w:val="nil"/>
              <w:bottom w:val="single" w:color="auto" w:sz="4" w:space="0"/>
              <w:right w:val="single" w:color="auto" w:sz="4" w:space="0"/>
            </w:tcBorders>
            <w:shd w:val="clear" w:color="000000" w:fill="FFFFFF"/>
            <w:vAlign w:val="center"/>
          </w:tcPr>
          <w:p>
            <w:pPr>
              <w:widowControl/>
              <w:jc w:val="both"/>
              <w:rPr>
                <w:rFonts w:ascii="宋体" w:hAnsi="宋体" w:eastAsia="宋体" w:cs="宋体"/>
                <w:sz w:val="16"/>
                <w:szCs w:val="16"/>
                <w:lang w:eastAsia="zh-CN" w:bidi="ar-SA"/>
              </w:rPr>
            </w:pPr>
            <w:r>
              <w:rPr>
                <w:rFonts w:hint="eastAsia" w:ascii="宋体" w:hAnsi="宋体" w:eastAsia="宋体" w:cs="宋体"/>
                <w:sz w:val="16"/>
                <w:szCs w:val="16"/>
                <w:lang w:eastAsia="zh-CN" w:bidi="ar-SA"/>
              </w:rPr>
              <w:t>实际产出数：一定时期（本年度或项目期）内项目实际产出的产品或提供的服务数量。</w:t>
            </w:r>
          </w:p>
        </w:tc>
        <w:tc>
          <w:tcPr>
            <w:tcW w:w="0" w:type="auto"/>
            <w:vMerge w:val="continue"/>
            <w:tcBorders>
              <w:top w:val="nil"/>
              <w:left w:val="single" w:color="auto" w:sz="4" w:space="0"/>
              <w:bottom w:val="single" w:color="000000" w:sz="4" w:space="0"/>
              <w:right w:val="single" w:color="auto" w:sz="4" w:space="0"/>
            </w:tcBorders>
            <w:vAlign w:val="center"/>
          </w:tcPr>
          <w:p>
            <w:pPr>
              <w:widowControl/>
              <w:rPr>
                <w:rFonts w:ascii="等线" w:hAnsi="等线" w:eastAsia="等线" w:cs="宋体"/>
                <w:sz w:val="16"/>
                <w:szCs w:val="16"/>
                <w:lang w:eastAsia="zh-CN" w:bidi="ar-SA"/>
              </w:rPr>
            </w:pPr>
          </w:p>
        </w:tc>
      </w:tr>
      <w:tr>
        <w:tblPrEx>
          <w:tblCellMar>
            <w:top w:w="0" w:type="dxa"/>
            <w:left w:w="108" w:type="dxa"/>
            <w:bottom w:w="0" w:type="dxa"/>
            <w:right w:w="108" w:type="dxa"/>
          </w:tblCellMar>
        </w:tblPrEx>
        <w:trPr>
          <w:trHeight w:val="45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tcBorders>
              <w:top w:val="nil"/>
              <w:left w:val="nil"/>
              <w:bottom w:val="single" w:color="auto" w:sz="4" w:space="0"/>
              <w:right w:val="single" w:color="auto" w:sz="4" w:space="0"/>
            </w:tcBorders>
            <w:shd w:val="clear" w:color="000000" w:fill="FFFFFF"/>
            <w:vAlign w:val="center"/>
          </w:tcPr>
          <w:p>
            <w:pPr>
              <w:widowControl/>
              <w:jc w:val="both"/>
              <w:rPr>
                <w:rFonts w:ascii="宋体" w:hAnsi="宋体" w:eastAsia="宋体" w:cs="宋体"/>
                <w:sz w:val="16"/>
                <w:szCs w:val="16"/>
                <w:lang w:eastAsia="zh-CN" w:bidi="ar-SA"/>
              </w:rPr>
            </w:pPr>
            <w:r>
              <w:rPr>
                <w:rFonts w:hint="eastAsia" w:ascii="宋体" w:hAnsi="宋体" w:eastAsia="宋体" w:cs="宋体"/>
                <w:sz w:val="16"/>
                <w:szCs w:val="16"/>
                <w:lang w:eastAsia="zh-CN" w:bidi="ar-SA"/>
              </w:rPr>
              <w:t>计划产出数：项目绩效目标确定的在一定时期（本年度或项目期）内计划产出的产品或提供的服务数量。</w:t>
            </w:r>
          </w:p>
        </w:tc>
        <w:tc>
          <w:tcPr>
            <w:tcW w:w="0" w:type="auto"/>
            <w:vMerge w:val="continue"/>
            <w:tcBorders>
              <w:top w:val="nil"/>
              <w:left w:val="single" w:color="auto" w:sz="4" w:space="0"/>
              <w:bottom w:val="single" w:color="000000" w:sz="4" w:space="0"/>
              <w:right w:val="single" w:color="auto" w:sz="4" w:space="0"/>
            </w:tcBorders>
            <w:vAlign w:val="center"/>
          </w:tcPr>
          <w:p>
            <w:pPr>
              <w:widowControl/>
              <w:rPr>
                <w:rFonts w:ascii="等线" w:hAnsi="等线" w:eastAsia="等线" w:cs="宋体"/>
                <w:sz w:val="16"/>
                <w:szCs w:val="16"/>
                <w:lang w:eastAsia="zh-CN" w:bidi="ar-SA"/>
              </w:rPr>
            </w:pPr>
          </w:p>
        </w:tc>
      </w:tr>
      <w:tr>
        <w:tblPrEx>
          <w:tblCellMar>
            <w:top w:w="0" w:type="dxa"/>
            <w:left w:w="108" w:type="dxa"/>
            <w:bottom w:w="0" w:type="dxa"/>
            <w:right w:w="108" w:type="dxa"/>
          </w:tblCellMar>
        </w:tblPrEx>
        <w:trPr>
          <w:trHeight w:val="30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sz w:val="16"/>
                <w:szCs w:val="16"/>
                <w:lang w:eastAsia="zh-CN" w:bidi="ar-SA"/>
              </w:rPr>
            </w:pPr>
            <w:r>
              <w:rPr>
                <w:rFonts w:hint="eastAsia" w:ascii="宋体" w:hAnsi="宋体" w:eastAsia="宋体" w:cs="宋体"/>
                <w:sz w:val="16"/>
                <w:szCs w:val="16"/>
                <w:lang w:eastAsia="zh-CN" w:bidi="ar-SA"/>
              </w:rPr>
              <w:t>产出质量（10分）</w:t>
            </w:r>
          </w:p>
        </w:tc>
        <w:tc>
          <w:tcPr>
            <w:tcW w:w="0" w:type="auto"/>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sz w:val="16"/>
                <w:szCs w:val="16"/>
                <w:lang w:eastAsia="zh-CN" w:bidi="ar-SA"/>
              </w:rPr>
            </w:pPr>
            <w:r>
              <w:rPr>
                <w:rFonts w:hint="eastAsia" w:ascii="宋体" w:hAnsi="宋体" w:eastAsia="宋体" w:cs="宋体"/>
                <w:sz w:val="16"/>
                <w:szCs w:val="16"/>
                <w:lang w:eastAsia="zh-CN" w:bidi="ar-SA"/>
              </w:rPr>
              <w:t>质量达标率（10分）</w:t>
            </w:r>
          </w:p>
        </w:tc>
        <w:tc>
          <w:tcPr>
            <w:tcW w:w="0" w:type="auto"/>
            <w:vMerge w:val="restart"/>
            <w:tcBorders>
              <w:top w:val="nil"/>
              <w:left w:val="single" w:color="auto" w:sz="4" w:space="0"/>
              <w:bottom w:val="single" w:color="auto" w:sz="4" w:space="0"/>
              <w:right w:val="single" w:color="auto" w:sz="4" w:space="0"/>
            </w:tcBorders>
            <w:shd w:val="clear" w:color="000000" w:fill="FFFFFF"/>
            <w:vAlign w:val="center"/>
          </w:tcPr>
          <w:p>
            <w:pPr>
              <w:widowControl/>
              <w:jc w:val="both"/>
              <w:rPr>
                <w:rFonts w:ascii="宋体" w:hAnsi="宋体" w:eastAsia="宋体" w:cs="宋体"/>
                <w:sz w:val="16"/>
                <w:szCs w:val="16"/>
                <w:lang w:eastAsia="zh-CN" w:bidi="ar-SA"/>
              </w:rPr>
            </w:pPr>
            <w:r>
              <w:rPr>
                <w:rFonts w:hint="eastAsia" w:ascii="宋体" w:hAnsi="宋体" w:eastAsia="宋体" w:cs="宋体"/>
                <w:sz w:val="16"/>
                <w:szCs w:val="16"/>
                <w:lang w:eastAsia="zh-CN" w:bidi="ar-SA"/>
              </w:rPr>
              <w:t>项目完成的质量达标产出数与实际产出数的比率，用以反映和考核项目产出质量目标的实现程度。</w:t>
            </w:r>
          </w:p>
        </w:tc>
        <w:tc>
          <w:tcPr>
            <w:tcW w:w="0" w:type="auto"/>
            <w:tcBorders>
              <w:top w:val="nil"/>
              <w:left w:val="nil"/>
              <w:bottom w:val="single" w:color="auto" w:sz="4" w:space="0"/>
              <w:right w:val="single" w:color="auto" w:sz="4" w:space="0"/>
            </w:tcBorders>
            <w:shd w:val="clear" w:color="000000" w:fill="FFFFFF"/>
            <w:vAlign w:val="center"/>
          </w:tcPr>
          <w:p>
            <w:pPr>
              <w:widowControl/>
              <w:jc w:val="both"/>
              <w:rPr>
                <w:rFonts w:ascii="宋体" w:hAnsi="宋体" w:eastAsia="宋体" w:cs="宋体"/>
                <w:sz w:val="16"/>
                <w:szCs w:val="16"/>
                <w:lang w:eastAsia="zh-CN" w:bidi="ar-SA"/>
              </w:rPr>
            </w:pPr>
            <w:r>
              <w:rPr>
                <w:rFonts w:hint="eastAsia" w:ascii="宋体" w:hAnsi="宋体" w:eastAsia="宋体" w:cs="宋体"/>
                <w:sz w:val="16"/>
                <w:szCs w:val="16"/>
                <w:lang w:eastAsia="zh-CN" w:bidi="ar-SA"/>
              </w:rPr>
              <w:t>质量达标率=（质量达标产出数/实际产出数）×100%。</w:t>
            </w:r>
          </w:p>
        </w:tc>
        <w:tc>
          <w:tcPr>
            <w:tcW w:w="0" w:type="auto"/>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等线" w:hAnsi="等线" w:eastAsia="等线" w:cs="宋体"/>
                <w:sz w:val="16"/>
                <w:szCs w:val="16"/>
                <w:lang w:eastAsia="zh-CN" w:bidi="ar-SA"/>
              </w:rPr>
            </w:pPr>
            <w:r>
              <w:rPr>
                <w:rFonts w:hint="eastAsia" w:ascii="等线" w:hAnsi="等线" w:eastAsia="等线" w:cs="宋体"/>
                <w:sz w:val="16"/>
                <w:szCs w:val="16"/>
                <w:lang w:eastAsia="zh-CN" w:bidi="ar-SA"/>
              </w:rPr>
              <w:t>10</w:t>
            </w:r>
          </w:p>
        </w:tc>
      </w:tr>
      <w:tr>
        <w:tblPrEx>
          <w:tblCellMar>
            <w:top w:w="0" w:type="dxa"/>
            <w:left w:w="108" w:type="dxa"/>
            <w:bottom w:w="0" w:type="dxa"/>
            <w:right w:w="108" w:type="dxa"/>
          </w:tblCellMar>
        </w:tblPrEx>
        <w:trPr>
          <w:trHeight w:val="675"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tcBorders>
              <w:top w:val="nil"/>
              <w:left w:val="nil"/>
              <w:bottom w:val="single" w:color="auto" w:sz="4" w:space="0"/>
              <w:right w:val="single" w:color="auto" w:sz="4" w:space="0"/>
            </w:tcBorders>
            <w:shd w:val="clear" w:color="000000" w:fill="FFFFFF"/>
            <w:vAlign w:val="center"/>
          </w:tcPr>
          <w:p>
            <w:pPr>
              <w:widowControl/>
              <w:jc w:val="both"/>
              <w:rPr>
                <w:rFonts w:ascii="宋体" w:hAnsi="宋体" w:eastAsia="宋体" w:cs="宋体"/>
                <w:sz w:val="16"/>
                <w:szCs w:val="16"/>
                <w:lang w:eastAsia="zh-CN" w:bidi="ar-SA"/>
              </w:rPr>
            </w:pPr>
            <w:r>
              <w:rPr>
                <w:rFonts w:hint="eastAsia" w:ascii="宋体" w:hAnsi="宋体" w:eastAsia="宋体" w:cs="宋体"/>
                <w:sz w:val="16"/>
                <w:szCs w:val="16"/>
                <w:lang w:eastAsia="zh-CN" w:bidi="ar-SA"/>
              </w:rPr>
              <w:t>质量达标产出数：一定时期（本年度或项目期）内实际达到既定质量标准的产品或服务数量。既定质量标准是指项目实施单位设立绩效目标时依据计划标准、行业标准、历史标准或其他标准而设定的绩效指标值。</w:t>
            </w:r>
          </w:p>
        </w:tc>
        <w:tc>
          <w:tcPr>
            <w:tcW w:w="0" w:type="auto"/>
            <w:vMerge w:val="continue"/>
            <w:tcBorders>
              <w:top w:val="nil"/>
              <w:left w:val="single" w:color="auto" w:sz="4" w:space="0"/>
              <w:bottom w:val="single" w:color="000000" w:sz="4" w:space="0"/>
              <w:right w:val="single" w:color="auto" w:sz="4" w:space="0"/>
            </w:tcBorders>
            <w:vAlign w:val="center"/>
          </w:tcPr>
          <w:p>
            <w:pPr>
              <w:widowControl/>
              <w:rPr>
                <w:rFonts w:ascii="等线" w:hAnsi="等线" w:eastAsia="等线" w:cs="宋体"/>
                <w:sz w:val="16"/>
                <w:szCs w:val="16"/>
                <w:lang w:eastAsia="zh-CN" w:bidi="ar-SA"/>
              </w:rPr>
            </w:pPr>
          </w:p>
        </w:tc>
      </w:tr>
      <w:tr>
        <w:tblPrEx>
          <w:tblCellMar>
            <w:top w:w="0" w:type="dxa"/>
            <w:left w:w="108" w:type="dxa"/>
            <w:bottom w:w="0" w:type="dxa"/>
            <w:right w:w="108" w:type="dxa"/>
          </w:tblCellMar>
        </w:tblPrEx>
        <w:trPr>
          <w:trHeight w:val="30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sz w:val="16"/>
                <w:szCs w:val="16"/>
                <w:lang w:eastAsia="zh-CN" w:bidi="ar-SA"/>
              </w:rPr>
            </w:pPr>
            <w:r>
              <w:rPr>
                <w:rFonts w:hint="eastAsia" w:ascii="宋体" w:hAnsi="宋体" w:eastAsia="宋体" w:cs="宋体"/>
                <w:sz w:val="16"/>
                <w:szCs w:val="16"/>
                <w:lang w:eastAsia="zh-CN" w:bidi="ar-SA"/>
              </w:rPr>
              <w:t>产出时效（10分）</w:t>
            </w:r>
          </w:p>
        </w:tc>
        <w:tc>
          <w:tcPr>
            <w:tcW w:w="0" w:type="auto"/>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sz w:val="16"/>
                <w:szCs w:val="16"/>
                <w:lang w:eastAsia="zh-CN" w:bidi="ar-SA"/>
              </w:rPr>
            </w:pPr>
            <w:r>
              <w:rPr>
                <w:rFonts w:hint="eastAsia" w:ascii="宋体" w:hAnsi="宋体" w:eastAsia="宋体" w:cs="宋体"/>
                <w:sz w:val="16"/>
                <w:szCs w:val="16"/>
                <w:lang w:eastAsia="zh-CN" w:bidi="ar-SA"/>
              </w:rPr>
              <w:t>完成及时性（10分）</w:t>
            </w:r>
          </w:p>
        </w:tc>
        <w:tc>
          <w:tcPr>
            <w:tcW w:w="0" w:type="auto"/>
            <w:vMerge w:val="restart"/>
            <w:tcBorders>
              <w:top w:val="nil"/>
              <w:left w:val="single" w:color="auto" w:sz="4" w:space="0"/>
              <w:bottom w:val="single" w:color="auto" w:sz="4" w:space="0"/>
              <w:right w:val="single" w:color="auto" w:sz="4" w:space="0"/>
            </w:tcBorders>
            <w:shd w:val="clear" w:color="000000" w:fill="FFFFFF"/>
            <w:vAlign w:val="center"/>
          </w:tcPr>
          <w:p>
            <w:pPr>
              <w:widowControl/>
              <w:jc w:val="both"/>
              <w:rPr>
                <w:rFonts w:ascii="宋体" w:hAnsi="宋体" w:eastAsia="宋体" w:cs="宋体"/>
                <w:sz w:val="16"/>
                <w:szCs w:val="16"/>
                <w:lang w:eastAsia="zh-CN" w:bidi="ar-SA"/>
              </w:rPr>
            </w:pPr>
            <w:r>
              <w:rPr>
                <w:rFonts w:hint="eastAsia" w:ascii="宋体" w:hAnsi="宋体" w:eastAsia="宋体" w:cs="宋体"/>
                <w:sz w:val="16"/>
                <w:szCs w:val="16"/>
                <w:lang w:eastAsia="zh-CN" w:bidi="ar-SA"/>
              </w:rPr>
              <w:t>项目实际完成时间与计划完成时间的比较，用以反映和考核项目产出时效目标的实现程度。</w:t>
            </w:r>
          </w:p>
        </w:tc>
        <w:tc>
          <w:tcPr>
            <w:tcW w:w="0" w:type="auto"/>
            <w:tcBorders>
              <w:top w:val="nil"/>
              <w:left w:val="nil"/>
              <w:bottom w:val="single" w:color="auto" w:sz="4" w:space="0"/>
              <w:right w:val="single" w:color="auto" w:sz="4" w:space="0"/>
            </w:tcBorders>
            <w:shd w:val="clear" w:color="000000" w:fill="FFFFFF"/>
            <w:vAlign w:val="center"/>
          </w:tcPr>
          <w:p>
            <w:pPr>
              <w:widowControl/>
              <w:jc w:val="both"/>
              <w:rPr>
                <w:rFonts w:ascii="宋体" w:hAnsi="宋体" w:eastAsia="宋体" w:cs="宋体"/>
                <w:sz w:val="16"/>
                <w:szCs w:val="16"/>
                <w:lang w:eastAsia="zh-CN" w:bidi="ar-SA"/>
              </w:rPr>
            </w:pPr>
            <w:r>
              <w:rPr>
                <w:rFonts w:hint="eastAsia" w:ascii="宋体" w:hAnsi="宋体" w:eastAsia="宋体" w:cs="宋体"/>
                <w:sz w:val="16"/>
                <w:szCs w:val="16"/>
                <w:lang w:eastAsia="zh-CN" w:bidi="ar-SA"/>
              </w:rPr>
              <w:t>实际完成时间：项目实施单位完成该项目实际所耗用的时间。</w:t>
            </w:r>
          </w:p>
        </w:tc>
        <w:tc>
          <w:tcPr>
            <w:tcW w:w="0" w:type="auto"/>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等线" w:hAnsi="等线" w:eastAsia="等线" w:cs="宋体"/>
                <w:sz w:val="16"/>
                <w:szCs w:val="16"/>
                <w:lang w:eastAsia="zh-CN" w:bidi="ar-SA"/>
              </w:rPr>
            </w:pPr>
            <w:r>
              <w:rPr>
                <w:rFonts w:hint="eastAsia" w:ascii="等线" w:hAnsi="等线" w:eastAsia="等线" w:cs="宋体"/>
                <w:sz w:val="16"/>
                <w:szCs w:val="16"/>
                <w:lang w:eastAsia="zh-CN" w:bidi="ar-SA"/>
              </w:rPr>
              <w:t>10</w:t>
            </w:r>
          </w:p>
        </w:tc>
      </w:tr>
      <w:tr>
        <w:tblPrEx>
          <w:tblCellMar>
            <w:top w:w="0" w:type="dxa"/>
            <w:left w:w="108" w:type="dxa"/>
            <w:bottom w:w="0" w:type="dxa"/>
            <w:right w:w="108" w:type="dxa"/>
          </w:tblCellMar>
        </w:tblPrEx>
        <w:trPr>
          <w:trHeight w:val="30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tcBorders>
              <w:top w:val="nil"/>
              <w:left w:val="nil"/>
              <w:bottom w:val="single" w:color="auto" w:sz="4" w:space="0"/>
              <w:right w:val="single" w:color="auto" w:sz="4" w:space="0"/>
            </w:tcBorders>
            <w:shd w:val="clear" w:color="000000" w:fill="FFFFFF"/>
            <w:vAlign w:val="center"/>
          </w:tcPr>
          <w:p>
            <w:pPr>
              <w:widowControl/>
              <w:jc w:val="both"/>
              <w:rPr>
                <w:rFonts w:ascii="宋体" w:hAnsi="宋体" w:eastAsia="宋体" w:cs="宋体"/>
                <w:sz w:val="16"/>
                <w:szCs w:val="16"/>
                <w:lang w:eastAsia="zh-CN" w:bidi="ar-SA"/>
              </w:rPr>
            </w:pPr>
            <w:r>
              <w:rPr>
                <w:rFonts w:hint="eastAsia" w:ascii="宋体" w:hAnsi="宋体" w:eastAsia="宋体" w:cs="宋体"/>
                <w:sz w:val="16"/>
                <w:szCs w:val="16"/>
                <w:lang w:eastAsia="zh-CN" w:bidi="ar-SA"/>
              </w:rPr>
              <w:t>计划完成时间：按照项目实施计划或相关规定完成该项目所需的时间。</w:t>
            </w:r>
          </w:p>
        </w:tc>
        <w:tc>
          <w:tcPr>
            <w:tcW w:w="0" w:type="auto"/>
            <w:vMerge w:val="continue"/>
            <w:tcBorders>
              <w:top w:val="nil"/>
              <w:left w:val="single" w:color="auto" w:sz="4" w:space="0"/>
              <w:bottom w:val="single" w:color="000000" w:sz="4" w:space="0"/>
              <w:right w:val="single" w:color="auto" w:sz="4" w:space="0"/>
            </w:tcBorders>
            <w:vAlign w:val="center"/>
          </w:tcPr>
          <w:p>
            <w:pPr>
              <w:widowControl/>
              <w:rPr>
                <w:rFonts w:ascii="等线" w:hAnsi="等线" w:eastAsia="等线" w:cs="宋体"/>
                <w:sz w:val="16"/>
                <w:szCs w:val="16"/>
                <w:lang w:eastAsia="zh-CN" w:bidi="ar-SA"/>
              </w:rPr>
            </w:pPr>
          </w:p>
        </w:tc>
      </w:tr>
      <w:tr>
        <w:tblPrEx>
          <w:tblCellMar>
            <w:top w:w="0" w:type="dxa"/>
            <w:left w:w="108" w:type="dxa"/>
            <w:bottom w:w="0" w:type="dxa"/>
            <w:right w:w="108" w:type="dxa"/>
          </w:tblCellMar>
        </w:tblPrEx>
        <w:trPr>
          <w:trHeight w:val="465" w:hRule="atLeast"/>
        </w:trPr>
        <w:tc>
          <w:tcPr>
            <w:tcW w:w="0" w:type="auto"/>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sz w:val="16"/>
                <w:szCs w:val="16"/>
                <w:lang w:eastAsia="zh-CN" w:bidi="ar-SA"/>
              </w:rPr>
            </w:pPr>
            <w:r>
              <w:rPr>
                <w:rFonts w:hint="eastAsia" w:ascii="宋体" w:hAnsi="宋体" w:eastAsia="宋体" w:cs="宋体"/>
                <w:sz w:val="16"/>
                <w:szCs w:val="16"/>
                <w:lang w:eastAsia="zh-CN" w:bidi="ar-SA"/>
              </w:rPr>
              <w:t>效益（40分）　</w:t>
            </w:r>
          </w:p>
        </w:tc>
        <w:tc>
          <w:tcPr>
            <w:tcW w:w="0" w:type="auto"/>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sz w:val="16"/>
                <w:szCs w:val="16"/>
                <w:lang w:eastAsia="zh-CN" w:bidi="ar-SA"/>
              </w:rPr>
            </w:pPr>
            <w:r>
              <w:rPr>
                <w:rFonts w:hint="eastAsia" w:ascii="宋体" w:hAnsi="宋体" w:eastAsia="宋体" w:cs="宋体"/>
                <w:sz w:val="16"/>
                <w:szCs w:val="16"/>
                <w:lang w:eastAsia="zh-CN" w:bidi="ar-SA"/>
              </w:rPr>
              <w:t>项目效益（40分）　</w:t>
            </w:r>
          </w:p>
        </w:tc>
        <w:tc>
          <w:tcPr>
            <w:tcW w:w="0" w:type="auto"/>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sz w:val="16"/>
                <w:szCs w:val="16"/>
                <w:lang w:eastAsia="zh-CN" w:bidi="ar-SA"/>
              </w:rPr>
            </w:pPr>
            <w:r>
              <w:rPr>
                <w:rFonts w:hint="eastAsia" w:ascii="宋体" w:hAnsi="宋体" w:eastAsia="宋体" w:cs="宋体"/>
                <w:sz w:val="16"/>
                <w:szCs w:val="16"/>
                <w:lang w:eastAsia="zh-CN" w:bidi="ar-SA"/>
              </w:rPr>
              <w:t>实施效益（30分）</w:t>
            </w:r>
          </w:p>
        </w:tc>
        <w:tc>
          <w:tcPr>
            <w:tcW w:w="0" w:type="auto"/>
            <w:tcBorders>
              <w:top w:val="nil"/>
              <w:left w:val="nil"/>
              <w:bottom w:val="single" w:color="auto" w:sz="4" w:space="0"/>
              <w:right w:val="single" w:color="auto" w:sz="4" w:space="0"/>
            </w:tcBorders>
            <w:shd w:val="clear" w:color="000000" w:fill="FFFFFF"/>
            <w:vAlign w:val="center"/>
          </w:tcPr>
          <w:p>
            <w:pPr>
              <w:widowControl/>
              <w:rPr>
                <w:rFonts w:ascii="宋体" w:hAnsi="宋体" w:eastAsia="宋体" w:cs="宋体"/>
                <w:sz w:val="16"/>
                <w:szCs w:val="16"/>
                <w:lang w:eastAsia="zh-CN" w:bidi="ar-SA"/>
              </w:rPr>
            </w:pPr>
            <w:r>
              <w:rPr>
                <w:rFonts w:hint="eastAsia" w:ascii="宋体" w:hAnsi="宋体" w:eastAsia="宋体" w:cs="宋体"/>
                <w:sz w:val="16"/>
                <w:szCs w:val="16"/>
                <w:lang w:eastAsia="zh-CN" w:bidi="ar-SA"/>
              </w:rPr>
              <w:t>项目实施所产生的效益。</w:t>
            </w:r>
          </w:p>
        </w:tc>
        <w:tc>
          <w:tcPr>
            <w:tcW w:w="0" w:type="auto"/>
            <w:tcBorders>
              <w:top w:val="nil"/>
              <w:left w:val="nil"/>
              <w:bottom w:val="single" w:color="auto" w:sz="4" w:space="0"/>
              <w:right w:val="single" w:color="auto" w:sz="4" w:space="0"/>
            </w:tcBorders>
            <w:shd w:val="clear" w:color="000000" w:fill="FFFFFF"/>
            <w:vAlign w:val="center"/>
          </w:tcPr>
          <w:p>
            <w:pPr>
              <w:widowControl/>
              <w:jc w:val="both"/>
              <w:rPr>
                <w:rFonts w:ascii="宋体" w:hAnsi="宋体" w:eastAsia="宋体" w:cs="宋体"/>
                <w:sz w:val="16"/>
                <w:szCs w:val="16"/>
                <w:lang w:eastAsia="zh-CN" w:bidi="ar-SA"/>
              </w:rPr>
            </w:pPr>
            <w:r>
              <w:rPr>
                <w:rFonts w:hint="eastAsia" w:ascii="宋体" w:hAnsi="宋体" w:eastAsia="宋体" w:cs="宋体"/>
                <w:sz w:val="16"/>
                <w:szCs w:val="16"/>
                <w:lang w:eastAsia="zh-CN" w:bidi="ar-SA"/>
              </w:rPr>
              <w:t>项目实施所产生的社会效益、经济效益、生态效益、可持续影响等。可根据项目实际情况有选择地设置和细化。</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sz w:val="16"/>
                <w:szCs w:val="16"/>
                <w:lang w:eastAsia="zh-CN" w:bidi="ar-SA"/>
              </w:rPr>
            </w:pPr>
            <w:r>
              <w:rPr>
                <w:rFonts w:hint="eastAsia" w:ascii="等线" w:hAnsi="等线" w:eastAsia="等线" w:cs="宋体"/>
                <w:sz w:val="16"/>
                <w:szCs w:val="16"/>
                <w:lang w:eastAsia="zh-CN" w:bidi="ar-SA"/>
              </w:rPr>
              <w:t>30</w:t>
            </w:r>
          </w:p>
        </w:tc>
      </w:tr>
      <w:tr>
        <w:tblPrEx>
          <w:tblCellMar>
            <w:top w:w="0" w:type="dxa"/>
            <w:left w:w="108" w:type="dxa"/>
            <w:bottom w:w="0" w:type="dxa"/>
            <w:right w:w="108" w:type="dxa"/>
          </w:tblCellMar>
        </w:tblPrEx>
        <w:trPr>
          <w:trHeight w:val="45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vMerge w:val="continue"/>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6"/>
                <w:szCs w:val="16"/>
                <w:lang w:eastAsia="zh-CN" w:bidi="ar-SA"/>
              </w:rPr>
            </w:pPr>
          </w:p>
        </w:tc>
        <w:tc>
          <w:tcPr>
            <w:tcW w:w="0" w:type="auto"/>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sz w:val="16"/>
                <w:szCs w:val="16"/>
                <w:lang w:eastAsia="zh-CN" w:bidi="ar-SA"/>
              </w:rPr>
            </w:pPr>
            <w:r>
              <w:rPr>
                <w:rFonts w:hint="eastAsia" w:ascii="宋体" w:hAnsi="宋体" w:eastAsia="宋体" w:cs="宋体"/>
                <w:sz w:val="16"/>
                <w:szCs w:val="16"/>
                <w:lang w:eastAsia="zh-CN" w:bidi="ar-SA"/>
              </w:rPr>
              <w:t>满意度（10分）</w:t>
            </w:r>
          </w:p>
        </w:tc>
        <w:tc>
          <w:tcPr>
            <w:tcW w:w="0" w:type="auto"/>
            <w:tcBorders>
              <w:top w:val="nil"/>
              <w:left w:val="nil"/>
              <w:bottom w:val="single" w:color="auto" w:sz="4" w:space="0"/>
              <w:right w:val="single" w:color="auto" w:sz="4" w:space="0"/>
            </w:tcBorders>
            <w:shd w:val="clear" w:color="000000" w:fill="FFFFFF"/>
            <w:vAlign w:val="center"/>
          </w:tcPr>
          <w:p>
            <w:pPr>
              <w:widowControl/>
              <w:jc w:val="both"/>
              <w:rPr>
                <w:rFonts w:ascii="宋体" w:hAnsi="宋体" w:eastAsia="宋体" w:cs="宋体"/>
                <w:sz w:val="16"/>
                <w:szCs w:val="16"/>
                <w:lang w:eastAsia="zh-CN" w:bidi="ar-SA"/>
              </w:rPr>
            </w:pPr>
            <w:r>
              <w:rPr>
                <w:rFonts w:hint="eastAsia" w:ascii="宋体" w:hAnsi="宋体" w:eastAsia="宋体" w:cs="宋体"/>
                <w:sz w:val="16"/>
                <w:szCs w:val="16"/>
                <w:lang w:eastAsia="zh-CN" w:bidi="ar-SA"/>
              </w:rPr>
              <w:t>社会公众或服务对象对项目实施效果的满意程度。</w:t>
            </w:r>
          </w:p>
        </w:tc>
        <w:tc>
          <w:tcPr>
            <w:tcW w:w="0" w:type="auto"/>
            <w:tcBorders>
              <w:top w:val="nil"/>
              <w:left w:val="nil"/>
              <w:bottom w:val="single" w:color="auto" w:sz="4" w:space="0"/>
              <w:right w:val="single" w:color="auto" w:sz="4" w:space="0"/>
            </w:tcBorders>
            <w:shd w:val="clear" w:color="000000" w:fill="FFFFFF"/>
            <w:vAlign w:val="center"/>
          </w:tcPr>
          <w:p>
            <w:pPr>
              <w:widowControl/>
              <w:jc w:val="both"/>
              <w:rPr>
                <w:rFonts w:ascii="宋体" w:hAnsi="宋体" w:eastAsia="宋体" w:cs="宋体"/>
                <w:sz w:val="16"/>
                <w:szCs w:val="16"/>
                <w:lang w:eastAsia="zh-CN" w:bidi="ar-SA"/>
              </w:rPr>
            </w:pPr>
            <w:r>
              <w:rPr>
                <w:rFonts w:hint="eastAsia" w:ascii="宋体" w:hAnsi="宋体" w:eastAsia="宋体" w:cs="宋体"/>
                <w:sz w:val="16"/>
                <w:szCs w:val="16"/>
                <w:lang w:eastAsia="zh-CN" w:bidi="ar-SA"/>
              </w:rPr>
              <w:t>社会公众或服务对象是指因该项目实施而受到影响的部门（单位）、群体或个人。一般采取社会调查的方式。</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sz w:val="16"/>
                <w:szCs w:val="16"/>
                <w:lang w:eastAsia="zh-CN" w:bidi="ar-SA"/>
              </w:rPr>
            </w:pPr>
            <w:r>
              <w:rPr>
                <w:rFonts w:hint="eastAsia" w:ascii="等线" w:hAnsi="等线" w:eastAsia="等线" w:cs="宋体"/>
                <w:sz w:val="16"/>
                <w:szCs w:val="16"/>
                <w:lang w:eastAsia="zh-CN" w:bidi="ar-SA"/>
              </w:rPr>
              <w:t>10</w:t>
            </w:r>
          </w:p>
        </w:tc>
      </w:tr>
      <w:tr>
        <w:tblPrEx>
          <w:tblCellMar>
            <w:top w:w="0" w:type="dxa"/>
            <w:left w:w="108" w:type="dxa"/>
            <w:bottom w:w="0" w:type="dxa"/>
            <w:right w:w="108" w:type="dxa"/>
          </w:tblCellMar>
        </w:tblPrEx>
        <w:trPr>
          <w:trHeight w:val="330" w:hRule="atLeast"/>
        </w:trPr>
        <w:tc>
          <w:tcPr>
            <w:tcW w:w="0" w:type="auto"/>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等线" w:hAnsi="等线" w:eastAsia="等线" w:cs="宋体"/>
                <w:sz w:val="16"/>
                <w:szCs w:val="16"/>
                <w:lang w:eastAsia="zh-CN" w:bidi="ar-SA"/>
              </w:rPr>
            </w:pPr>
            <w:r>
              <w:rPr>
                <w:rFonts w:hint="eastAsia" w:ascii="等线" w:hAnsi="等线" w:eastAsia="等线" w:cs="宋体"/>
                <w:sz w:val="16"/>
                <w:szCs w:val="16"/>
                <w:lang w:eastAsia="zh-CN" w:bidi="ar-SA"/>
              </w:rPr>
              <w:t>合计</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等线" w:hAnsi="等线" w:eastAsia="等线" w:cs="宋体"/>
                <w:sz w:val="16"/>
                <w:szCs w:val="16"/>
                <w:lang w:eastAsia="zh-CN" w:bidi="ar-SA"/>
              </w:rPr>
            </w:pPr>
            <w:r>
              <w:rPr>
                <w:rFonts w:hint="eastAsia" w:ascii="等线" w:hAnsi="等线" w:eastAsia="等线" w:cs="宋体"/>
                <w:sz w:val="16"/>
                <w:szCs w:val="16"/>
                <w:lang w:eastAsia="zh-CN" w:bidi="ar-SA"/>
              </w:rPr>
              <w:t>100</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等线" w:hAnsi="等线" w:eastAsia="等线" w:cs="宋体"/>
                <w:sz w:val="16"/>
                <w:szCs w:val="16"/>
                <w:lang w:eastAsia="zh-CN" w:bidi="ar-SA"/>
              </w:rPr>
            </w:pPr>
            <w:r>
              <w:rPr>
                <w:rFonts w:hint="eastAsia" w:ascii="等线" w:hAnsi="等线" w:eastAsia="等线" w:cs="宋体"/>
                <w:sz w:val="16"/>
                <w:szCs w:val="16"/>
                <w:lang w:eastAsia="zh-CN" w:bidi="ar-SA"/>
              </w:rPr>
              <w:t>100</w:t>
            </w:r>
          </w:p>
        </w:tc>
        <w:tc>
          <w:tcPr>
            <w:tcW w:w="0" w:type="auto"/>
            <w:tcBorders>
              <w:top w:val="nil"/>
              <w:left w:val="nil"/>
              <w:bottom w:val="single" w:color="auto" w:sz="4" w:space="0"/>
              <w:right w:val="single" w:color="auto" w:sz="4" w:space="0"/>
            </w:tcBorders>
            <w:shd w:val="clear" w:color="auto" w:fill="auto"/>
            <w:noWrap/>
            <w:vAlign w:val="bottom"/>
          </w:tcPr>
          <w:p>
            <w:pPr>
              <w:widowControl/>
              <w:rPr>
                <w:rFonts w:ascii="等线" w:hAnsi="等线" w:eastAsia="等线" w:cs="宋体"/>
                <w:sz w:val="16"/>
                <w:szCs w:val="16"/>
                <w:lang w:eastAsia="zh-CN" w:bidi="ar-SA"/>
              </w:rPr>
            </w:pPr>
            <w:r>
              <w:rPr>
                <w:rFonts w:hint="eastAsia" w:ascii="等线" w:hAnsi="等线" w:eastAsia="等线" w:cs="宋体"/>
                <w:sz w:val="16"/>
                <w:szCs w:val="16"/>
                <w:lang w:eastAsia="zh-CN" w:bidi="ar-SA"/>
              </w:rPr>
              <w:t>　</w:t>
            </w:r>
          </w:p>
        </w:tc>
        <w:tc>
          <w:tcPr>
            <w:tcW w:w="0" w:type="auto"/>
            <w:tcBorders>
              <w:top w:val="nil"/>
              <w:left w:val="nil"/>
              <w:bottom w:val="single" w:color="auto" w:sz="4" w:space="0"/>
              <w:right w:val="single" w:color="auto" w:sz="4" w:space="0"/>
            </w:tcBorders>
            <w:shd w:val="clear" w:color="auto" w:fill="auto"/>
            <w:noWrap/>
            <w:vAlign w:val="bottom"/>
          </w:tcPr>
          <w:p>
            <w:pPr>
              <w:widowControl/>
              <w:rPr>
                <w:rFonts w:ascii="等线" w:hAnsi="等线" w:eastAsia="等线" w:cs="宋体"/>
                <w:sz w:val="16"/>
                <w:szCs w:val="16"/>
                <w:lang w:eastAsia="zh-CN" w:bidi="ar-SA"/>
              </w:rPr>
            </w:pPr>
            <w:r>
              <w:rPr>
                <w:rFonts w:hint="eastAsia" w:ascii="等线" w:hAnsi="等线" w:eastAsia="等线" w:cs="宋体"/>
                <w:sz w:val="16"/>
                <w:szCs w:val="16"/>
                <w:lang w:eastAsia="zh-CN" w:bidi="ar-SA"/>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sz w:val="16"/>
                <w:szCs w:val="16"/>
                <w:lang w:eastAsia="zh-CN" w:bidi="ar-SA"/>
              </w:rPr>
            </w:pPr>
            <w:r>
              <w:rPr>
                <w:rFonts w:hint="eastAsia" w:ascii="等线" w:hAnsi="等线" w:eastAsia="等线" w:cs="宋体"/>
                <w:sz w:val="16"/>
                <w:szCs w:val="16"/>
                <w:lang w:eastAsia="zh-CN" w:bidi="ar-SA"/>
              </w:rPr>
              <w:t>95</w:t>
            </w:r>
          </w:p>
        </w:tc>
      </w:tr>
    </w:tbl>
    <w:p>
      <w:pPr>
        <w:pStyle w:val="2"/>
        <w:rPr>
          <w:lang w:val="en-US" w:eastAsia="zh-CN" w:bidi="en-US"/>
        </w:rPr>
      </w:pPr>
    </w:p>
    <w:p>
      <w:pPr>
        <w:spacing w:line="520" w:lineRule="exact"/>
        <w:ind w:firstLine="663" w:firstLineChars="221"/>
        <w:rPr>
          <w:rFonts w:ascii="仿宋" w:hAnsi="仿宋" w:eastAsia="仿宋" w:cs="Arial Narrow"/>
          <w:sz w:val="30"/>
          <w:szCs w:val="30"/>
          <w:lang w:eastAsia="zh-CN"/>
        </w:rPr>
      </w:pPr>
      <w:r>
        <w:rPr>
          <w:rFonts w:hint="eastAsia" w:ascii="仿宋" w:hAnsi="仿宋" w:eastAsia="仿宋" w:cs="Arial Narrow"/>
          <w:sz w:val="30"/>
          <w:szCs w:val="30"/>
          <w:lang w:eastAsia="zh-CN"/>
        </w:rPr>
        <w:t>3、评价方法</w:t>
      </w:r>
    </w:p>
    <w:p>
      <w:pPr>
        <w:spacing w:line="520" w:lineRule="exact"/>
        <w:ind w:firstLine="663" w:firstLineChars="221"/>
        <w:rPr>
          <w:rFonts w:ascii="仿宋" w:hAnsi="仿宋" w:eastAsia="仿宋" w:cs="Arial Narrow"/>
          <w:sz w:val="30"/>
          <w:szCs w:val="30"/>
          <w:lang w:eastAsia="zh-CN"/>
        </w:rPr>
      </w:pPr>
      <w:r>
        <w:rPr>
          <w:rFonts w:hint="eastAsia" w:ascii="仿宋" w:hAnsi="仿宋" w:eastAsia="仿宋" w:cs="Arial Narrow"/>
          <w:sz w:val="30"/>
          <w:szCs w:val="30"/>
          <w:lang w:eastAsia="zh-CN"/>
        </w:rPr>
        <w:t>主要采用成本效益分析法、比较法、因素分析法、最低成本法等。</w:t>
      </w:r>
    </w:p>
    <w:p>
      <w:pPr>
        <w:spacing w:line="520" w:lineRule="exact"/>
        <w:ind w:firstLine="663" w:firstLineChars="221"/>
        <w:rPr>
          <w:rFonts w:ascii="仿宋" w:hAnsi="仿宋" w:eastAsia="仿宋" w:cs="Arial Narrow"/>
          <w:sz w:val="30"/>
          <w:szCs w:val="30"/>
          <w:lang w:eastAsia="zh-CN"/>
        </w:rPr>
      </w:pPr>
      <w:r>
        <w:rPr>
          <w:rFonts w:hint="eastAsia" w:ascii="仿宋" w:hAnsi="仿宋" w:eastAsia="仿宋" w:cs="Arial Narrow"/>
          <w:sz w:val="30"/>
          <w:szCs w:val="30"/>
          <w:lang w:eastAsia="zh-CN"/>
        </w:rPr>
        <w:t>①成本效益分析法。是指将一定时期内的支出与效益进行对比分析，以评价绩效目标实现程度。</w:t>
      </w:r>
    </w:p>
    <w:p>
      <w:pPr>
        <w:spacing w:line="520" w:lineRule="exact"/>
        <w:ind w:firstLine="663" w:firstLineChars="221"/>
        <w:rPr>
          <w:rFonts w:ascii="仿宋" w:hAnsi="仿宋" w:eastAsia="仿宋" w:cs="Arial Narrow"/>
          <w:sz w:val="30"/>
          <w:szCs w:val="30"/>
          <w:lang w:eastAsia="zh-CN"/>
        </w:rPr>
      </w:pPr>
      <w:r>
        <w:rPr>
          <w:rFonts w:hint="eastAsia" w:ascii="仿宋" w:hAnsi="仿宋" w:eastAsia="仿宋" w:cs="Arial Narrow"/>
          <w:sz w:val="30"/>
          <w:szCs w:val="30"/>
          <w:lang w:eastAsia="zh-CN"/>
        </w:rPr>
        <w:t>②比较法。是指通过对绩效目标与实施效果、历史与当期情况、不同部门和地区同类支出的比较，综合分析绩效目标实现程度。</w:t>
      </w:r>
    </w:p>
    <w:p>
      <w:pPr>
        <w:spacing w:line="520" w:lineRule="exact"/>
        <w:ind w:firstLine="663" w:firstLineChars="221"/>
        <w:rPr>
          <w:rFonts w:ascii="仿宋" w:hAnsi="仿宋" w:eastAsia="仿宋" w:cs="Arial Narrow"/>
          <w:sz w:val="30"/>
          <w:szCs w:val="30"/>
          <w:lang w:eastAsia="zh-CN"/>
        </w:rPr>
      </w:pPr>
      <w:r>
        <w:rPr>
          <w:rFonts w:hint="eastAsia" w:ascii="仿宋" w:hAnsi="仿宋" w:eastAsia="仿宋" w:cs="Arial Narrow"/>
          <w:sz w:val="30"/>
          <w:szCs w:val="30"/>
          <w:lang w:eastAsia="zh-CN"/>
        </w:rPr>
        <w:t>③因素分析法。是指通过综合分析影响绩效目标实现、实施效果的内外因素，评价绩效目标实现程度。</w:t>
      </w:r>
    </w:p>
    <w:p>
      <w:pPr>
        <w:spacing w:line="520" w:lineRule="exact"/>
        <w:ind w:firstLine="663" w:firstLineChars="221"/>
        <w:rPr>
          <w:rFonts w:ascii="仿宋" w:hAnsi="仿宋" w:eastAsia="仿宋" w:cs="Arial Narrow"/>
          <w:sz w:val="30"/>
          <w:szCs w:val="30"/>
          <w:lang w:eastAsia="zh-CN"/>
        </w:rPr>
      </w:pPr>
      <w:r>
        <w:rPr>
          <w:rFonts w:hint="eastAsia" w:ascii="仿宋" w:hAnsi="仿宋" w:eastAsia="仿宋" w:cs="Arial Narrow"/>
          <w:sz w:val="30"/>
          <w:szCs w:val="30"/>
          <w:lang w:eastAsia="zh-CN"/>
        </w:rPr>
        <w:t>④最低成本法。是指对效益确定却不易计量的多个同类对象的实施成本进行比较，评价绩效目标实现程度。</w:t>
      </w:r>
    </w:p>
    <w:p>
      <w:pPr>
        <w:widowControl/>
        <w:shd w:val="clear" w:color="auto" w:fill="FFFFFF"/>
        <w:spacing w:line="520" w:lineRule="exact"/>
        <w:ind w:firstLine="602" w:firstLineChars="200"/>
        <w:rPr>
          <w:rFonts w:ascii="华文楷体" w:hAnsi="华文楷体" w:eastAsia="华文楷体" w:cs="宋体"/>
          <w:b/>
          <w:color w:val="4A4A4A"/>
          <w:sz w:val="30"/>
          <w:szCs w:val="30"/>
          <w:lang w:eastAsia="zh-CN"/>
        </w:rPr>
      </w:pPr>
      <w:r>
        <w:rPr>
          <w:rFonts w:hint="eastAsia" w:ascii="华文楷体" w:hAnsi="华文楷体" w:eastAsia="华文楷体" w:cs="宋体"/>
          <w:b/>
          <w:color w:val="4A4A4A"/>
          <w:sz w:val="30"/>
          <w:szCs w:val="30"/>
          <w:lang w:eastAsia="zh-CN"/>
        </w:rPr>
        <w:t>（三）绩效评价工作过程</w:t>
      </w:r>
    </w:p>
    <w:p>
      <w:pPr>
        <w:spacing w:line="520" w:lineRule="exact"/>
        <w:ind w:firstLine="663" w:firstLineChars="221"/>
        <w:rPr>
          <w:rFonts w:ascii="仿宋" w:hAnsi="仿宋" w:eastAsia="仿宋" w:cs="Arial Narrow"/>
          <w:sz w:val="30"/>
          <w:szCs w:val="30"/>
          <w:lang w:eastAsia="zh-CN"/>
        </w:rPr>
      </w:pPr>
      <w:r>
        <w:rPr>
          <w:rFonts w:hint="eastAsia" w:ascii="仿宋" w:hAnsi="仿宋" w:eastAsia="仿宋" w:cs="Arial Narrow"/>
          <w:sz w:val="30"/>
          <w:szCs w:val="30"/>
          <w:lang w:eastAsia="zh-CN"/>
        </w:rPr>
        <w:t>1、绩效评价准备阶段</w:t>
      </w:r>
    </w:p>
    <w:p>
      <w:pPr>
        <w:spacing w:line="520" w:lineRule="exact"/>
        <w:ind w:firstLine="663" w:firstLineChars="221"/>
        <w:rPr>
          <w:rFonts w:ascii="仿宋" w:hAnsi="仿宋" w:eastAsia="仿宋" w:cs="Arial Narrow"/>
          <w:sz w:val="30"/>
          <w:szCs w:val="30"/>
          <w:lang w:eastAsia="zh-CN"/>
        </w:rPr>
      </w:pPr>
      <w:r>
        <w:rPr>
          <w:rFonts w:hint="eastAsia" w:ascii="仿宋" w:hAnsi="仿宋" w:eastAsia="仿宋" w:cs="Arial Narrow"/>
          <w:sz w:val="30"/>
          <w:szCs w:val="30"/>
          <w:lang w:eastAsia="zh-CN"/>
        </w:rPr>
        <w:t>确定评价对象。根据下达的绩效评价通知书，制订绩效评价工作方案。</w:t>
      </w:r>
    </w:p>
    <w:p>
      <w:pPr>
        <w:spacing w:line="520" w:lineRule="exact"/>
        <w:ind w:firstLine="663" w:firstLineChars="221"/>
        <w:rPr>
          <w:rFonts w:ascii="仿宋" w:hAnsi="仿宋" w:eastAsia="仿宋" w:cs="Arial Narrow"/>
          <w:sz w:val="30"/>
          <w:szCs w:val="30"/>
          <w:lang w:eastAsia="zh-CN"/>
        </w:rPr>
      </w:pPr>
      <w:r>
        <w:rPr>
          <w:rFonts w:hint="eastAsia" w:ascii="仿宋" w:hAnsi="仿宋" w:eastAsia="仿宋" w:cs="Arial Narrow"/>
          <w:sz w:val="30"/>
          <w:szCs w:val="30"/>
          <w:lang w:eastAsia="zh-CN"/>
        </w:rPr>
        <w:t>2、绩效评价实施阶段</w:t>
      </w:r>
    </w:p>
    <w:p>
      <w:pPr>
        <w:spacing w:line="520" w:lineRule="exact"/>
        <w:ind w:firstLine="663" w:firstLineChars="221"/>
        <w:rPr>
          <w:rFonts w:ascii="仿宋" w:hAnsi="仿宋" w:eastAsia="仿宋" w:cs="Arial Narrow"/>
          <w:sz w:val="30"/>
          <w:szCs w:val="30"/>
          <w:lang w:eastAsia="zh-CN"/>
        </w:rPr>
      </w:pPr>
      <w:r>
        <w:rPr>
          <w:rFonts w:hint="eastAsia" w:ascii="仿宋" w:hAnsi="仿宋" w:eastAsia="仿宋" w:cs="Arial Narrow"/>
          <w:sz w:val="30"/>
          <w:szCs w:val="30"/>
          <w:lang w:eastAsia="zh-CN"/>
        </w:rPr>
        <w:t>①拟定评价工作方案；</w:t>
      </w:r>
    </w:p>
    <w:p>
      <w:pPr>
        <w:spacing w:line="520" w:lineRule="exact"/>
        <w:ind w:firstLine="663" w:firstLineChars="221"/>
        <w:rPr>
          <w:rFonts w:ascii="仿宋" w:hAnsi="仿宋" w:eastAsia="仿宋" w:cs="Arial Narrow"/>
          <w:sz w:val="30"/>
          <w:szCs w:val="30"/>
          <w:lang w:eastAsia="zh-CN"/>
        </w:rPr>
      </w:pPr>
      <w:r>
        <w:rPr>
          <w:rFonts w:hint="eastAsia" w:ascii="仿宋" w:hAnsi="仿宋" w:eastAsia="仿宋" w:cs="Arial Narrow"/>
          <w:sz w:val="30"/>
          <w:szCs w:val="30"/>
          <w:lang w:eastAsia="zh-CN"/>
        </w:rPr>
        <w:t>②资料审核；</w:t>
      </w:r>
    </w:p>
    <w:p>
      <w:pPr>
        <w:spacing w:line="520" w:lineRule="exact"/>
        <w:ind w:firstLine="663" w:firstLineChars="221"/>
        <w:rPr>
          <w:rFonts w:ascii="仿宋" w:hAnsi="仿宋" w:eastAsia="仿宋" w:cs="Arial Narrow"/>
          <w:sz w:val="30"/>
          <w:szCs w:val="30"/>
          <w:lang w:eastAsia="zh-CN"/>
        </w:rPr>
      </w:pPr>
      <w:r>
        <w:rPr>
          <w:rFonts w:hint="eastAsia" w:ascii="仿宋" w:hAnsi="仿宋" w:eastAsia="仿宋" w:cs="Arial Narrow"/>
          <w:sz w:val="30"/>
          <w:szCs w:val="30"/>
          <w:lang w:eastAsia="zh-CN"/>
        </w:rPr>
        <w:t>③撰写绩效报告；</w:t>
      </w:r>
    </w:p>
    <w:p>
      <w:pPr>
        <w:spacing w:line="520" w:lineRule="exact"/>
        <w:ind w:firstLine="663" w:firstLineChars="221"/>
        <w:rPr>
          <w:rFonts w:ascii="仿宋" w:hAnsi="仿宋" w:eastAsia="仿宋" w:cs="Arial Narrow"/>
          <w:sz w:val="30"/>
          <w:szCs w:val="30"/>
          <w:lang w:eastAsia="zh-CN"/>
        </w:rPr>
      </w:pPr>
      <w:r>
        <w:rPr>
          <w:rFonts w:hint="eastAsia" w:ascii="仿宋" w:hAnsi="仿宋" w:eastAsia="仿宋" w:cs="Arial Narrow"/>
          <w:sz w:val="30"/>
          <w:szCs w:val="30"/>
          <w:lang w:eastAsia="zh-CN"/>
        </w:rPr>
        <w:t>④实施绩效评价。</w:t>
      </w:r>
    </w:p>
    <w:p>
      <w:pPr>
        <w:spacing w:line="520" w:lineRule="exact"/>
        <w:ind w:firstLine="663" w:firstLineChars="221"/>
        <w:rPr>
          <w:rFonts w:ascii="仿宋" w:hAnsi="仿宋" w:eastAsia="仿宋" w:cs="Arial Narrow"/>
          <w:sz w:val="30"/>
          <w:szCs w:val="30"/>
          <w:lang w:eastAsia="zh-CN"/>
        </w:rPr>
      </w:pPr>
      <w:r>
        <w:rPr>
          <w:rFonts w:hint="eastAsia" w:ascii="仿宋" w:hAnsi="仿宋" w:eastAsia="仿宋" w:cs="Arial Narrow"/>
          <w:sz w:val="30"/>
          <w:szCs w:val="30"/>
          <w:lang w:eastAsia="zh-CN"/>
        </w:rPr>
        <w:t>3、绩效评价总结阶段</w:t>
      </w:r>
    </w:p>
    <w:p>
      <w:pPr>
        <w:spacing w:line="520" w:lineRule="exact"/>
        <w:ind w:firstLine="663" w:firstLineChars="221"/>
        <w:rPr>
          <w:rFonts w:ascii="仿宋" w:hAnsi="仿宋" w:eastAsia="仿宋" w:cs="Arial Narrow"/>
          <w:sz w:val="30"/>
          <w:szCs w:val="30"/>
          <w:lang w:eastAsia="zh-CN"/>
        </w:rPr>
      </w:pPr>
      <w:r>
        <w:rPr>
          <w:rFonts w:hint="eastAsia" w:ascii="仿宋" w:hAnsi="仿宋" w:eastAsia="仿宋" w:cs="Arial Narrow"/>
          <w:sz w:val="30"/>
          <w:szCs w:val="30"/>
          <w:lang w:eastAsia="zh-CN"/>
        </w:rPr>
        <w:t>①撰写报告；</w:t>
      </w:r>
    </w:p>
    <w:p>
      <w:pPr>
        <w:spacing w:line="520" w:lineRule="exact"/>
        <w:ind w:firstLine="663" w:firstLineChars="221"/>
        <w:rPr>
          <w:rFonts w:ascii="仿宋" w:hAnsi="仿宋" w:eastAsia="仿宋" w:cs="Arial Narrow"/>
          <w:sz w:val="30"/>
          <w:szCs w:val="30"/>
          <w:lang w:eastAsia="zh-CN"/>
        </w:rPr>
      </w:pPr>
      <w:r>
        <w:rPr>
          <w:rFonts w:hint="eastAsia" w:ascii="仿宋" w:hAnsi="仿宋" w:eastAsia="仿宋" w:cs="Arial Narrow"/>
          <w:sz w:val="30"/>
          <w:szCs w:val="30"/>
          <w:lang w:eastAsia="zh-CN"/>
        </w:rPr>
        <w:t>②提交报告。</w:t>
      </w:r>
    </w:p>
    <w:p>
      <w:pPr>
        <w:widowControl/>
        <w:shd w:val="clear" w:color="auto" w:fill="FFFFFF"/>
        <w:spacing w:line="520" w:lineRule="exact"/>
        <w:ind w:firstLine="600" w:firstLineChars="200"/>
        <w:rPr>
          <w:rFonts w:ascii="黑体" w:hAnsi="黑体" w:eastAsia="黑体" w:cs="宋体"/>
          <w:color w:val="4A4A4A"/>
          <w:sz w:val="30"/>
          <w:szCs w:val="30"/>
          <w:lang w:eastAsia="zh-CN"/>
        </w:rPr>
      </w:pPr>
      <w:r>
        <w:rPr>
          <w:rFonts w:hint="eastAsia" w:ascii="黑体" w:hAnsi="黑体" w:eastAsia="黑体" w:cs="宋体"/>
          <w:color w:val="4A4A4A"/>
          <w:sz w:val="30"/>
          <w:szCs w:val="30"/>
          <w:lang w:eastAsia="zh-CN"/>
        </w:rPr>
        <w:t>三、综合评价情况及评价结论</w:t>
      </w:r>
    </w:p>
    <w:p>
      <w:pPr>
        <w:widowControl/>
        <w:shd w:val="clear" w:color="auto" w:fill="FFFFFF"/>
        <w:spacing w:line="520" w:lineRule="exact"/>
        <w:ind w:firstLine="602" w:firstLineChars="200"/>
        <w:rPr>
          <w:rFonts w:ascii="华文楷体" w:hAnsi="华文楷体" w:eastAsia="华文楷体" w:cs="宋体"/>
          <w:b/>
          <w:color w:val="4A4A4A"/>
          <w:sz w:val="30"/>
          <w:szCs w:val="30"/>
          <w:lang w:eastAsia="zh-CN"/>
        </w:rPr>
      </w:pPr>
      <w:r>
        <w:rPr>
          <w:rFonts w:hint="eastAsia" w:ascii="华文楷体" w:hAnsi="华文楷体" w:eastAsia="华文楷体" w:cs="宋体"/>
          <w:b/>
          <w:color w:val="4A4A4A"/>
          <w:sz w:val="30"/>
          <w:szCs w:val="30"/>
          <w:lang w:eastAsia="zh-CN"/>
        </w:rPr>
        <w:t>（一）绩效评价工作情况</w:t>
      </w:r>
    </w:p>
    <w:p>
      <w:pPr>
        <w:spacing w:line="520" w:lineRule="exact"/>
        <w:ind w:firstLine="663" w:firstLineChars="221"/>
        <w:rPr>
          <w:rFonts w:ascii="仿宋" w:hAnsi="仿宋" w:eastAsia="仿宋" w:cs="Arial Narrow"/>
          <w:sz w:val="30"/>
          <w:szCs w:val="30"/>
          <w:lang w:eastAsia="zh-CN"/>
        </w:rPr>
      </w:pPr>
      <w:r>
        <w:rPr>
          <w:rFonts w:hint="eastAsia" w:ascii="仿宋" w:hAnsi="仿宋" w:eastAsia="仿宋" w:cs="Arial Narrow"/>
          <w:sz w:val="30"/>
          <w:szCs w:val="30"/>
          <w:lang w:eastAsia="zh-CN"/>
        </w:rPr>
        <w:t>绩效评价原则应当遵循科学规范、公正公开、分级分类及绩效相关的原则，严格执行规定的程序，按照科学可行的要求，采用定量与定性分析相结合的方法，且符合真实、客观、公正的要求，针对具体支出及其产出绩效进行评价；绩效评价指标是指衡量绩效目标实现程度的考核工具，具体分为共性指标和个性指标；绩效评价方法主要采用成本效益分析法、比较法、因素分析法、最低成本法、公评判法及其他评价方法等。</w:t>
      </w:r>
    </w:p>
    <w:p>
      <w:pPr>
        <w:widowControl/>
        <w:shd w:val="clear" w:color="auto" w:fill="FFFFFF"/>
        <w:spacing w:line="520" w:lineRule="exact"/>
        <w:ind w:firstLine="602" w:firstLineChars="200"/>
        <w:rPr>
          <w:rFonts w:ascii="华文楷体" w:hAnsi="华文楷体" w:eastAsia="华文楷体" w:cs="宋体"/>
          <w:b/>
          <w:color w:val="4A4A4A"/>
          <w:sz w:val="30"/>
          <w:szCs w:val="30"/>
          <w:lang w:eastAsia="zh-CN"/>
        </w:rPr>
      </w:pPr>
      <w:r>
        <w:rPr>
          <w:rFonts w:hint="eastAsia" w:ascii="华文楷体" w:hAnsi="华文楷体" w:eastAsia="华文楷体" w:cs="宋体"/>
          <w:b/>
          <w:color w:val="4A4A4A"/>
          <w:sz w:val="30"/>
          <w:szCs w:val="30"/>
          <w:lang w:eastAsia="zh-CN"/>
        </w:rPr>
        <w:t>（二）绩效评价结论</w:t>
      </w:r>
    </w:p>
    <w:p>
      <w:pPr>
        <w:widowControl/>
        <w:shd w:val="clear" w:color="auto" w:fill="FFFFFF"/>
        <w:spacing w:line="520" w:lineRule="exact"/>
        <w:ind w:firstLine="750" w:firstLineChars="250"/>
        <w:rPr>
          <w:rFonts w:ascii="仿宋" w:hAnsi="仿宋" w:eastAsia="仿宋" w:cs="Arial Narrow"/>
          <w:sz w:val="30"/>
          <w:szCs w:val="30"/>
          <w:lang w:eastAsia="zh-CN"/>
        </w:rPr>
      </w:pPr>
      <w:r>
        <w:rPr>
          <w:rFonts w:hint="eastAsia" w:ascii="仿宋" w:hAnsi="仿宋" w:eastAsia="仿宋" w:cs="Arial Narrow"/>
          <w:sz w:val="30"/>
          <w:szCs w:val="30"/>
          <w:lang w:eastAsia="zh-CN"/>
        </w:rPr>
        <w:t>兴国县退役军人事务局2021年度优抚安置资金项目已基本按计划完成，项目实施达到预定效果。依据2021年度优抚安置资金项目支出绩效自评表，对该项目预算执行情况、产出指标、效益指标、满意度指标进行了量化打分得分95分，评价等级为“优”。</w:t>
      </w:r>
    </w:p>
    <w:tbl>
      <w:tblPr>
        <w:tblStyle w:val="7"/>
        <w:tblW w:w="8080" w:type="dxa"/>
        <w:tblInd w:w="25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979"/>
        <w:gridCol w:w="2132"/>
        <w:gridCol w:w="2126"/>
        <w:gridCol w:w="1843"/>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blHeader/>
        </w:trPr>
        <w:tc>
          <w:tcPr>
            <w:tcW w:w="1979" w:type="dxa"/>
          </w:tcPr>
          <w:p>
            <w:pPr>
              <w:spacing w:line="520" w:lineRule="exact"/>
              <w:ind w:firstLine="480"/>
              <w:rPr>
                <w:rFonts w:ascii="仿宋" w:hAnsi="仿宋" w:eastAsia="仿宋" w:cs="Arial Narrow"/>
                <w:kern w:val="2"/>
                <w:sz w:val="30"/>
                <w:szCs w:val="30"/>
              </w:rPr>
            </w:pPr>
            <w:r>
              <w:rPr>
                <w:rFonts w:hint="eastAsia" w:ascii="仿宋" w:hAnsi="仿宋" w:eastAsia="仿宋" w:cs="Arial Narrow"/>
                <w:kern w:val="2"/>
                <w:sz w:val="30"/>
                <w:szCs w:val="30"/>
              </w:rPr>
              <w:t>评价准则</w:t>
            </w:r>
          </w:p>
        </w:tc>
        <w:tc>
          <w:tcPr>
            <w:tcW w:w="2132" w:type="dxa"/>
          </w:tcPr>
          <w:p>
            <w:pPr>
              <w:spacing w:line="520" w:lineRule="exact"/>
              <w:ind w:firstLine="480"/>
              <w:rPr>
                <w:rFonts w:ascii="仿宋" w:hAnsi="仿宋" w:eastAsia="仿宋" w:cs="Arial Narrow"/>
                <w:kern w:val="2"/>
                <w:sz w:val="30"/>
                <w:szCs w:val="30"/>
              </w:rPr>
            </w:pPr>
            <w:r>
              <w:rPr>
                <w:rFonts w:hint="eastAsia" w:ascii="仿宋" w:hAnsi="仿宋" w:eastAsia="仿宋" w:cs="Arial Narrow"/>
                <w:kern w:val="2"/>
                <w:sz w:val="30"/>
                <w:szCs w:val="30"/>
              </w:rPr>
              <w:t>准则分值</w:t>
            </w:r>
          </w:p>
        </w:tc>
        <w:tc>
          <w:tcPr>
            <w:tcW w:w="2126" w:type="dxa"/>
          </w:tcPr>
          <w:p>
            <w:pPr>
              <w:spacing w:line="520" w:lineRule="exact"/>
              <w:ind w:firstLine="480"/>
              <w:rPr>
                <w:rFonts w:ascii="仿宋" w:hAnsi="仿宋" w:eastAsia="仿宋" w:cs="Arial Narrow"/>
                <w:kern w:val="2"/>
                <w:sz w:val="30"/>
                <w:szCs w:val="30"/>
              </w:rPr>
            </w:pPr>
            <w:r>
              <w:rPr>
                <w:rFonts w:hint="eastAsia" w:ascii="仿宋" w:hAnsi="仿宋" w:eastAsia="仿宋" w:cs="Arial Narrow"/>
                <w:kern w:val="2"/>
                <w:sz w:val="30"/>
                <w:szCs w:val="30"/>
              </w:rPr>
              <w:t>评价得分</w:t>
            </w:r>
          </w:p>
        </w:tc>
        <w:tc>
          <w:tcPr>
            <w:tcW w:w="1843" w:type="dxa"/>
          </w:tcPr>
          <w:p>
            <w:pPr>
              <w:spacing w:line="520" w:lineRule="exact"/>
              <w:rPr>
                <w:rFonts w:ascii="仿宋" w:hAnsi="仿宋" w:eastAsia="仿宋" w:cs="Arial Narrow"/>
                <w:kern w:val="2"/>
                <w:sz w:val="30"/>
                <w:szCs w:val="30"/>
              </w:rPr>
            </w:pPr>
            <w:r>
              <w:rPr>
                <w:rFonts w:hint="eastAsia" w:ascii="仿宋" w:hAnsi="仿宋" w:eastAsia="仿宋" w:cs="Arial Narrow"/>
                <w:kern w:val="2"/>
                <w:sz w:val="30"/>
                <w:szCs w:val="30"/>
              </w:rPr>
              <w:t>评价等级</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79" w:type="dxa"/>
          </w:tcPr>
          <w:p>
            <w:pPr>
              <w:spacing w:line="520" w:lineRule="exact"/>
              <w:ind w:firstLine="546" w:firstLineChars="182"/>
              <w:rPr>
                <w:rFonts w:ascii="仿宋" w:hAnsi="仿宋" w:eastAsia="仿宋" w:cs="Arial Narrow"/>
                <w:kern w:val="2"/>
                <w:sz w:val="30"/>
                <w:szCs w:val="30"/>
              </w:rPr>
            </w:pPr>
            <w:r>
              <w:rPr>
                <w:rFonts w:hint="eastAsia" w:ascii="仿宋" w:hAnsi="仿宋" w:eastAsia="仿宋" w:cs="Arial Narrow"/>
                <w:kern w:val="2"/>
                <w:sz w:val="30"/>
                <w:szCs w:val="30"/>
              </w:rPr>
              <w:t>决策</w:t>
            </w:r>
          </w:p>
        </w:tc>
        <w:tc>
          <w:tcPr>
            <w:tcW w:w="2132" w:type="dxa"/>
          </w:tcPr>
          <w:p>
            <w:pPr>
              <w:spacing w:line="520" w:lineRule="exact"/>
              <w:ind w:firstLine="480"/>
              <w:rPr>
                <w:rFonts w:ascii="仿宋" w:hAnsi="仿宋" w:eastAsia="仿宋" w:cs="Arial Narrow"/>
                <w:kern w:val="2"/>
                <w:sz w:val="30"/>
                <w:szCs w:val="30"/>
              </w:rPr>
            </w:pPr>
            <w:r>
              <w:rPr>
                <w:rFonts w:hint="eastAsia" w:ascii="仿宋" w:hAnsi="仿宋" w:eastAsia="仿宋" w:cs="Arial Narrow"/>
                <w:kern w:val="2"/>
                <w:sz w:val="30"/>
                <w:szCs w:val="30"/>
              </w:rPr>
              <w:t>6分</w:t>
            </w:r>
          </w:p>
        </w:tc>
        <w:tc>
          <w:tcPr>
            <w:tcW w:w="2126" w:type="dxa"/>
          </w:tcPr>
          <w:p>
            <w:pPr>
              <w:spacing w:line="520" w:lineRule="exact"/>
              <w:ind w:firstLine="480"/>
              <w:rPr>
                <w:rFonts w:ascii="仿宋" w:hAnsi="仿宋" w:eastAsia="仿宋" w:cs="Arial Narrow"/>
                <w:kern w:val="2"/>
                <w:sz w:val="30"/>
                <w:szCs w:val="30"/>
              </w:rPr>
            </w:pPr>
            <w:r>
              <w:rPr>
                <w:rFonts w:hint="eastAsia" w:ascii="仿宋" w:hAnsi="仿宋" w:eastAsia="仿宋" w:cs="Arial Narrow"/>
                <w:kern w:val="2"/>
                <w:sz w:val="30"/>
                <w:szCs w:val="30"/>
              </w:rPr>
              <w:t>6分</w:t>
            </w:r>
          </w:p>
        </w:tc>
        <w:tc>
          <w:tcPr>
            <w:tcW w:w="1843" w:type="dxa"/>
          </w:tcPr>
          <w:p>
            <w:pPr>
              <w:spacing w:line="520" w:lineRule="exact"/>
              <w:ind w:firstLine="480"/>
              <w:rPr>
                <w:rFonts w:ascii="仿宋" w:hAnsi="仿宋" w:eastAsia="仿宋" w:cs="Arial Narrow"/>
                <w:kern w:val="2"/>
                <w:sz w:val="30"/>
                <w:szCs w:val="30"/>
              </w:rPr>
            </w:pPr>
            <w:r>
              <w:rPr>
                <w:rFonts w:hint="eastAsia" w:ascii="仿宋" w:hAnsi="仿宋" w:eastAsia="仿宋" w:cs="Arial Narrow"/>
                <w:kern w:val="2"/>
                <w:sz w:val="30"/>
                <w:szCs w:val="30"/>
              </w:rPr>
              <w:t>优</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79" w:type="dxa"/>
          </w:tcPr>
          <w:p>
            <w:pPr>
              <w:spacing w:line="520" w:lineRule="exact"/>
              <w:ind w:firstLine="480"/>
              <w:rPr>
                <w:rFonts w:ascii="仿宋" w:hAnsi="仿宋" w:eastAsia="仿宋" w:cs="Arial Narrow"/>
                <w:kern w:val="2"/>
                <w:sz w:val="30"/>
                <w:szCs w:val="30"/>
              </w:rPr>
            </w:pPr>
            <w:r>
              <w:rPr>
                <w:rFonts w:hint="eastAsia" w:ascii="仿宋" w:hAnsi="仿宋" w:eastAsia="仿宋" w:cs="Arial Narrow"/>
                <w:kern w:val="2"/>
                <w:sz w:val="30"/>
                <w:szCs w:val="30"/>
              </w:rPr>
              <w:t>过程</w:t>
            </w:r>
          </w:p>
        </w:tc>
        <w:tc>
          <w:tcPr>
            <w:tcW w:w="2132" w:type="dxa"/>
          </w:tcPr>
          <w:p>
            <w:pPr>
              <w:spacing w:line="520" w:lineRule="exact"/>
              <w:ind w:firstLine="480"/>
              <w:rPr>
                <w:rFonts w:ascii="仿宋" w:hAnsi="仿宋" w:eastAsia="仿宋" w:cs="Arial Narrow"/>
                <w:kern w:val="2"/>
                <w:sz w:val="30"/>
                <w:szCs w:val="30"/>
              </w:rPr>
            </w:pPr>
            <w:r>
              <w:rPr>
                <w:rFonts w:hint="eastAsia" w:ascii="仿宋" w:hAnsi="仿宋" w:eastAsia="仿宋" w:cs="Arial Narrow"/>
                <w:kern w:val="2"/>
                <w:sz w:val="30"/>
                <w:szCs w:val="30"/>
              </w:rPr>
              <w:t>4分</w:t>
            </w:r>
          </w:p>
        </w:tc>
        <w:tc>
          <w:tcPr>
            <w:tcW w:w="2126" w:type="dxa"/>
          </w:tcPr>
          <w:p>
            <w:pPr>
              <w:spacing w:line="520" w:lineRule="exact"/>
              <w:ind w:firstLine="480"/>
              <w:rPr>
                <w:rFonts w:ascii="仿宋" w:hAnsi="仿宋" w:eastAsia="仿宋" w:cs="Arial Narrow"/>
                <w:kern w:val="2"/>
                <w:sz w:val="30"/>
                <w:szCs w:val="30"/>
              </w:rPr>
            </w:pPr>
            <w:r>
              <w:rPr>
                <w:rFonts w:hint="eastAsia" w:ascii="仿宋" w:hAnsi="仿宋" w:eastAsia="仿宋" w:cs="Arial Narrow"/>
                <w:kern w:val="2"/>
                <w:sz w:val="30"/>
                <w:szCs w:val="30"/>
              </w:rPr>
              <w:t>3.5分</w:t>
            </w:r>
          </w:p>
        </w:tc>
        <w:tc>
          <w:tcPr>
            <w:tcW w:w="1843" w:type="dxa"/>
          </w:tcPr>
          <w:p>
            <w:pPr>
              <w:spacing w:line="520" w:lineRule="exact"/>
              <w:ind w:firstLine="480"/>
              <w:rPr>
                <w:rFonts w:ascii="仿宋" w:hAnsi="仿宋" w:eastAsia="仿宋" w:cs="Arial Narrow"/>
                <w:kern w:val="2"/>
                <w:sz w:val="30"/>
                <w:szCs w:val="30"/>
              </w:rPr>
            </w:pPr>
            <w:r>
              <w:rPr>
                <w:rFonts w:ascii="仿宋" w:hAnsi="仿宋" w:eastAsia="仿宋" w:cs="Arial Narrow"/>
                <w:kern w:val="2"/>
                <w:sz w:val="30"/>
                <w:szCs w:val="30"/>
              </w:rPr>
              <w:t>优</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79" w:type="dxa"/>
          </w:tcPr>
          <w:p>
            <w:pPr>
              <w:spacing w:line="520" w:lineRule="exact"/>
              <w:ind w:firstLine="480"/>
              <w:rPr>
                <w:rFonts w:ascii="仿宋" w:hAnsi="仿宋" w:eastAsia="仿宋" w:cs="Arial Narrow"/>
                <w:kern w:val="2"/>
                <w:sz w:val="30"/>
                <w:szCs w:val="30"/>
              </w:rPr>
            </w:pPr>
            <w:r>
              <w:rPr>
                <w:rFonts w:ascii="仿宋" w:hAnsi="仿宋" w:eastAsia="仿宋" w:cs="Arial Narrow"/>
                <w:kern w:val="2"/>
                <w:sz w:val="30"/>
                <w:szCs w:val="30"/>
              </w:rPr>
              <w:t>产出</w:t>
            </w:r>
          </w:p>
        </w:tc>
        <w:tc>
          <w:tcPr>
            <w:tcW w:w="2132" w:type="dxa"/>
          </w:tcPr>
          <w:p>
            <w:pPr>
              <w:spacing w:line="520" w:lineRule="exact"/>
              <w:ind w:firstLine="480"/>
              <w:rPr>
                <w:rFonts w:ascii="仿宋" w:hAnsi="仿宋" w:eastAsia="仿宋" w:cs="Arial Narrow"/>
                <w:kern w:val="2"/>
                <w:sz w:val="30"/>
                <w:szCs w:val="30"/>
              </w:rPr>
            </w:pPr>
            <w:r>
              <w:rPr>
                <w:rFonts w:hint="eastAsia" w:ascii="仿宋" w:hAnsi="仿宋" w:eastAsia="仿宋" w:cs="Arial Narrow"/>
                <w:kern w:val="2"/>
                <w:sz w:val="30"/>
                <w:szCs w:val="30"/>
              </w:rPr>
              <w:t>50分</w:t>
            </w:r>
          </w:p>
        </w:tc>
        <w:tc>
          <w:tcPr>
            <w:tcW w:w="2126" w:type="dxa"/>
          </w:tcPr>
          <w:p>
            <w:pPr>
              <w:spacing w:line="520" w:lineRule="exact"/>
              <w:ind w:firstLine="480"/>
              <w:rPr>
                <w:rFonts w:ascii="仿宋" w:hAnsi="仿宋" w:eastAsia="仿宋" w:cs="Arial Narrow"/>
                <w:kern w:val="2"/>
                <w:sz w:val="30"/>
                <w:szCs w:val="30"/>
              </w:rPr>
            </w:pPr>
            <w:r>
              <w:rPr>
                <w:rFonts w:hint="eastAsia" w:ascii="仿宋" w:hAnsi="仿宋" w:eastAsia="仿宋" w:cs="Arial Narrow"/>
                <w:kern w:val="2"/>
                <w:sz w:val="30"/>
                <w:szCs w:val="30"/>
              </w:rPr>
              <w:t>45.5分</w:t>
            </w:r>
          </w:p>
        </w:tc>
        <w:tc>
          <w:tcPr>
            <w:tcW w:w="1843" w:type="dxa"/>
          </w:tcPr>
          <w:p>
            <w:pPr>
              <w:spacing w:line="520" w:lineRule="exact"/>
              <w:ind w:firstLine="480"/>
              <w:rPr>
                <w:rFonts w:ascii="仿宋" w:hAnsi="仿宋" w:eastAsia="仿宋" w:cs="Arial Narrow"/>
                <w:kern w:val="2"/>
                <w:sz w:val="30"/>
                <w:szCs w:val="30"/>
              </w:rPr>
            </w:pPr>
            <w:r>
              <w:rPr>
                <w:rFonts w:ascii="仿宋" w:hAnsi="仿宋" w:eastAsia="仿宋" w:cs="Arial Narrow"/>
                <w:kern w:val="2"/>
                <w:sz w:val="30"/>
                <w:szCs w:val="30"/>
              </w:rPr>
              <w:t>优</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79" w:type="dxa"/>
          </w:tcPr>
          <w:p>
            <w:pPr>
              <w:spacing w:line="520" w:lineRule="exact"/>
              <w:ind w:firstLine="480"/>
              <w:rPr>
                <w:rFonts w:ascii="仿宋" w:hAnsi="仿宋" w:eastAsia="仿宋" w:cs="Arial Narrow"/>
                <w:kern w:val="2"/>
                <w:sz w:val="30"/>
                <w:szCs w:val="30"/>
              </w:rPr>
            </w:pPr>
            <w:r>
              <w:rPr>
                <w:rFonts w:hint="eastAsia" w:ascii="仿宋" w:hAnsi="仿宋" w:eastAsia="仿宋" w:cs="Arial Narrow"/>
                <w:kern w:val="2"/>
                <w:sz w:val="30"/>
                <w:szCs w:val="30"/>
              </w:rPr>
              <w:t>效益</w:t>
            </w:r>
          </w:p>
        </w:tc>
        <w:tc>
          <w:tcPr>
            <w:tcW w:w="2132" w:type="dxa"/>
          </w:tcPr>
          <w:p>
            <w:pPr>
              <w:spacing w:line="520" w:lineRule="exact"/>
              <w:ind w:firstLine="480"/>
              <w:rPr>
                <w:rFonts w:ascii="仿宋" w:hAnsi="仿宋" w:eastAsia="仿宋" w:cs="Arial Narrow"/>
                <w:kern w:val="2"/>
                <w:sz w:val="30"/>
                <w:szCs w:val="30"/>
              </w:rPr>
            </w:pPr>
            <w:r>
              <w:rPr>
                <w:rFonts w:hint="eastAsia" w:ascii="仿宋" w:hAnsi="仿宋" w:eastAsia="仿宋" w:cs="Arial Narrow"/>
                <w:kern w:val="2"/>
                <w:sz w:val="30"/>
                <w:szCs w:val="30"/>
              </w:rPr>
              <w:t>40分</w:t>
            </w:r>
          </w:p>
        </w:tc>
        <w:tc>
          <w:tcPr>
            <w:tcW w:w="2126" w:type="dxa"/>
          </w:tcPr>
          <w:p>
            <w:pPr>
              <w:spacing w:line="520" w:lineRule="exact"/>
              <w:ind w:firstLine="480"/>
              <w:rPr>
                <w:rFonts w:ascii="仿宋" w:hAnsi="仿宋" w:eastAsia="仿宋" w:cs="Arial Narrow"/>
                <w:kern w:val="2"/>
                <w:sz w:val="30"/>
                <w:szCs w:val="30"/>
              </w:rPr>
            </w:pPr>
            <w:r>
              <w:rPr>
                <w:rFonts w:hint="eastAsia" w:ascii="仿宋" w:hAnsi="仿宋" w:eastAsia="仿宋" w:cs="Arial Narrow"/>
                <w:kern w:val="2"/>
                <w:sz w:val="30"/>
                <w:szCs w:val="30"/>
              </w:rPr>
              <w:t>40分</w:t>
            </w:r>
          </w:p>
        </w:tc>
        <w:tc>
          <w:tcPr>
            <w:tcW w:w="1843" w:type="dxa"/>
          </w:tcPr>
          <w:p>
            <w:pPr>
              <w:spacing w:line="520" w:lineRule="exact"/>
              <w:ind w:firstLine="480"/>
              <w:rPr>
                <w:rFonts w:ascii="仿宋" w:hAnsi="仿宋" w:eastAsia="仿宋" w:cs="Arial Narrow"/>
                <w:kern w:val="2"/>
                <w:sz w:val="30"/>
                <w:szCs w:val="30"/>
              </w:rPr>
            </w:pPr>
            <w:r>
              <w:rPr>
                <w:rFonts w:ascii="仿宋" w:hAnsi="仿宋" w:eastAsia="仿宋" w:cs="Arial Narrow"/>
                <w:kern w:val="2"/>
                <w:sz w:val="30"/>
                <w:szCs w:val="30"/>
              </w:rPr>
              <w:t>优</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79" w:type="dxa"/>
          </w:tcPr>
          <w:p>
            <w:pPr>
              <w:spacing w:line="520" w:lineRule="exact"/>
              <w:ind w:firstLine="480"/>
              <w:rPr>
                <w:rFonts w:ascii="仿宋" w:hAnsi="仿宋" w:eastAsia="仿宋" w:cs="Arial Narrow"/>
                <w:kern w:val="2"/>
                <w:sz w:val="30"/>
                <w:szCs w:val="30"/>
              </w:rPr>
            </w:pPr>
            <w:r>
              <w:rPr>
                <w:rFonts w:hint="eastAsia" w:ascii="仿宋" w:hAnsi="仿宋" w:eastAsia="仿宋" w:cs="Arial Narrow"/>
                <w:kern w:val="2"/>
                <w:sz w:val="30"/>
                <w:szCs w:val="30"/>
              </w:rPr>
              <w:t>综合绩效</w:t>
            </w:r>
          </w:p>
        </w:tc>
        <w:tc>
          <w:tcPr>
            <w:tcW w:w="2132" w:type="dxa"/>
          </w:tcPr>
          <w:p>
            <w:pPr>
              <w:spacing w:line="520" w:lineRule="exact"/>
              <w:ind w:firstLine="480"/>
              <w:rPr>
                <w:rFonts w:ascii="仿宋" w:hAnsi="仿宋" w:eastAsia="仿宋" w:cs="Arial Narrow"/>
                <w:kern w:val="2"/>
                <w:sz w:val="30"/>
                <w:szCs w:val="30"/>
              </w:rPr>
            </w:pPr>
            <w:r>
              <w:rPr>
                <w:rFonts w:hint="eastAsia" w:ascii="仿宋" w:hAnsi="仿宋" w:eastAsia="仿宋" w:cs="Arial Narrow"/>
                <w:kern w:val="2"/>
                <w:sz w:val="30"/>
                <w:szCs w:val="30"/>
              </w:rPr>
              <w:t>100分</w:t>
            </w:r>
          </w:p>
        </w:tc>
        <w:tc>
          <w:tcPr>
            <w:tcW w:w="2126" w:type="dxa"/>
          </w:tcPr>
          <w:p>
            <w:pPr>
              <w:spacing w:line="520" w:lineRule="exact"/>
              <w:ind w:firstLine="480"/>
              <w:rPr>
                <w:rFonts w:ascii="仿宋" w:hAnsi="仿宋" w:eastAsia="仿宋" w:cs="Arial Narrow"/>
                <w:kern w:val="2"/>
                <w:sz w:val="30"/>
                <w:szCs w:val="30"/>
              </w:rPr>
            </w:pPr>
            <w:r>
              <w:rPr>
                <w:rFonts w:hint="eastAsia" w:ascii="仿宋" w:hAnsi="仿宋" w:eastAsia="仿宋" w:cs="Arial Narrow"/>
                <w:kern w:val="2"/>
                <w:sz w:val="30"/>
                <w:szCs w:val="30"/>
              </w:rPr>
              <w:t>95分</w:t>
            </w:r>
          </w:p>
        </w:tc>
        <w:tc>
          <w:tcPr>
            <w:tcW w:w="1843" w:type="dxa"/>
          </w:tcPr>
          <w:p>
            <w:pPr>
              <w:spacing w:line="520" w:lineRule="exact"/>
              <w:ind w:firstLine="480"/>
              <w:rPr>
                <w:rFonts w:ascii="仿宋" w:hAnsi="仿宋" w:eastAsia="仿宋" w:cs="Arial Narrow"/>
                <w:kern w:val="2"/>
                <w:sz w:val="30"/>
                <w:szCs w:val="30"/>
              </w:rPr>
            </w:pPr>
            <w:r>
              <w:rPr>
                <w:rFonts w:ascii="仿宋" w:hAnsi="仿宋" w:eastAsia="仿宋" w:cs="Arial Narrow"/>
                <w:kern w:val="2"/>
                <w:sz w:val="30"/>
                <w:szCs w:val="30"/>
              </w:rPr>
              <w:t>优</w:t>
            </w:r>
          </w:p>
        </w:tc>
      </w:tr>
    </w:tbl>
    <w:p>
      <w:pPr>
        <w:widowControl/>
        <w:shd w:val="clear" w:color="auto" w:fill="FFFFFF"/>
        <w:spacing w:line="520" w:lineRule="exact"/>
        <w:ind w:firstLine="600" w:firstLineChars="200"/>
        <w:rPr>
          <w:rFonts w:ascii="黑体" w:hAnsi="黑体" w:eastAsia="黑体" w:cs="宋体"/>
          <w:color w:val="4A4A4A"/>
          <w:sz w:val="30"/>
          <w:szCs w:val="30"/>
          <w:lang w:eastAsia="zh-CN"/>
        </w:rPr>
      </w:pPr>
      <w:r>
        <w:rPr>
          <w:rFonts w:hint="eastAsia" w:ascii="黑体" w:hAnsi="黑体" w:eastAsia="黑体" w:cs="宋体"/>
          <w:color w:val="4A4A4A"/>
          <w:sz w:val="30"/>
          <w:szCs w:val="30"/>
          <w:lang w:eastAsia="zh-CN"/>
        </w:rPr>
        <w:t>四、绩效评价指标分析</w:t>
      </w:r>
    </w:p>
    <w:p>
      <w:pPr>
        <w:widowControl/>
        <w:shd w:val="clear" w:color="auto" w:fill="FFFFFF"/>
        <w:spacing w:line="520" w:lineRule="exact"/>
        <w:ind w:firstLine="602" w:firstLineChars="200"/>
        <w:rPr>
          <w:rFonts w:ascii="华文楷体" w:hAnsi="华文楷体" w:eastAsia="华文楷体" w:cs="宋体"/>
          <w:b/>
          <w:color w:val="4A4A4A"/>
          <w:sz w:val="30"/>
          <w:szCs w:val="30"/>
          <w:lang w:eastAsia="zh-CN"/>
        </w:rPr>
      </w:pPr>
      <w:r>
        <w:rPr>
          <w:rFonts w:hint="eastAsia" w:ascii="华文楷体" w:hAnsi="华文楷体" w:eastAsia="华文楷体" w:cs="宋体"/>
          <w:b/>
          <w:color w:val="4A4A4A"/>
          <w:sz w:val="30"/>
          <w:szCs w:val="30"/>
          <w:lang w:eastAsia="zh-CN"/>
        </w:rPr>
        <w:t>（一）项目决策情况</w:t>
      </w:r>
    </w:p>
    <w:p>
      <w:pPr>
        <w:spacing w:line="520" w:lineRule="exact"/>
        <w:ind w:firstLine="663" w:firstLineChars="221"/>
        <w:rPr>
          <w:rFonts w:ascii="仿宋" w:hAnsi="仿宋" w:eastAsia="仿宋" w:cs="Arial Narrow"/>
          <w:sz w:val="30"/>
          <w:szCs w:val="30"/>
          <w:lang w:eastAsia="zh-CN"/>
        </w:rPr>
      </w:pPr>
      <w:r>
        <w:rPr>
          <w:rFonts w:hint="eastAsia" w:ascii="仿宋" w:hAnsi="仿宋" w:eastAsia="仿宋" w:cs="Arial Narrow"/>
          <w:sz w:val="30"/>
          <w:szCs w:val="30"/>
          <w:lang w:eastAsia="zh-CN"/>
        </w:rPr>
        <w:t>项目决策合理。</w:t>
      </w:r>
    </w:p>
    <w:p>
      <w:pPr>
        <w:widowControl/>
        <w:shd w:val="clear" w:color="auto" w:fill="FFFFFF"/>
        <w:spacing w:line="520" w:lineRule="exact"/>
        <w:ind w:firstLine="602" w:firstLineChars="200"/>
        <w:rPr>
          <w:rFonts w:ascii="华文楷体" w:hAnsi="华文楷体" w:eastAsia="华文楷体" w:cs="宋体"/>
          <w:b/>
          <w:color w:val="4A4A4A"/>
          <w:sz w:val="30"/>
          <w:szCs w:val="30"/>
          <w:lang w:eastAsia="zh-CN"/>
        </w:rPr>
      </w:pPr>
      <w:r>
        <w:rPr>
          <w:rFonts w:hint="eastAsia" w:ascii="华文楷体" w:hAnsi="华文楷体" w:eastAsia="华文楷体" w:cs="宋体"/>
          <w:b/>
          <w:color w:val="4A4A4A"/>
          <w:sz w:val="30"/>
          <w:szCs w:val="30"/>
          <w:lang w:eastAsia="zh-CN"/>
        </w:rPr>
        <w:t>（二）项目过程情况</w:t>
      </w:r>
    </w:p>
    <w:p>
      <w:pPr>
        <w:spacing w:line="520" w:lineRule="exact"/>
        <w:ind w:firstLine="663" w:firstLineChars="221"/>
        <w:rPr>
          <w:rFonts w:ascii="仿宋" w:hAnsi="仿宋" w:eastAsia="仿宋" w:cs="Arial Narrow"/>
          <w:sz w:val="30"/>
          <w:szCs w:val="30"/>
          <w:lang w:eastAsia="zh-CN"/>
        </w:rPr>
      </w:pPr>
      <w:r>
        <w:rPr>
          <w:rFonts w:hint="eastAsia" w:ascii="仿宋" w:hAnsi="仿宋" w:eastAsia="仿宋" w:cs="Arial Narrow"/>
          <w:sz w:val="30"/>
          <w:szCs w:val="30"/>
          <w:lang w:eastAsia="zh-CN"/>
        </w:rPr>
        <w:t>项目实施顺利。</w:t>
      </w:r>
    </w:p>
    <w:p>
      <w:pPr>
        <w:widowControl/>
        <w:shd w:val="clear" w:color="auto" w:fill="FFFFFF"/>
        <w:spacing w:line="520" w:lineRule="exact"/>
        <w:ind w:firstLine="602" w:firstLineChars="200"/>
        <w:rPr>
          <w:rFonts w:ascii="华文楷体" w:hAnsi="华文楷体" w:eastAsia="华文楷体" w:cs="宋体"/>
          <w:b/>
          <w:color w:val="4A4A4A"/>
          <w:sz w:val="30"/>
          <w:szCs w:val="30"/>
          <w:lang w:eastAsia="zh-CN"/>
        </w:rPr>
      </w:pPr>
      <w:r>
        <w:rPr>
          <w:rFonts w:hint="eastAsia" w:ascii="华文楷体" w:hAnsi="华文楷体" w:eastAsia="华文楷体" w:cs="宋体"/>
          <w:b/>
          <w:color w:val="4A4A4A"/>
          <w:sz w:val="30"/>
          <w:szCs w:val="30"/>
          <w:lang w:eastAsia="zh-CN"/>
        </w:rPr>
        <w:t>（三）项目产出情况</w:t>
      </w:r>
    </w:p>
    <w:p>
      <w:pPr>
        <w:spacing w:line="520" w:lineRule="exact"/>
        <w:ind w:firstLine="663" w:firstLineChars="221"/>
        <w:rPr>
          <w:rFonts w:ascii="仿宋" w:hAnsi="仿宋" w:eastAsia="仿宋" w:cs="Arial Narrow"/>
          <w:sz w:val="30"/>
          <w:szCs w:val="30"/>
          <w:lang w:eastAsia="zh-CN"/>
        </w:rPr>
      </w:pPr>
      <w:r>
        <w:rPr>
          <w:rFonts w:hint="eastAsia" w:ascii="仿宋" w:hAnsi="仿宋" w:eastAsia="仿宋" w:cs="Arial Narrow"/>
          <w:sz w:val="30"/>
          <w:szCs w:val="30"/>
          <w:lang w:eastAsia="zh-CN"/>
        </w:rPr>
        <w:t>项目产出达到要求。</w:t>
      </w:r>
    </w:p>
    <w:p>
      <w:pPr>
        <w:widowControl/>
        <w:shd w:val="clear" w:color="auto" w:fill="FFFFFF"/>
        <w:spacing w:line="520" w:lineRule="exact"/>
        <w:ind w:firstLine="602" w:firstLineChars="200"/>
        <w:rPr>
          <w:rFonts w:ascii="华文楷体" w:hAnsi="华文楷体" w:eastAsia="华文楷体" w:cs="宋体"/>
          <w:b/>
          <w:color w:val="4A4A4A"/>
          <w:sz w:val="30"/>
          <w:szCs w:val="30"/>
          <w:lang w:eastAsia="zh-CN"/>
        </w:rPr>
      </w:pPr>
      <w:r>
        <w:rPr>
          <w:rFonts w:hint="eastAsia" w:ascii="华文楷体" w:hAnsi="华文楷体" w:eastAsia="华文楷体" w:cs="宋体"/>
          <w:b/>
          <w:color w:val="4A4A4A"/>
          <w:sz w:val="30"/>
          <w:szCs w:val="30"/>
          <w:lang w:eastAsia="zh-CN"/>
        </w:rPr>
        <w:t>（四）项目效益情况</w:t>
      </w:r>
    </w:p>
    <w:p>
      <w:pPr>
        <w:spacing w:line="520" w:lineRule="exact"/>
        <w:ind w:firstLine="663" w:firstLineChars="221"/>
        <w:rPr>
          <w:rFonts w:ascii="仿宋" w:hAnsi="仿宋" w:eastAsia="仿宋" w:cs="Arial Narrow"/>
          <w:sz w:val="30"/>
          <w:szCs w:val="30"/>
          <w:lang w:eastAsia="zh-CN"/>
        </w:rPr>
      </w:pPr>
      <w:r>
        <w:rPr>
          <w:rFonts w:hint="eastAsia" w:ascii="仿宋" w:hAnsi="仿宋" w:eastAsia="仿宋" w:cs="Arial Narrow"/>
          <w:sz w:val="30"/>
          <w:szCs w:val="30"/>
          <w:lang w:eastAsia="zh-CN"/>
        </w:rPr>
        <w:t>项目达到预期社会效益。</w:t>
      </w:r>
    </w:p>
    <w:p>
      <w:pPr>
        <w:widowControl/>
        <w:shd w:val="clear" w:color="auto" w:fill="FFFFFF"/>
        <w:spacing w:line="520" w:lineRule="exact"/>
        <w:ind w:firstLine="750" w:firstLineChars="250"/>
        <w:rPr>
          <w:rFonts w:ascii="黑体" w:hAnsi="黑体" w:eastAsia="黑体" w:cs="宋体"/>
          <w:color w:val="4A4A4A"/>
          <w:sz w:val="30"/>
          <w:szCs w:val="30"/>
          <w:lang w:eastAsia="zh-CN"/>
        </w:rPr>
      </w:pPr>
      <w:r>
        <w:rPr>
          <w:rFonts w:hint="eastAsia" w:ascii="黑体" w:hAnsi="黑体" w:eastAsia="黑体" w:cs="宋体"/>
          <w:color w:val="4A4A4A"/>
          <w:sz w:val="30"/>
          <w:szCs w:val="30"/>
          <w:lang w:eastAsia="zh-CN"/>
        </w:rPr>
        <w:t>五、主要经验及做法、存在的问题及原因分析</w:t>
      </w:r>
    </w:p>
    <w:p>
      <w:pPr>
        <w:spacing w:line="520" w:lineRule="exact"/>
        <w:ind w:firstLine="663" w:firstLineChars="221"/>
        <w:rPr>
          <w:rFonts w:ascii="仿宋" w:hAnsi="仿宋" w:eastAsia="仿宋" w:cs="Arial Narrow"/>
          <w:sz w:val="30"/>
          <w:szCs w:val="30"/>
          <w:lang w:eastAsia="zh-CN"/>
        </w:rPr>
      </w:pPr>
      <w:r>
        <w:rPr>
          <w:rFonts w:hint="eastAsia" w:ascii="仿宋" w:hAnsi="仿宋" w:eastAsia="仿宋" w:cs="Arial Narrow"/>
          <w:sz w:val="30"/>
          <w:szCs w:val="30"/>
          <w:lang w:eastAsia="zh-CN"/>
        </w:rPr>
        <w:t>扎实做好优抚安置工作。及时准确足额发放各项补助资金，确保资金安全和落实到人。</w:t>
      </w:r>
    </w:p>
    <w:p>
      <w:pPr>
        <w:spacing w:line="520" w:lineRule="exact"/>
        <w:ind w:firstLine="663" w:firstLineChars="221"/>
        <w:rPr>
          <w:rFonts w:ascii="仿宋" w:hAnsi="仿宋" w:eastAsia="仿宋" w:cs="Arial Narrow"/>
          <w:sz w:val="30"/>
          <w:szCs w:val="30"/>
          <w:lang w:eastAsia="zh-CN"/>
        </w:rPr>
      </w:pPr>
      <w:r>
        <w:rPr>
          <w:rFonts w:hint="eastAsia" w:ascii="仿宋" w:hAnsi="仿宋" w:eastAsia="仿宋" w:cs="Arial Narrow"/>
          <w:sz w:val="30"/>
          <w:szCs w:val="30"/>
          <w:lang w:eastAsia="zh-CN"/>
        </w:rPr>
        <w:t>预算编制准确性不高；未充分掌握项目的实际资金需求。</w:t>
      </w:r>
    </w:p>
    <w:p>
      <w:pPr>
        <w:widowControl/>
        <w:shd w:val="clear" w:color="auto" w:fill="FFFFFF"/>
        <w:spacing w:line="520" w:lineRule="exact"/>
        <w:ind w:firstLine="750" w:firstLineChars="250"/>
        <w:rPr>
          <w:rFonts w:ascii="黑体" w:hAnsi="黑体" w:eastAsia="黑体" w:cs="宋体"/>
          <w:color w:val="4A4A4A"/>
          <w:sz w:val="30"/>
          <w:szCs w:val="30"/>
          <w:lang w:eastAsia="zh-CN"/>
        </w:rPr>
      </w:pPr>
      <w:r>
        <w:rPr>
          <w:rFonts w:hint="eastAsia" w:ascii="黑体" w:hAnsi="黑体" w:eastAsia="黑体" w:cs="宋体"/>
          <w:color w:val="4A4A4A"/>
          <w:sz w:val="30"/>
          <w:szCs w:val="30"/>
          <w:lang w:eastAsia="zh-CN"/>
        </w:rPr>
        <w:t>六、有关建议</w:t>
      </w:r>
    </w:p>
    <w:p>
      <w:pPr>
        <w:spacing w:line="520" w:lineRule="exact"/>
        <w:ind w:firstLine="663" w:firstLineChars="221"/>
        <w:rPr>
          <w:rFonts w:ascii="仿宋" w:hAnsi="仿宋" w:eastAsia="仿宋" w:cs="Arial Narrow"/>
          <w:sz w:val="30"/>
          <w:szCs w:val="30"/>
          <w:lang w:eastAsia="zh-CN"/>
        </w:rPr>
      </w:pPr>
      <w:r>
        <w:rPr>
          <w:rFonts w:hint="eastAsia" w:ascii="仿宋" w:hAnsi="仿宋" w:eastAsia="仿宋" w:cs="Arial Narrow"/>
          <w:sz w:val="30"/>
          <w:szCs w:val="30"/>
          <w:lang w:eastAsia="zh-CN"/>
        </w:rPr>
        <w:t>加强预算管理，提高预算编制准确性。在年初编制预算时应结合历年资金使用情况和项目执行情况，充分掌握项目的实际资金需求，并积极与相关业务部门进行充分沟通，制定出符合实际情况的预算申报文本。从而提高资金利用率，实现项目长期、稳定、可持续发展。</w:t>
      </w:r>
    </w:p>
    <w:p>
      <w:pPr>
        <w:pStyle w:val="2"/>
        <w:ind w:firstLine="753" w:firstLineChars="250"/>
        <w:rPr>
          <w:rFonts w:ascii="华文楷体" w:hAnsi="华文楷体" w:eastAsia="华文楷体"/>
          <w:b/>
          <w:sz w:val="30"/>
          <w:szCs w:val="30"/>
          <w:lang w:eastAsia="zh-CN"/>
        </w:rPr>
      </w:pPr>
    </w:p>
    <w:p>
      <w:pPr>
        <w:pStyle w:val="2"/>
        <w:ind w:firstLine="753" w:firstLineChars="250"/>
        <w:rPr>
          <w:lang w:val="en-US" w:eastAsia="zh-CN" w:bidi="en-US"/>
        </w:rPr>
      </w:pPr>
      <w:r>
        <w:rPr>
          <w:rFonts w:hint="eastAsia" w:ascii="华文楷体" w:hAnsi="华文楷体" w:eastAsia="华文楷体"/>
          <w:b/>
          <w:sz w:val="30"/>
          <w:szCs w:val="30"/>
          <w:lang w:eastAsia="zh-CN"/>
        </w:rPr>
        <w:t>项目支出绩效自评表</w:t>
      </w:r>
    </w:p>
    <w:p>
      <w:pPr>
        <w:pStyle w:val="2"/>
        <w:rPr>
          <w:lang w:val="en-US" w:eastAsia="zh-CN" w:bidi="en-US"/>
        </w:rPr>
      </w:pPr>
    </w:p>
    <w:p>
      <w:pPr>
        <w:pStyle w:val="2"/>
        <w:rPr>
          <w:lang w:val="en-US" w:eastAsia="zh-CN" w:bidi="en-US"/>
        </w:rPr>
      </w:pPr>
      <w:r>
        <w:rPr>
          <w:lang w:val="en-US" w:eastAsia="zh-CN" w:bidi="ar-SA"/>
        </w:rPr>
        <w:drawing>
          <wp:inline distT="0" distB="0" distL="0" distR="0">
            <wp:extent cx="5690870" cy="3736975"/>
            <wp:effectExtent l="19050" t="0" r="5080" b="0"/>
            <wp:docPr id="8" name="图片 1" descr="C:\Users\admin\Documents\WeChat Files\wxid_qmecdyegffja22\FileStorage\Temp\16607907483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descr="C:\Users\admin\Documents\WeChat Files\wxid_qmecdyegffja22\FileStorage\Temp\1660790748367.png"/>
                    <pic:cNvPicPr>
                      <a:picLocks noChangeAspect="1" noChangeArrowheads="1"/>
                    </pic:cNvPicPr>
                  </pic:nvPicPr>
                  <pic:blipFill>
                    <a:blip r:embed="rId17"/>
                    <a:srcRect/>
                    <a:stretch>
                      <a:fillRect/>
                    </a:stretch>
                  </pic:blipFill>
                  <pic:spPr>
                    <a:xfrm>
                      <a:off x="0" y="0"/>
                      <a:ext cx="5690870" cy="3737603"/>
                    </a:xfrm>
                    <a:prstGeom prst="rect">
                      <a:avLst/>
                    </a:prstGeom>
                    <a:noFill/>
                    <a:ln w="9525">
                      <a:noFill/>
                      <a:miter lim="800000"/>
                      <a:headEnd/>
                      <a:tailEnd/>
                    </a:ln>
                  </pic:spPr>
                </pic:pic>
              </a:graphicData>
            </a:graphic>
          </wp:inline>
        </w:drawing>
      </w:r>
    </w:p>
    <w:p>
      <w:pPr>
        <w:widowControl/>
        <w:spacing w:line="520" w:lineRule="exact"/>
        <w:jc w:val="center"/>
        <w:rPr>
          <w:rFonts w:ascii="方正小标宋简体" w:hAnsi="方正小标宋简体" w:eastAsia="方正小标宋简体" w:cs="方正小标宋简体"/>
          <w:bCs/>
          <w:sz w:val="36"/>
          <w:szCs w:val="36"/>
          <w:lang w:eastAsia="zh-CN"/>
        </w:rPr>
      </w:pPr>
    </w:p>
    <w:p>
      <w:pPr>
        <w:widowControl/>
        <w:spacing w:line="520" w:lineRule="exact"/>
        <w:jc w:val="center"/>
        <w:rPr>
          <w:rFonts w:ascii="方正小标宋简体" w:hAnsi="方正小标宋简体" w:eastAsia="方正小标宋简体" w:cs="方正小标宋简体"/>
          <w:bCs/>
          <w:sz w:val="36"/>
          <w:szCs w:val="36"/>
          <w:lang w:eastAsia="zh-CN"/>
        </w:rPr>
      </w:pPr>
      <w:r>
        <w:rPr>
          <w:rFonts w:hint="eastAsia" w:ascii="方正小标宋简体" w:hAnsi="方正小标宋简体" w:eastAsia="方正小标宋简体" w:cs="方正小标宋简体"/>
          <w:bCs/>
          <w:sz w:val="36"/>
          <w:szCs w:val="36"/>
          <w:lang w:eastAsia="zh-CN"/>
        </w:rPr>
        <w:t>第四部分  名词解释</w:t>
      </w:r>
    </w:p>
    <w:p>
      <w:pPr>
        <w:spacing w:line="520" w:lineRule="exact"/>
        <w:ind w:firstLine="600"/>
        <w:rPr>
          <w:rFonts w:ascii="仿宋_GB2312" w:hAnsi="仿宋_GB2312" w:eastAsia="仿宋_GB2312"/>
          <w:color w:val="auto"/>
          <w:sz w:val="30"/>
          <w:szCs w:val="30"/>
          <w:lang w:eastAsia="zh-CN"/>
        </w:rPr>
      </w:pPr>
    </w:p>
    <w:p>
      <w:pPr>
        <w:spacing w:line="520" w:lineRule="exact"/>
        <w:ind w:firstLine="600"/>
        <w:rPr>
          <w:rFonts w:ascii="宋体" w:hAnsi="宋体" w:cs="宋体"/>
          <w:sz w:val="30"/>
          <w:szCs w:val="30"/>
          <w:lang w:eastAsia="zh-CN"/>
        </w:rPr>
      </w:pPr>
      <w:r>
        <w:rPr>
          <w:rFonts w:hint="eastAsia" w:ascii="仿宋" w:hAnsi="仿宋" w:eastAsia="仿宋" w:cs="仿宋"/>
          <w:sz w:val="30"/>
          <w:szCs w:val="30"/>
          <w:lang w:eastAsia="zh-CN"/>
        </w:rPr>
        <w:t>一、财政拨款收入：指单位本年度从本级财政部门取得的财政拨款，包括一般公共预算财政拨款和政府性基金预算财政拨款。</w:t>
      </w:r>
    </w:p>
    <w:p>
      <w:pPr>
        <w:widowControl/>
        <w:spacing w:line="520" w:lineRule="exact"/>
        <w:ind w:firstLine="420"/>
        <w:rPr>
          <w:rFonts w:ascii="宋体" w:hAnsi="宋体" w:cs="宋体"/>
          <w:sz w:val="30"/>
          <w:szCs w:val="30"/>
          <w:lang w:eastAsia="zh-CN"/>
        </w:rPr>
      </w:pPr>
      <w:r>
        <w:rPr>
          <w:rFonts w:hint="eastAsia" w:ascii="仿宋" w:hAnsi="仿宋" w:eastAsia="仿宋" w:cs="仿宋"/>
          <w:sz w:val="30"/>
          <w:szCs w:val="30"/>
          <w:lang w:eastAsia="zh-CN"/>
        </w:rPr>
        <w:t>二、上级补助收入：指事业单位从主管部门和上级单位取得的非财政补助收入。</w:t>
      </w:r>
    </w:p>
    <w:p>
      <w:pPr>
        <w:widowControl/>
        <w:spacing w:line="520" w:lineRule="exact"/>
        <w:ind w:firstLine="420"/>
        <w:rPr>
          <w:rFonts w:ascii="宋体" w:hAnsi="宋体" w:cs="宋体"/>
          <w:sz w:val="30"/>
          <w:szCs w:val="30"/>
          <w:lang w:eastAsia="zh-CN"/>
        </w:rPr>
      </w:pPr>
      <w:r>
        <w:rPr>
          <w:rFonts w:hint="eastAsia" w:ascii="仿宋" w:hAnsi="仿宋" w:eastAsia="仿宋" w:cs="仿宋"/>
          <w:sz w:val="30"/>
          <w:szCs w:val="30"/>
          <w:lang w:eastAsia="zh-CN"/>
        </w:rPr>
        <w:t>三、事业收入：指事业单位开展专业业务活动及其辅助活动取得的收入；事业单位收到的财政专户实际核拨的教育收费等资金在此反映。</w:t>
      </w:r>
    </w:p>
    <w:p>
      <w:pPr>
        <w:widowControl/>
        <w:spacing w:line="520" w:lineRule="exact"/>
        <w:ind w:firstLine="420"/>
        <w:rPr>
          <w:rFonts w:ascii="宋体" w:hAnsi="宋体" w:cs="宋体"/>
          <w:sz w:val="30"/>
          <w:szCs w:val="30"/>
          <w:lang w:eastAsia="zh-CN"/>
        </w:rPr>
      </w:pPr>
      <w:r>
        <w:rPr>
          <w:rFonts w:hint="eastAsia" w:ascii="仿宋" w:hAnsi="仿宋" w:eastAsia="仿宋" w:cs="仿宋"/>
          <w:sz w:val="30"/>
          <w:szCs w:val="30"/>
          <w:lang w:eastAsia="zh-CN"/>
        </w:rPr>
        <w:t>四、经营收入：指事业单位在专业业务活动及其辅助活动之外开展非独立核算经营活动取得的收入。</w:t>
      </w:r>
    </w:p>
    <w:p>
      <w:pPr>
        <w:widowControl/>
        <w:spacing w:line="520" w:lineRule="exact"/>
        <w:ind w:firstLine="420"/>
        <w:rPr>
          <w:rFonts w:ascii="宋体" w:hAnsi="宋体" w:cs="宋体"/>
          <w:sz w:val="30"/>
          <w:szCs w:val="30"/>
          <w:lang w:eastAsia="zh-CN"/>
        </w:rPr>
      </w:pPr>
      <w:r>
        <w:rPr>
          <w:rFonts w:hint="eastAsia" w:ascii="仿宋" w:hAnsi="仿宋" w:eastAsia="仿宋" w:cs="仿宋"/>
          <w:sz w:val="30"/>
          <w:szCs w:val="30"/>
          <w:lang w:eastAsia="zh-CN"/>
        </w:rPr>
        <w:t>五、附属单位缴款：指事业单位附属独立核算单位按照有关规定上缴的收入。</w:t>
      </w:r>
    </w:p>
    <w:p>
      <w:pPr>
        <w:widowControl/>
        <w:spacing w:line="520" w:lineRule="exact"/>
        <w:ind w:firstLine="420"/>
        <w:rPr>
          <w:rFonts w:ascii="宋体" w:hAnsi="宋体" w:cs="宋体"/>
          <w:sz w:val="30"/>
          <w:szCs w:val="30"/>
          <w:lang w:eastAsia="zh-CN"/>
        </w:rPr>
      </w:pPr>
      <w:r>
        <w:rPr>
          <w:rFonts w:hint="eastAsia" w:ascii="仿宋" w:hAnsi="仿宋" w:eastAsia="仿宋" w:cs="仿宋"/>
          <w:sz w:val="30"/>
          <w:szCs w:val="30"/>
          <w:lang w:eastAsia="zh-CN"/>
        </w:rPr>
        <w:t>六、其他收入：指单位取得的除上述“财政拨款收入”、“事业收入”、“经营收入”、“附属单位缴款”等以外的各项收入。</w:t>
      </w:r>
    </w:p>
    <w:p>
      <w:pPr>
        <w:widowControl/>
        <w:spacing w:line="520" w:lineRule="exact"/>
        <w:ind w:firstLine="420"/>
        <w:rPr>
          <w:rFonts w:ascii="宋体" w:hAnsi="宋体" w:cs="宋体"/>
          <w:sz w:val="30"/>
          <w:szCs w:val="30"/>
          <w:lang w:eastAsia="zh-CN"/>
        </w:rPr>
      </w:pPr>
      <w:r>
        <w:rPr>
          <w:rFonts w:hint="eastAsia" w:ascii="仿宋" w:hAnsi="仿宋" w:eastAsia="仿宋" w:cs="仿宋"/>
          <w:sz w:val="30"/>
          <w:szCs w:val="30"/>
          <w:lang w:eastAsia="zh-CN"/>
        </w:rPr>
        <w:t>七、用事业基金弥补收支差额：指事业单位用事业基金弥补当年收支差额的数额。</w:t>
      </w:r>
      <w:r>
        <w:rPr>
          <w:rFonts w:hint="eastAsia" w:ascii="宋体" w:hAnsi="宋体" w:cs="宋体"/>
          <w:sz w:val="30"/>
          <w:szCs w:val="30"/>
          <w:lang w:eastAsia="zh-CN"/>
        </w:rPr>
        <w:t> </w:t>
      </w:r>
    </w:p>
    <w:p>
      <w:pPr>
        <w:widowControl/>
        <w:spacing w:line="520" w:lineRule="exact"/>
        <w:ind w:firstLine="420"/>
        <w:rPr>
          <w:rFonts w:ascii="仿宋" w:hAnsi="仿宋" w:eastAsia="仿宋" w:cs="仿宋"/>
          <w:sz w:val="30"/>
          <w:szCs w:val="30"/>
          <w:lang w:eastAsia="zh-CN"/>
        </w:rPr>
      </w:pPr>
      <w:r>
        <w:rPr>
          <w:rFonts w:hint="eastAsia" w:ascii="仿宋" w:hAnsi="仿宋" w:eastAsia="仿宋" w:cs="仿宋"/>
          <w:sz w:val="30"/>
          <w:szCs w:val="30"/>
          <w:lang w:eastAsia="zh-CN"/>
        </w:rPr>
        <w:t>八、年初结转和结余：指单位上年结转本年使用的基本支出结转、项目支出结转和结余和经营结余。</w:t>
      </w:r>
    </w:p>
    <w:p>
      <w:pPr>
        <w:widowControl/>
        <w:spacing w:line="520" w:lineRule="exact"/>
        <w:ind w:firstLine="420"/>
        <w:rPr>
          <w:rFonts w:ascii="仿宋" w:hAnsi="仿宋" w:eastAsia="仿宋" w:cs="仿宋"/>
          <w:sz w:val="30"/>
          <w:szCs w:val="30"/>
          <w:lang w:eastAsia="zh-CN"/>
        </w:rPr>
      </w:pPr>
      <w:r>
        <w:rPr>
          <w:rFonts w:hint="eastAsia" w:ascii="仿宋" w:hAnsi="仿宋" w:eastAsia="仿宋" w:cs="仿宋"/>
          <w:sz w:val="30"/>
          <w:szCs w:val="30"/>
          <w:lang w:eastAsia="zh-CN"/>
        </w:rPr>
        <w:t>九、结余分配：指事业单位按规定对非财政补助结余资金提取的职工福利基金、事业基金和缴纳的所得税，以及减少单位按规定应缴回的基本建设竣工项目结余资金。 </w:t>
      </w:r>
    </w:p>
    <w:p>
      <w:pPr>
        <w:widowControl/>
        <w:spacing w:line="520" w:lineRule="exact"/>
        <w:ind w:firstLine="420"/>
        <w:rPr>
          <w:rFonts w:ascii="仿宋" w:hAnsi="仿宋" w:eastAsia="仿宋" w:cs="仿宋"/>
          <w:sz w:val="30"/>
          <w:szCs w:val="30"/>
          <w:lang w:eastAsia="zh-CN"/>
        </w:rPr>
      </w:pPr>
      <w:r>
        <w:rPr>
          <w:rFonts w:hint="eastAsia" w:ascii="仿宋" w:hAnsi="仿宋" w:eastAsia="仿宋" w:cs="仿宋"/>
          <w:sz w:val="30"/>
          <w:szCs w:val="30"/>
          <w:lang w:eastAsia="zh-CN"/>
        </w:rPr>
        <w:t>十、年末结转和结余资金：指单位结转下年的基本支出结转、项目支出结转和结余和经营结余。</w:t>
      </w:r>
    </w:p>
    <w:p>
      <w:pPr>
        <w:widowControl/>
        <w:spacing w:line="520" w:lineRule="exact"/>
        <w:ind w:firstLine="420"/>
        <w:rPr>
          <w:rFonts w:ascii="仿宋" w:hAnsi="仿宋" w:eastAsia="仿宋" w:cs="仿宋"/>
          <w:sz w:val="30"/>
          <w:szCs w:val="30"/>
          <w:lang w:eastAsia="zh-CN"/>
        </w:rPr>
      </w:pPr>
      <w:r>
        <w:rPr>
          <w:rFonts w:hint="eastAsia" w:ascii="仿宋" w:hAnsi="仿宋" w:eastAsia="仿宋" w:cs="仿宋"/>
          <w:sz w:val="30"/>
          <w:szCs w:val="30"/>
          <w:lang w:eastAsia="zh-CN"/>
        </w:rPr>
        <w:t>十一、基本支出：指为保障机构正常运转、完成日常工作任务而发生的人员支出和公用支出。 </w:t>
      </w:r>
    </w:p>
    <w:p>
      <w:pPr>
        <w:widowControl/>
        <w:spacing w:line="520" w:lineRule="exact"/>
        <w:ind w:firstLine="420"/>
        <w:rPr>
          <w:rFonts w:ascii="仿宋" w:hAnsi="仿宋" w:eastAsia="仿宋" w:cs="仿宋"/>
          <w:sz w:val="30"/>
          <w:szCs w:val="30"/>
          <w:lang w:eastAsia="zh-CN"/>
        </w:rPr>
      </w:pPr>
      <w:r>
        <w:rPr>
          <w:rFonts w:hint="eastAsia" w:ascii="仿宋" w:hAnsi="仿宋" w:eastAsia="仿宋" w:cs="仿宋"/>
          <w:sz w:val="30"/>
          <w:szCs w:val="30"/>
          <w:lang w:eastAsia="zh-CN"/>
        </w:rPr>
        <w:t>十二、项目支出：指在基本支出之外为完成特定的行政任务或事业发展目标所发生的支出。 </w:t>
      </w:r>
    </w:p>
    <w:p>
      <w:pPr>
        <w:widowControl/>
        <w:spacing w:line="520" w:lineRule="exact"/>
        <w:ind w:firstLine="420"/>
        <w:rPr>
          <w:rFonts w:ascii="仿宋" w:hAnsi="仿宋" w:eastAsia="仿宋" w:cs="仿宋"/>
          <w:sz w:val="30"/>
          <w:szCs w:val="30"/>
          <w:lang w:eastAsia="zh-CN"/>
        </w:rPr>
      </w:pPr>
      <w:r>
        <w:rPr>
          <w:rFonts w:hint="eastAsia" w:ascii="仿宋" w:hAnsi="仿宋" w:eastAsia="仿宋" w:cs="仿宋"/>
          <w:sz w:val="30"/>
          <w:szCs w:val="30"/>
          <w:lang w:eastAsia="zh-CN"/>
        </w:rPr>
        <w:t>十三、上缴上级支出：指事业单位按照财政部门和主管部门的规定上缴上级单位的支出。</w:t>
      </w:r>
    </w:p>
    <w:p>
      <w:pPr>
        <w:widowControl/>
        <w:spacing w:line="520" w:lineRule="exact"/>
        <w:ind w:firstLine="420"/>
        <w:rPr>
          <w:rFonts w:ascii="仿宋" w:hAnsi="仿宋" w:eastAsia="仿宋" w:cs="仿宋"/>
          <w:sz w:val="30"/>
          <w:szCs w:val="30"/>
          <w:lang w:eastAsia="zh-CN"/>
        </w:rPr>
      </w:pPr>
      <w:r>
        <w:rPr>
          <w:rFonts w:hint="eastAsia" w:ascii="仿宋" w:hAnsi="仿宋" w:eastAsia="仿宋" w:cs="仿宋"/>
          <w:sz w:val="30"/>
          <w:szCs w:val="30"/>
          <w:lang w:eastAsia="zh-CN"/>
        </w:rPr>
        <w:t>十四、经营支出：指事业单位在专业业务活动及其辅助活动之外开展非独立核算经营活动发生的支出。</w:t>
      </w:r>
    </w:p>
    <w:p>
      <w:pPr>
        <w:widowControl/>
        <w:spacing w:line="520" w:lineRule="exact"/>
        <w:ind w:firstLine="420"/>
        <w:rPr>
          <w:rFonts w:ascii="仿宋" w:hAnsi="仿宋" w:eastAsia="仿宋" w:cs="仿宋"/>
          <w:sz w:val="30"/>
          <w:szCs w:val="30"/>
          <w:lang w:eastAsia="zh-CN"/>
        </w:rPr>
      </w:pPr>
      <w:r>
        <w:rPr>
          <w:rFonts w:hint="eastAsia" w:ascii="仿宋" w:hAnsi="仿宋" w:eastAsia="仿宋" w:cs="仿宋"/>
          <w:sz w:val="30"/>
          <w:szCs w:val="30"/>
          <w:lang w:eastAsia="zh-CN"/>
        </w:rPr>
        <w:t>十五、对附属单位补助支出：指事业单位用财政补助收入之外的收入对附属单位补助发生的支出。</w:t>
      </w:r>
    </w:p>
    <w:p>
      <w:pPr>
        <w:widowControl/>
        <w:spacing w:line="520" w:lineRule="exact"/>
        <w:ind w:firstLine="420"/>
        <w:rPr>
          <w:rFonts w:ascii="仿宋" w:hAnsi="仿宋" w:eastAsia="仿宋" w:cs="仿宋"/>
          <w:sz w:val="30"/>
          <w:szCs w:val="30"/>
          <w:lang w:eastAsia="zh-CN"/>
        </w:rPr>
      </w:pPr>
      <w:r>
        <w:rPr>
          <w:rFonts w:hint="eastAsia" w:ascii="仿宋" w:hAnsi="仿宋" w:eastAsia="仿宋" w:cs="仿宋"/>
          <w:sz w:val="30"/>
          <w:szCs w:val="30"/>
          <w:lang w:eastAsia="zh-CN"/>
        </w:rPr>
        <w:t>十六、“三公”经费支出：指用一般公共预算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pPr>
        <w:widowControl/>
        <w:spacing w:line="520" w:lineRule="exact"/>
        <w:ind w:firstLine="420"/>
        <w:rPr>
          <w:rFonts w:ascii="仿宋" w:hAnsi="仿宋" w:eastAsia="仿宋" w:cs="仿宋"/>
          <w:sz w:val="30"/>
          <w:szCs w:val="30"/>
          <w:lang w:eastAsia="zh-CN"/>
        </w:rPr>
      </w:pPr>
      <w:r>
        <w:rPr>
          <w:rFonts w:hint="eastAsia" w:ascii="仿宋" w:hAnsi="仿宋" w:eastAsia="仿宋" w:cs="仿宋"/>
          <w:sz w:val="30"/>
          <w:szCs w:val="30"/>
          <w:lang w:eastAsia="zh-CN"/>
        </w:rPr>
        <w:t>十七、</w:t>
      </w:r>
      <w:bookmarkEnd w:id="29"/>
      <w:bookmarkEnd w:id="30"/>
      <w:bookmarkEnd w:id="31"/>
      <w:r>
        <w:rPr>
          <w:rFonts w:hint="eastAsia" w:ascii="仿宋" w:hAnsi="仿宋" w:eastAsia="仿宋" w:cs="仿宋"/>
          <w:sz w:val="30"/>
          <w:szCs w:val="30"/>
          <w:lang w:eastAsia="zh-CN"/>
        </w:rPr>
        <w:t>机关运行经费支出：指用一般公共预算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sectPr>
      <w:pgSz w:w="11900" w:h="16840"/>
      <w:pgMar w:top="1599" w:right="1469" w:bottom="1230" w:left="1469" w:header="1038" w:footer="1038" w:gutter="0"/>
      <w:pgNumType w:start="17"/>
      <w:cols w:space="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华文楷体">
    <w:altName w:val="楷体_GB2312"/>
    <w:panose1 w:val="02010600040101010101"/>
    <w:charset w:val="86"/>
    <w:family w:val="auto"/>
    <w:pitch w:val="default"/>
    <w:sig w:usb0="00000000" w:usb1="00000000" w:usb2="00000000" w:usb3="00000000" w:csb0="0004009F" w:csb1="DFD70000"/>
  </w:font>
  <w:font w:name="华文中宋">
    <w:altName w:val="宋体"/>
    <w:panose1 w:val="02010600040101010101"/>
    <w:charset w:val="86"/>
    <w:family w:val="auto"/>
    <w:pitch w:val="default"/>
    <w:sig w:usb0="00000000" w:usb1="00000000" w:usb2="00000000" w:usb3="00000000" w:csb0="0004009F" w:csb1="DFD70000"/>
  </w:font>
  <w:font w:name="Arial Narrow">
    <w:altName w:val="Arial"/>
    <w:panose1 w:val="020B0606020202030204"/>
    <w:charset w:val="00"/>
    <w:family w:val="swiss"/>
    <w:pitch w:val="default"/>
    <w:sig w:usb0="00000000"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楷体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E0002EFF" w:usb1="C000785B" w:usb2="00000009" w:usb3="00000000" w:csb0="4000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revisionView w:markup="0"/>
  <w:documentProtection w:edit="forms" w:enforcement="1" w:cryptProviderType="rsaFull" w:cryptAlgorithmClass="hash" w:cryptAlgorithmType="typeAny" w:cryptAlgorithmSid="4" w:cryptSpinCount="0" w:hash="1xZkqsulH5fOlGj7s9uudgpw6mQ=" w:salt="uvmPp2D7T5dw7k4m1aAVOQ=="/>
  <w:defaultTabStop w:val="420"/>
  <w:drawingGridHorizontalSpacing w:val="181"/>
  <w:drawingGridVerticalSpacing w:val="181"/>
  <w:noPunctuationKerning w:val="1"/>
  <w:characterSpacingControl w:val="compressPunctuation"/>
  <w:footnotePr>
    <w:footnote w:id="0"/>
    <w:footnote w:id="1"/>
  </w:footnotePr>
  <w:endnotePr>
    <w:endnote w:id="0"/>
    <w:endnote w:id="1"/>
  </w:endnotePr>
  <w:compat>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Y2U0Y2VkMmUzNWE2MzdjMGFkMWU1ZWI5NjdmZGFlNTkifQ=="/>
    <w:docVar w:name="DocumentID" w:val="{3E4543E7-ED0E-424F-AA4C-32883FB7D871}"/>
    <w:docVar w:name="DocumentName" w:val="兴国县退役军人事务局2021年单位决算公开"/>
  </w:docVars>
  <w:rsids>
    <w:rsidRoot w:val="00EE4BE8"/>
    <w:rsid w:val="0000532E"/>
    <w:rsid w:val="0000638A"/>
    <w:rsid w:val="00021ABE"/>
    <w:rsid w:val="00044FDB"/>
    <w:rsid w:val="000544CB"/>
    <w:rsid w:val="00093738"/>
    <w:rsid w:val="000A1BBF"/>
    <w:rsid w:val="000C7CEF"/>
    <w:rsid w:val="000D0798"/>
    <w:rsid w:val="000D26CD"/>
    <w:rsid w:val="000D4138"/>
    <w:rsid w:val="000E7E06"/>
    <w:rsid w:val="001138C5"/>
    <w:rsid w:val="001173E0"/>
    <w:rsid w:val="00137D10"/>
    <w:rsid w:val="001504DC"/>
    <w:rsid w:val="00157961"/>
    <w:rsid w:val="00165497"/>
    <w:rsid w:val="0018136B"/>
    <w:rsid w:val="0018303D"/>
    <w:rsid w:val="00185DD6"/>
    <w:rsid w:val="00186EEE"/>
    <w:rsid w:val="001902F1"/>
    <w:rsid w:val="00190423"/>
    <w:rsid w:val="00193B8F"/>
    <w:rsid w:val="001B56F0"/>
    <w:rsid w:val="001D216A"/>
    <w:rsid w:val="001D4816"/>
    <w:rsid w:val="001E1B3B"/>
    <w:rsid w:val="001F4113"/>
    <w:rsid w:val="00236BAD"/>
    <w:rsid w:val="00251E31"/>
    <w:rsid w:val="002522FD"/>
    <w:rsid w:val="0025671A"/>
    <w:rsid w:val="00260583"/>
    <w:rsid w:val="00284C91"/>
    <w:rsid w:val="002A7695"/>
    <w:rsid w:val="002C7594"/>
    <w:rsid w:val="002F15F3"/>
    <w:rsid w:val="002F2C7D"/>
    <w:rsid w:val="002F5362"/>
    <w:rsid w:val="002F55DF"/>
    <w:rsid w:val="00304D20"/>
    <w:rsid w:val="00321F0F"/>
    <w:rsid w:val="0034073B"/>
    <w:rsid w:val="0034396E"/>
    <w:rsid w:val="003529F8"/>
    <w:rsid w:val="00353055"/>
    <w:rsid w:val="003675AF"/>
    <w:rsid w:val="003C1016"/>
    <w:rsid w:val="00402E6A"/>
    <w:rsid w:val="004365A6"/>
    <w:rsid w:val="00437188"/>
    <w:rsid w:val="004465D7"/>
    <w:rsid w:val="004571D1"/>
    <w:rsid w:val="004765E2"/>
    <w:rsid w:val="004767AB"/>
    <w:rsid w:val="00480932"/>
    <w:rsid w:val="00497E2B"/>
    <w:rsid w:val="004B1841"/>
    <w:rsid w:val="004B524B"/>
    <w:rsid w:val="004B6468"/>
    <w:rsid w:val="004D0435"/>
    <w:rsid w:val="004D2A7E"/>
    <w:rsid w:val="004D530F"/>
    <w:rsid w:val="004F79BD"/>
    <w:rsid w:val="00520186"/>
    <w:rsid w:val="00527853"/>
    <w:rsid w:val="00584EFC"/>
    <w:rsid w:val="005E5FBE"/>
    <w:rsid w:val="005F6DBF"/>
    <w:rsid w:val="00604ED2"/>
    <w:rsid w:val="006056D9"/>
    <w:rsid w:val="006063B5"/>
    <w:rsid w:val="00611A90"/>
    <w:rsid w:val="006247CA"/>
    <w:rsid w:val="0065257B"/>
    <w:rsid w:val="0067432D"/>
    <w:rsid w:val="00682003"/>
    <w:rsid w:val="00693614"/>
    <w:rsid w:val="006B7826"/>
    <w:rsid w:val="006E562F"/>
    <w:rsid w:val="006F3E43"/>
    <w:rsid w:val="00703D05"/>
    <w:rsid w:val="00705052"/>
    <w:rsid w:val="007051D0"/>
    <w:rsid w:val="00714480"/>
    <w:rsid w:val="007311B4"/>
    <w:rsid w:val="00752C2A"/>
    <w:rsid w:val="00797C16"/>
    <w:rsid w:val="007A72F0"/>
    <w:rsid w:val="007C0697"/>
    <w:rsid w:val="007D1504"/>
    <w:rsid w:val="007D3DB7"/>
    <w:rsid w:val="00822F0D"/>
    <w:rsid w:val="00863C1A"/>
    <w:rsid w:val="00877D34"/>
    <w:rsid w:val="00877E95"/>
    <w:rsid w:val="008A7336"/>
    <w:rsid w:val="008A7727"/>
    <w:rsid w:val="008B5A5E"/>
    <w:rsid w:val="008C4695"/>
    <w:rsid w:val="008E479C"/>
    <w:rsid w:val="008E61EE"/>
    <w:rsid w:val="008F3F0E"/>
    <w:rsid w:val="0090781A"/>
    <w:rsid w:val="0092248E"/>
    <w:rsid w:val="00951C8D"/>
    <w:rsid w:val="009A3844"/>
    <w:rsid w:val="009E6B1C"/>
    <w:rsid w:val="00A0611C"/>
    <w:rsid w:val="00A07CAE"/>
    <w:rsid w:val="00A378D7"/>
    <w:rsid w:val="00A92D50"/>
    <w:rsid w:val="00AB04A4"/>
    <w:rsid w:val="00AB223C"/>
    <w:rsid w:val="00AC644D"/>
    <w:rsid w:val="00AD357C"/>
    <w:rsid w:val="00AE0918"/>
    <w:rsid w:val="00AE35A3"/>
    <w:rsid w:val="00B03CF3"/>
    <w:rsid w:val="00B1143B"/>
    <w:rsid w:val="00B27169"/>
    <w:rsid w:val="00B33D68"/>
    <w:rsid w:val="00B47C8C"/>
    <w:rsid w:val="00B5419E"/>
    <w:rsid w:val="00B71FEE"/>
    <w:rsid w:val="00B91C11"/>
    <w:rsid w:val="00BA6189"/>
    <w:rsid w:val="00BF6911"/>
    <w:rsid w:val="00C0022F"/>
    <w:rsid w:val="00C02F8F"/>
    <w:rsid w:val="00C07E21"/>
    <w:rsid w:val="00C208F0"/>
    <w:rsid w:val="00C211D6"/>
    <w:rsid w:val="00C249DD"/>
    <w:rsid w:val="00C721A8"/>
    <w:rsid w:val="00C97028"/>
    <w:rsid w:val="00CC6D7D"/>
    <w:rsid w:val="00CD6F3A"/>
    <w:rsid w:val="00CE7339"/>
    <w:rsid w:val="00CF1907"/>
    <w:rsid w:val="00CF2974"/>
    <w:rsid w:val="00D02A42"/>
    <w:rsid w:val="00D0303A"/>
    <w:rsid w:val="00D11352"/>
    <w:rsid w:val="00D13D77"/>
    <w:rsid w:val="00D469F5"/>
    <w:rsid w:val="00D608E0"/>
    <w:rsid w:val="00D96EE7"/>
    <w:rsid w:val="00DA4ED1"/>
    <w:rsid w:val="00DB7CA3"/>
    <w:rsid w:val="00DC0A61"/>
    <w:rsid w:val="00DD2E51"/>
    <w:rsid w:val="00DD348E"/>
    <w:rsid w:val="00DE353A"/>
    <w:rsid w:val="00DF5C54"/>
    <w:rsid w:val="00E0419C"/>
    <w:rsid w:val="00E0443D"/>
    <w:rsid w:val="00E73957"/>
    <w:rsid w:val="00E80ED0"/>
    <w:rsid w:val="00E96B06"/>
    <w:rsid w:val="00EB38B5"/>
    <w:rsid w:val="00EE4BE8"/>
    <w:rsid w:val="00EF086D"/>
    <w:rsid w:val="00EF2CF6"/>
    <w:rsid w:val="00EF391B"/>
    <w:rsid w:val="00F13CC7"/>
    <w:rsid w:val="00F340A5"/>
    <w:rsid w:val="00F36758"/>
    <w:rsid w:val="00F46342"/>
    <w:rsid w:val="00F47561"/>
    <w:rsid w:val="00F6369A"/>
    <w:rsid w:val="00F717CF"/>
    <w:rsid w:val="00F7435D"/>
    <w:rsid w:val="00F8450B"/>
    <w:rsid w:val="00F97E19"/>
    <w:rsid w:val="00FA068C"/>
    <w:rsid w:val="00FA6661"/>
    <w:rsid w:val="00FC7708"/>
    <w:rsid w:val="00FF0355"/>
    <w:rsid w:val="00FF1D55"/>
    <w:rsid w:val="00FF38C3"/>
    <w:rsid w:val="016237D1"/>
    <w:rsid w:val="029B4CC0"/>
    <w:rsid w:val="03BD55EC"/>
    <w:rsid w:val="042511F5"/>
    <w:rsid w:val="0ADD47E3"/>
    <w:rsid w:val="0DDF56E0"/>
    <w:rsid w:val="10B92BD8"/>
    <w:rsid w:val="11911E6D"/>
    <w:rsid w:val="12ED0978"/>
    <w:rsid w:val="15852EB4"/>
    <w:rsid w:val="1719766D"/>
    <w:rsid w:val="18C62D25"/>
    <w:rsid w:val="1AB71087"/>
    <w:rsid w:val="1D813CEF"/>
    <w:rsid w:val="2046460E"/>
    <w:rsid w:val="25155A17"/>
    <w:rsid w:val="2D17351B"/>
    <w:rsid w:val="325914DA"/>
    <w:rsid w:val="32647847"/>
    <w:rsid w:val="342A3DB8"/>
    <w:rsid w:val="368A544A"/>
    <w:rsid w:val="383D7DE8"/>
    <w:rsid w:val="3879159E"/>
    <w:rsid w:val="3F7611A4"/>
    <w:rsid w:val="3FFF2A05"/>
    <w:rsid w:val="40F523F9"/>
    <w:rsid w:val="45C51ED2"/>
    <w:rsid w:val="47473012"/>
    <w:rsid w:val="4C893887"/>
    <w:rsid w:val="4CEB3801"/>
    <w:rsid w:val="4D8B3B2A"/>
    <w:rsid w:val="55230AEC"/>
    <w:rsid w:val="5B9D5862"/>
    <w:rsid w:val="5C2B3205"/>
    <w:rsid w:val="613B3BD1"/>
    <w:rsid w:val="64235901"/>
    <w:rsid w:val="6789494D"/>
    <w:rsid w:val="6D5B4682"/>
    <w:rsid w:val="7B5A533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pPr>
    <w:rPr>
      <w:rFonts w:ascii="Times New Roman" w:hAnsi="Times New Roman" w:eastAsia="Times New Roman" w:cs="Times New Roman"/>
      <w:color w:val="000000"/>
      <w:sz w:val="24"/>
      <w:szCs w:val="24"/>
      <w:lang w:val="en-US" w:eastAsia="en-US" w:bidi="en-US"/>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Balloon Text"/>
    <w:basedOn w:val="1"/>
    <w:link w:val="37"/>
    <w:qFormat/>
    <w:uiPriority w:val="0"/>
    <w:rPr>
      <w:sz w:val="18"/>
      <w:szCs w:val="18"/>
    </w:rPr>
  </w:style>
  <w:style w:type="paragraph" w:styleId="4">
    <w:name w:val="footer"/>
    <w:basedOn w:val="1"/>
    <w:link w:val="35"/>
    <w:uiPriority w:val="0"/>
    <w:pPr>
      <w:tabs>
        <w:tab w:val="center" w:pos="4153"/>
        <w:tab w:val="right" w:pos="8306"/>
      </w:tabs>
      <w:snapToGrid w:val="0"/>
    </w:pPr>
    <w:rPr>
      <w:sz w:val="18"/>
      <w:szCs w:val="18"/>
    </w:rPr>
  </w:style>
  <w:style w:type="paragraph" w:styleId="5">
    <w:name w:val="header"/>
    <w:basedOn w:val="1"/>
    <w:link w:val="34"/>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99"/>
    <w:rPr>
      <w:rFonts w:asciiTheme="minorHAnsi" w:hAnsiTheme="minorHAnsi" w:eastAsiaTheme="minorEastAsia" w:cstheme="minorBidi"/>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9">
    <w:name w:val="Body text|1_"/>
    <w:basedOn w:val="8"/>
    <w:link w:val="10"/>
    <w:qFormat/>
    <w:uiPriority w:val="0"/>
    <w:rPr>
      <w:rFonts w:ascii="宋体" w:hAnsi="宋体" w:eastAsia="宋体" w:cs="宋体"/>
      <w:sz w:val="30"/>
      <w:szCs w:val="30"/>
      <w:u w:val="none"/>
      <w:shd w:val="clear" w:color="auto" w:fill="auto"/>
      <w:lang w:val="zh-TW" w:eastAsia="zh-TW" w:bidi="zh-TW"/>
    </w:rPr>
  </w:style>
  <w:style w:type="paragraph" w:customStyle="1" w:styleId="10">
    <w:name w:val="Body text|1"/>
    <w:basedOn w:val="1"/>
    <w:link w:val="9"/>
    <w:qFormat/>
    <w:uiPriority w:val="0"/>
    <w:pPr>
      <w:spacing w:line="391" w:lineRule="auto"/>
      <w:ind w:firstLine="400"/>
    </w:pPr>
    <w:rPr>
      <w:rFonts w:ascii="宋体" w:hAnsi="宋体" w:eastAsia="宋体" w:cs="宋体"/>
      <w:sz w:val="30"/>
      <w:szCs w:val="30"/>
      <w:lang w:val="zh-TW" w:eastAsia="zh-TW" w:bidi="zh-TW"/>
    </w:rPr>
  </w:style>
  <w:style w:type="character" w:customStyle="1" w:styleId="11">
    <w:name w:val="Body text|2_"/>
    <w:basedOn w:val="8"/>
    <w:link w:val="12"/>
    <w:qFormat/>
    <w:uiPriority w:val="0"/>
    <w:rPr>
      <w:rFonts w:ascii="宋体" w:hAnsi="宋体" w:eastAsia="宋体" w:cs="宋体"/>
      <w:u w:val="none"/>
      <w:shd w:val="clear" w:color="auto" w:fill="auto"/>
      <w:lang w:val="zh-TW" w:eastAsia="zh-TW" w:bidi="zh-TW"/>
    </w:rPr>
  </w:style>
  <w:style w:type="paragraph" w:customStyle="1" w:styleId="12">
    <w:name w:val="Body text|2"/>
    <w:basedOn w:val="1"/>
    <w:link w:val="11"/>
    <w:qFormat/>
    <w:uiPriority w:val="0"/>
    <w:rPr>
      <w:rFonts w:ascii="宋体" w:hAnsi="宋体" w:eastAsia="宋体" w:cs="宋体"/>
      <w:lang w:val="zh-TW" w:eastAsia="zh-TW" w:bidi="zh-TW"/>
    </w:rPr>
  </w:style>
  <w:style w:type="character" w:customStyle="1" w:styleId="13">
    <w:name w:val="Heading #1|1_"/>
    <w:basedOn w:val="8"/>
    <w:link w:val="14"/>
    <w:qFormat/>
    <w:uiPriority w:val="0"/>
    <w:rPr>
      <w:rFonts w:ascii="宋体" w:hAnsi="宋体" w:eastAsia="宋体" w:cs="宋体"/>
      <w:color w:val="DC0303"/>
      <w:sz w:val="144"/>
      <w:szCs w:val="144"/>
      <w:u w:val="single"/>
      <w:shd w:val="clear" w:color="auto" w:fill="auto"/>
      <w:lang w:val="zh-TW" w:eastAsia="zh-TW" w:bidi="zh-TW"/>
    </w:rPr>
  </w:style>
  <w:style w:type="paragraph" w:customStyle="1" w:styleId="14">
    <w:name w:val="Heading #1|1"/>
    <w:basedOn w:val="1"/>
    <w:link w:val="13"/>
    <w:qFormat/>
    <w:uiPriority w:val="0"/>
    <w:pPr>
      <w:spacing w:after="280"/>
      <w:jc w:val="center"/>
      <w:outlineLvl w:val="0"/>
    </w:pPr>
    <w:rPr>
      <w:rFonts w:ascii="宋体" w:hAnsi="宋体" w:eastAsia="宋体" w:cs="宋体"/>
      <w:color w:val="DC0303"/>
      <w:sz w:val="144"/>
      <w:szCs w:val="144"/>
      <w:u w:val="single"/>
      <w:lang w:val="zh-TW" w:eastAsia="zh-TW" w:bidi="zh-TW"/>
    </w:rPr>
  </w:style>
  <w:style w:type="character" w:customStyle="1" w:styleId="15">
    <w:name w:val="Header or footer|2_"/>
    <w:basedOn w:val="8"/>
    <w:link w:val="16"/>
    <w:qFormat/>
    <w:uiPriority w:val="0"/>
    <w:rPr>
      <w:sz w:val="20"/>
      <w:szCs w:val="20"/>
      <w:u w:val="none"/>
      <w:shd w:val="clear" w:color="auto" w:fill="auto"/>
      <w:lang w:val="zh-TW" w:eastAsia="zh-TW" w:bidi="zh-TW"/>
    </w:rPr>
  </w:style>
  <w:style w:type="paragraph" w:customStyle="1" w:styleId="16">
    <w:name w:val="Header or footer|2"/>
    <w:basedOn w:val="1"/>
    <w:link w:val="15"/>
    <w:qFormat/>
    <w:uiPriority w:val="0"/>
    <w:rPr>
      <w:sz w:val="20"/>
      <w:szCs w:val="20"/>
      <w:lang w:val="zh-TW" w:eastAsia="zh-TW" w:bidi="zh-TW"/>
    </w:rPr>
  </w:style>
  <w:style w:type="character" w:customStyle="1" w:styleId="17">
    <w:name w:val="Heading #2|1_"/>
    <w:basedOn w:val="8"/>
    <w:link w:val="18"/>
    <w:qFormat/>
    <w:uiPriority w:val="0"/>
    <w:rPr>
      <w:rFonts w:ascii="宋体" w:hAnsi="宋体" w:eastAsia="宋体" w:cs="宋体"/>
      <w:sz w:val="40"/>
      <w:szCs w:val="40"/>
      <w:u w:val="none"/>
      <w:shd w:val="clear" w:color="auto" w:fill="auto"/>
      <w:lang w:val="zh-TW" w:eastAsia="zh-TW" w:bidi="zh-TW"/>
    </w:rPr>
  </w:style>
  <w:style w:type="paragraph" w:customStyle="1" w:styleId="18">
    <w:name w:val="Heading #2|1"/>
    <w:basedOn w:val="1"/>
    <w:link w:val="17"/>
    <w:qFormat/>
    <w:uiPriority w:val="0"/>
    <w:pPr>
      <w:spacing w:before="340" w:after="540" w:line="594" w:lineRule="exact"/>
      <w:ind w:firstLine="190"/>
      <w:jc w:val="center"/>
      <w:outlineLvl w:val="1"/>
    </w:pPr>
    <w:rPr>
      <w:rFonts w:ascii="宋体" w:hAnsi="宋体" w:eastAsia="宋体" w:cs="宋体"/>
      <w:sz w:val="40"/>
      <w:szCs w:val="40"/>
      <w:lang w:val="zh-TW" w:eastAsia="zh-TW" w:bidi="zh-TW"/>
    </w:rPr>
  </w:style>
  <w:style w:type="character" w:customStyle="1" w:styleId="19">
    <w:name w:val="Body text|3_"/>
    <w:basedOn w:val="8"/>
    <w:link w:val="20"/>
    <w:qFormat/>
    <w:uiPriority w:val="0"/>
    <w:rPr>
      <w:sz w:val="28"/>
      <w:szCs w:val="28"/>
      <w:u w:val="none"/>
      <w:shd w:val="clear" w:color="auto" w:fill="auto"/>
      <w:lang w:val="zh-TW" w:eastAsia="zh-TW" w:bidi="zh-TW"/>
    </w:rPr>
  </w:style>
  <w:style w:type="paragraph" w:customStyle="1" w:styleId="20">
    <w:name w:val="Body text|3"/>
    <w:basedOn w:val="1"/>
    <w:link w:val="19"/>
    <w:qFormat/>
    <w:uiPriority w:val="0"/>
    <w:pPr>
      <w:jc w:val="right"/>
    </w:pPr>
    <w:rPr>
      <w:sz w:val="28"/>
      <w:szCs w:val="28"/>
      <w:lang w:val="zh-TW" w:eastAsia="zh-TW" w:bidi="zh-TW"/>
    </w:rPr>
  </w:style>
  <w:style w:type="character" w:customStyle="1" w:styleId="21">
    <w:name w:val="Body text|4_"/>
    <w:basedOn w:val="8"/>
    <w:link w:val="22"/>
    <w:qFormat/>
    <w:uiPriority w:val="0"/>
    <w:rPr>
      <w:sz w:val="20"/>
      <w:szCs w:val="20"/>
      <w:u w:val="none"/>
      <w:shd w:val="clear" w:color="auto" w:fill="auto"/>
      <w:lang w:val="zh-CN"/>
    </w:rPr>
  </w:style>
  <w:style w:type="paragraph" w:customStyle="1" w:styleId="22">
    <w:name w:val="Body text|4"/>
    <w:basedOn w:val="1"/>
    <w:link w:val="21"/>
    <w:qFormat/>
    <w:uiPriority w:val="0"/>
    <w:rPr>
      <w:sz w:val="20"/>
      <w:szCs w:val="20"/>
      <w:lang w:val="zh-CN"/>
    </w:rPr>
  </w:style>
  <w:style w:type="character" w:customStyle="1" w:styleId="23">
    <w:name w:val="Header or footer|1_"/>
    <w:basedOn w:val="8"/>
    <w:link w:val="24"/>
    <w:qFormat/>
    <w:uiPriority w:val="0"/>
    <w:rPr>
      <w:b/>
      <w:bCs/>
      <w:sz w:val="18"/>
      <w:szCs w:val="18"/>
      <w:u w:val="none"/>
      <w:shd w:val="clear" w:color="auto" w:fill="auto"/>
      <w:lang w:val="zh-TW" w:eastAsia="zh-TW" w:bidi="zh-TW"/>
    </w:rPr>
  </w:style>
  <w:style w:type="paragraph" w:customStyle="1" w:styleId="24">
    <w:name w:val="Header or footer|1"/>
    <w:basedOn w:val="1"/>
    <w:link w:val="23"/>
    <w:qFormat/>
    <w:uiPriority w:val="0"/>
    <w:rPr>
      <w:b/>
      <w:bCs/>
      <w:sz w:val="18"/>
      <w:szCs w:val="18"/>
      <w:lang w:val="zh-TW" w:eastAsia="zh-TW" w:bidi="zh-TW"/>
    </w:rPr>
  </w:style>
  <w:style w:type="character" w:customStyle="1" w:styleId="25">
    <w:name w:val="Heading #3|1_"/>
    <w:basedOn w:val="8"/>
    <w:link w:val="26"/>
    <w:qFormat/>
    <w:uiPriority w:val="0"/>
    <w:rPr>
      <w:rFonts w:ascii="宋体" w:hAnsi="宋体" w:eastAsia="宋体" w:cs="宋体"/>
      <w:b/>
      <w:bCs/>
      <w:sz w:val="30"/>
      <w:szCs w:val="30"/>
      <w:u w:val="none"/>
      <w:shd w:val="clear" w:color="auto" w:fill="auto"/>
      <w:lang w:val="zh-TW" w:eastAsia="zh-TW" w:bidi="zh-TW"/>
    </w:rPr>
  </w:style>
  <w:style w:type="paragraph" w:customStyle="1" w:styleId="26">
    <w:name w:val="Heading #3|1"/>
    <w:basedOn w:val="1"/>
    <w:link w:val="25"/>
    <w:qFormat/>
    <w:uiPriority w:val="0"/>
    <w:pPr>
      <w:spacing w:after="320" w:line="518" w:lineRule="exact"/>
      <w:ind w:firstLine="600"/>
      <w:outlineLvl w:val="2"/>
    </w:pPr>
    <w:rPr>
      <w:rFonts w:ascii="宋体" w:hAnsi="宋体" w:eastAsia="宋体" w:cs="宋体"/>
      <w:b/>
      <w:bCs/>
      <w:sz w:val="30"/>
      <w:szCs w:val="30"/>
      <w:lang w:val="zh-TW" w:eastAsia="zh-TW" w:bidi="zh-TW"/>
    </w:rPr>
  </w:style>
  <w:style w:type="character" w:customStyle="1" w:styleId="27">
    <w:name w:val="Other|1_"/>
    <w:basedOn w:val="8"/>
    <w:link w:val="28"/>
    <w:qFormat/>
    <w:uiPriority w:val="0"/>
    <w:rPr>
      <w:rFonts w:ascii="宋体" w:hAnsi="宋体" w:eastAsia="宋体" w:cs="宋体"/>
      <w:sz w:val="30"/>
      <w:szCs w:val="30"/>
      <w:u w:val="none"/>
      <w:shd w:val="clear" w:color="auto" w:fill="auto"/>
      <w:lang w:val="zh-TW" w:eastAsia="zh-TW" w:bidi="zh-TW"/>
    </w:rPr>
  </w:style>
  <w:style w:type="paragraph" w:customStyle="1" w:styleId="28">
    <w:name w:val="Other|1"/>
    <w:basedOn w:val="1"/>
    <w:link w:val="27"/>
    <w:qFormat/>
    <w:uiPriority w:val="0"/>
    <w:pPr>
      <w:spacing w:line="391" w:lineRule="auto"/>
      <w:ind w:firstLine="400"/>
    </w:pPr>
    <w:rPr>
      <w:rFonts w:ascii="宋体" w:hAnsi="宋体" w:eastAsia="宋体" w:cs="宋体"/>
      <w:sz w:val="30"/>
      <w:szCs w:val="30"/>
      <w:lang w:val="zh-TW" w:eastAsia="zh-TW" w:bidi="zh-TW"/>
    </w:rPr>
  </w:style>
  <w:style w:type="character" w:customStyle="1" w:styleId="29">
    <w:name w:val="Picture caption|1_"/>
    <w:basedOn w:val="8"/>
    <w:link w:val="30"/>
    <w:qFormat/>
    <w:uiPriority w:val="0"/>
    <w:rPr>
      <w:rFonts w:ascii="宋体" w:hAnsi="宋体" w:eastAsia="宋体" w:cs="宋体"/>
      <w:sz w:val="11"/>
      <w:szCs w:val="11"/>
      <w:u w:val="none"/>
      <w:shd w:val="clear" w:color="auto" w:fill="auto"/>
      <w:lang w:val="zh-TW" w:eastAsia="zh-TW" w:bidi="zh-TW"/>
    </w:rPr>
  </w:style>
  <w:style w:type="paragraph" w:customStyle="1" w:styleId="30">
    <w:name w:val="Picture caption|1"/>
    <w:basedOn w:val="1"/>
    <w:link w:val="29"/>
    <w:qFormat/>
    <w:uiPriority w:val="0"/>
    <w:rPr>
      <w:rFonts w:ascii="宋体" w:hAnsi="宋体" w:eastAsia="宋体" w:cs="宋体"/>
      <w:sz w:val="11"/>
      <w:szCs w:val="11"/>
      <w:lang w:val="zh-TW" w:eastAsia="zh-TW" w:bidi="zh-TW"/>
    </w:rPr>
  </w:style>
  <w:style w:type="character" w:customStyle="1" w:styleId="31">
    <w:name w:val="Other|2_"/>
    <w:basedOn w:val="8"/>
    <w:link w:val="32"/>
    <w:qFormat/>
    <w:uiPriority w:val="0"/>
    <w:rPr>
      <w:rFonts w:ascii="宋体" w:hAnsi="宋体" w:eastAsia="宋体" w:cs="宋体"/>
      <w:sz w:val="18"/>
      <w:szCs w:val="18"/>
      <w:u w:val="none"/>
      <w:shd w:val="clear" w:color="auto" w:fill="auto"/>
      <w:lang w:val="zh-TW" w:eastAsia="zh-TW" w:bidi="zh-TW"/>
    </w:rPr>
  </w:style>
  <w:style w:type="paragraph" w:customStyle="1" w:styleId="32">
    <w:name w:val="Other|2"/>
    <w:basedOn w:val="1"/>
    <w:link w:val="31"/>
    <w:qFormat/>
    <w:uiPriority w:val="0"/>
    <w:pPr>
      <w:spacing w:line="187" w:lineRule="exact"/>
      <w:ind w:left="160"/>
      <w:jc w:val="center"/>
    </w:pPr>
    <w:rPr>
      <w:rFonts w:ascii="宋体" w:hAnsi="宋体" w:eastAsia="宋体" w:cs="宋体"/>
      <w:sz w:val="18"/>
      <w:szCs w:val="18"/>
      <w:lang w:val="zh-TW" w:eastAsia="zh-TW" w:bidi="zh-TW"/>
    </w:rPr>
  </w:style>
  <w:style w:type="character" w:customStyle="1" w:styleId="33">
    <w:name w:val="font01"/>
    <w:basedOn w:val="8"/>
    <w:qFormat/>
    <w:uiPriority w:val="0"/>
    <w:rPr>
      <w:rFonts w:hint="eastAsia" w:ascii="宋体" w:hAnsi="宋体" w:eastAsia="宋体" w:cs="宋体"/>
      <w:color w:val="000000"/>
      <w:sz w:val="36"/>
      <w:szCs w:val="36"/>
      <w:u w:val="none"/>
    </w:rPr>
  </w:style>
  <w:style w:type="character" w:customStyle="1" w:styleId="34">
    <w:name w:val="页眉 Char"/>
    <w:basedOn w:val="8"/>
    <w:link w:val="5"/>
    <w:qFormat/>
    <w:uiPriority w:val="0"/>
    <w:rPr>
      <w:rFonts w:eastAsia="Times New Roman"/>
      <w:color w:val="000000"/>
      <w:sz w:val="18"/>
      <w:szCs w:val="18"/>
      <w:lang w:eastAsia="en-US" w:bidi="en-US"/>
    </w:rPr>
  </w:style>
  <w:style w:type="character" w:customStyle="1" w:styleId="35">
    <w:name w:val="页脚 Char"/>
    <w:basedOn w:val="8"/>
    <w:link w:val="4"/>
    <w:qFormat/>
    <w:uiPriority w:val="0"/>
    <w:rPr>
      <w:rFonts w:eastAsia="Times New Roman"/>
      <w:color w:val="000000"/>
      <w:sz w:val="18"/>
      <w:szCs w:val="18"/>
      <w:lang w:eastAsia="en-US" w:bidi="en-US"/>
    </w:rPr>
  </w:style>
  <w:style w:type="paragraph" w:customStyle="1" w:styleId="36">
    <w:name w:val="p0"/>
    <w:basedOn w:val="1"/>
    <w:qFormat/>
    <w:uiPriority w:val="0"/>
    <w:pPr>
      <w:widowControl/>
      <w:jc w:val="both"/>
    </w:pPr>
    <w:rPr>
      <w:rFonts w:ascii="Calibri" w:hAnsi="Calibri" w:eastAsia="宋体"/>
      <w:color w:val="auto"/>
      <w:sz w:val="21"/>
      <w:szCs w:val="21"/>
      <w:lang w:eastAsia="zh-CN" w:bidi="ar-SA"/>
    </w:rPr>
  </w:style>
  <w:style w:type="character" w:customStyle="1" w:styleId="37">
    <w:name w:val="批注框文本 Char"/>
    <w:basedOn w:val="8"/>
    <w:link w:val="3"/>
    <w:uiPriority w:val="0"/>
    <w:rPr>
      <w:rFonts w:eastAsia="Times New Roman"/>
      <w:color w:val="000000"/>
      <w:sz w:val="18"/>
      <w:szCs w:val="18"/>
      <w:lang w:eastAsia="en-US" w:bidi="en-US"/>
    </w:rPr>
  </w:style>
  <w:style w:type="paragraph" w:customStyle="1" w:styleId="38">
    <w:name w:val="NormalIndent"/>
    <w:basedOn w:val="1"/>
    <w:next w:val="1"/>
    <w:qFormat/>
    <w:uiPriority w:val="0"/>
    <w:pPr>
      <w:ind w:firstLine="420" w:firstLineChars="200"/>
      <w:jc w:val="both"/>
    </w:pPr>
    <w:rPr>
      <w:rFonts w:asciiTheme="minorHAnsi" w:hAnsiTheme="minorHAnsi" w:eastAsiaTheme="minorEastAsia" w:cstheme="minorBidi"/>
      <w:color w:val="auto"/>
      <w:kern w:val="2"/>
      <w:sz w:val="21"/>
      <w:szCs w:val="22"/>
      <w:lang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customXml" Target="../customXml/item1.xml"/><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emf"/><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35"/>
    <customShpInfo spid="_x0000_s1034"/>
    <customShpInfo spid="_x0000_s1033"/>
    <customShpInfo spid="_x0000_s1032"/>
    <customShpInfo spid="_x0000_s1031"/>
    <customShpInfo spid="_x0000_s1030"/>
    <customShpInfo spid="_x0000_s1029"/>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0BA2F2E-CA75-40CC-B3AB-343D814282D8}">
  <ds:schemaRefs/>
</ds:datastoreItem>
</file>

<file path=docProps/app.xml><?xml version="1.0" encoding="utf-8"?>
<Properties xmlns="http://schemas.openxmlformats.org/officeDocument/2006/extended-properties" xmlns:vt="http://schemas.openxmlformats.org/officeDocument/2006/docPropsVTypes">
  <Template>Normal</Template>
  <Pages>24</Pages>
  <Words>9142</Words>
  <Characters>9654</Characters>
  <Lines>75</Lines>
  <Paragraphs>21</Paragraphs>
  <TotalTime>28</TotalTime>
  <ScaleCrop>false</ScaleCrop>
  <LinksUpToDate>false</LinksUpToDate>
  <CharactersWithSpaces>9771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2022-08-26T09:40:00Z</dcterms:created>
  <dc:creator>Administrator</dc:creator>
  <cp:lastModifiedBy>Yuan</cp:lastModifiedBy>
  <cp:lastPrinted>2022-08-18T02:29:00Z</cp:lastPrinted>
  <dcterms:modified xsi:type="dcterms:W3CDTF">2023-06-19T01:07:24Z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0D92E874F9C74C38905FCD654F25943E_12</vt:lpwstr>
  </property>
</Properties>
</file>