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45B347">
      <w:pPr>
        <w:pStyle w:val="17"/>
        <w:bidi w:val="0"/>
        <w:rPr>
          <w:rFonts w:hint="eastAsia"/>
          <w:u w:val="none"/>
        </w:rPr>
      </w:pPr>
      <w:r>
        <w:rPr>
          <w:rFonts w:hint="eastAsia"/>
          <w:u w:val="none"/>
          <w:lang w:eastAsia="zh-CN"/>
        </w:rPr>
        <w:t>兴国县退役军人事务局2026</w:t>
      </w:r>
      <w:r>
        <w:rPr>
          <w:rFonts w:hint="eastAsia"/>
          <w:u w:val="none"/>
        </w:rPr>
        <w:t>年部门预算</w:t>
      </w:r>
    </w:p>
    <w:p w14:paraId="2A6CF43E">
      <w:pPr>
        <w:pStyle w:val="14"/>
        <w:spacing w:line="600" w:lineRule="atLeast"/>
        <w:jc w:val="center"/>
        <w:rPr>
          <w:rFonts w:ascii="黑体" w:hAnsi="黑体" w:eastAsia="黑体"/>
          <w:color w:val="000000"/>
          <w:sz w:val="32"/>
          <w:szCs w:val="32"/>
          <w:u w:val="none"/>
        </w:rPr>
      </w:pPr>
    </w:p>
    <w:p w14:paraId="114673FC">
      <w:pPr>
        <w:pStyle w:val="14"/>
        <w:pageBreakBefore w:val="0"/>
        <w:kinsoku/>
        <w:wordWrap/>
        <w:overflowPunct/>
        <w:topLinePunct w:val="0"/>
        <w:autoSpaceDE/>
        <w:autoSpaceDN/>
        <w:bidi w:val="0"/>
        <w:adjustRightInd/>
        <w:snapToGrid/>
        <w:spacing w:line="500" w:lineRule="exact"/>
        <w:jc w:val="center"/>
        <w:textAlignment w:val="auto"/>
        <w:rPr>
          <w:rFonts w:ascii="黑体" w:hAnsi="黑体" w:eastAsia="黑体"/>
          <w:color w:val="000000"/>
          <w:sz w:val="32"/>
          <w:szCs w:val="32"/>
          <w:u w:val="none"/>
        </w:rPr>
      </w:pPr>
      <w:r>
        <w:rPr>
          <w:rFonts w:hint="eastAsia" w:ascii="黑体" w:hAnsi="黑体" w:eastAsia="黑体"/>
          <w:color w:val="000000"/>
          <w:sz w:val="32"/>
          <w:szCs w:val="32"/>
          <w:u w:val="none"/>
        </w:rPr>
        <w:t>目    录</w:t>
      </w:r>
    </w:p>
    <w:p w14:paraId="161280E0">
      <w:pPr>
        <w:pStyle w:val="14"/>
        <w:pageBreakBefore w:val="0"/>
        <w:kinsoku/>
        <w:wordWrap/>
        <w:overflowPunct/>
        <w:topLinePunct w:val="0"/>
        <w:autoSpaceDE/>
        <w:autoSpaceDN/>
        <w:bidi w:val="0"/>
        <w:adjustRightInd/>
        <w:snapToGrid/>
        <w:spacing w:line="500" w:lineRule="exact"/>
        <w:textAlignment w:val="auto"/>
        <w:rPr>
          <w:rFonts w:ascii="宋体" w:hAnsi="宋体"/>
          <w:color w:val="000000"/>
          <w:u w:val="none"/>
        </w:rPr>
      </w:pPr>
    </w:p>
    <w:p w14:paraId="3A00565C">
      <w:pPr>
        <w:pStyle w:val="18"/>
        <w:pageBreakBefore w:val="0"/>
        <w:numPr>
          <w:ilvl w:val="0"/>
          <w:numId w:val="0"/>
        </w:numPr>
        <w:kinsoku/>
        <w:wordWrap/>
        <w:overflowPunct/>
        <w:topLinePunct w:val="0"/>
        <w:autoSpaceDE/>
        <w:autoSpaceDN/>
        <w:bidi w:val="0"/>
        <w:adjustRightInd/>
        <w:snapToGrid/>
        <w:spacing w:line="500" w:lineRule="exact"/>
        <w:jc w:val="left"/>
        <w:textAlignment w:val="auto"/>
        <w:rPr>
          <w:rFonts w:hint="eastAsia"/>
          <w:u w:val="none"/>
          <w:lang w:eastAsia="zh-CN"/>
        </w:rPr>
      </w:pPr>
      <w:r>
        <w:rPr>
          <w:rFonts w:hint="eastAsia"/>
          <w:u w:val="none"/>
          <w:lang w:val="en-US" w:eastAsia="zh-CN"/>
        </w:rPr>
        <w:t>第一部分  兴国县退役军人事务局概况</w:t>
      </w:r>
    </w:p>
    <w:p w14:paraId="5E84FC10">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一、部门主要职责</w:t>
      </w:r>
    </w:p>
    <w:p w14:paraId="4CCE535F">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二、机构设置及人员情况</w:t>
      </w:r>
    </w:p>
    <w:p w14:paraId="387AD1A4">
      <w:pPr>
        <w:pStyle w:val="18"/>
        <w:pageBreakBefore w:val="0"/>
        <w:numPr>
          <w:ilvl w:val="0"/>
          <w:numId w:val="0"/>
        </w:numPr>
        <w:kinsoku/>
        <w:wordWrap/>
        <w:overflowPunct/>
        <w:topLinePunct w:val="0"/>
        <w:autoSpaceDE/>
        <w:autoSpaceDN/>
        <w:bidi w:val="0"/>
        <w:adjustRightInd/>
        <w:snapToGrid/>
        <w:spacing w:line="500" w:lineRule="exact"/>
        <w:jc w:val="left"/>
        <w:textAlignment w:val="auto"/>
        <w:rPr>
          <w:rFonts w:hint="eastAsia"/>
          <w:u w:val="none"/>
        </w:rPr>
      </w:pPr>
      <w:r>
        <w:rPr>
          <w:rFonts w:hint="eastAsia"/>
          <w:u w:val="none"/>
        </w:rPr>
        <w:t xml:space="preserve">第二部分  </w:t>
      </w:r>
      <w:r>
        <w:rPr>
          <w:rFonts w:hint="eastAsia"/>
          <w:u w:val="none"/>
          <w:lang w:eastAsia="zh-CN"/>
        </w:rPr>
        <w:t>兴国县退役军人事务局2026</w:t>
      </w:r>
      <w:r>
        <w:rPr>
          <w:rFonts w:hint="eastAsia"/>
          <w:u w:val="none"/>
        </w:rPr>
        <w:t>年部门预算表</w:t>
      </w:r>
    </w:p>
    <w:p w14:paraId="352FC17A">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一、《收支预算总表》</w:t>
      </w:r>
    </w:p>
    <w:p w14:paraId="73ABEA42">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二、《部门收入总表》</w:t>
      </w:r>
    </w:p>
    <w:p w14:paraId="28EF885C">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三、《部门支出总表》</w:t>
      </w:r>
    </w:p>
    <w:p w14:paraId="0EB34127">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四、《财政拨款收支总表》</w:t>
      </w:r>
    </w:p>
    <w:p w14:paraId="5A3714A8">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五、《一般公共预算支出表》</w:t>
      </w:r>
    </w:p>
    <w:p w14:paraId="0363BFD1">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六、《一般公共预算基本支出表》</w:t>
      </w:r>
    </w:p>
    <w:p w14:paraId="6C625AA9">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七、《财政拨款“三公”经费支出表》</w:t>
      </w:r>
    </w:p>
    <w:p w14:paraId="478E5281">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八、《政府性基金预算支出表》</w:t>
      </w:r>
    </w:p>
    <w:p w14:paraId="7796B350">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九、《国有资本经营预算支出表》</w:t>
      </w:r>
      <w:r>
        <w:rPr>
          <w:rFonts w:hint="eastAsia" w:ascii="仿宋_GB2312" w:hAnsi="仿宋_GB2312" w:eastAsia="仿宋_GB2312" w:cs="仿宋_GB2312"/>
          <w:u w:val="none"/>
        </w:rPr>
        <w:tab/>
      </w:r>
    </w:p>
    <w:p w14:paraId="0EE21ED4">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十、《部门整体绩效目标》</w:t>
      </w:r>
    </w:p>
    <w:p w14:paraId="5D03ED6F">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十一、《项目绩效目标</w:t>
      </w:r>
      <w:r>
        <w:rPr>
          <w:rFonts w:hint="eastAsia" w:cs="仿宋_GB2312"/>
          <w:u w:val="none"/>
          <w:lang w:val="en-US" w:eastAsia="zh-CN"/>
        </w:rPr>
        <w:t>表</w:t>
      </w:r>
      <w:r>
        <w:rPr>
          <w:rFonts w:hint="eastAsia" w:ascii="仿宋_GB2312" w:hAnsi="仿宋_GB2312" w:eastAsia="仿宋_GB2312" w:cs="仿宋_GB2312"/>
          <w:u w:val="none"/>
        </w:rPr>
        <w:t>》</w:t>
      </w:r>
    </w:p>
    <w:p w14:paraId="0400FC38">
      <w:pPr>
        <w:pStyle w:val="18"/>
        <w:pageBreakBefore w:val="0"/>
        <w:numPr>
          <w:ilvl w:val="0"/>
          <w:numId w:val="0"/>
        </w:numPr>
        <w:kinsoku/>
        <w:wordWrap/>
        <w:overflowPunct/>
        <w:topLinePunct w:val="0"/>
        <w:autoSpaceDE/>
        <w:autoSpaceDN/>
        <w:bidi w:val="0"/>
        <w:adjustRightInd/>
        <w:snapToGrid/>
        <w:spacing w:line="500" w:lineRule="exact"/>
        <w:jc w:val="left"/>
        <w:textAlignment w:val="auto"/>
        <w:rPr>
          <w:rFonts w:hint="eastAsia"/>
          <w:u w:val="none"/>
          <w:lang w:eastAsia="zh-CN"/>
        </w:rPr>
      </w:pPr>
      <w:r>
        <w:rPr>
          <w:rFonts w:hint="eastAsia"/>
          <w:u w:val="none"/>
          <w:lang w:eastAsia="zh-CN"/>
        </w:rPr>
        <w:t>第三部分 兴国县退役军人事务局 2026年部门预算情况说明</w:t>
      </w:r>
    </w:p>
    <w:p w14:paraId="6E22FC23">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一、</w:t>
      </w:r>
      <w:r>
        <w:rPr>
          <w:rFonts w:hint="eastAsia" w:ascii="仿宋_GB2312" w:hAnsi="仿宋_GB2312" w:eastAsia="仿宋_GB2312" w:cs="仿宋_GB2312"/>
          <w:u w:val="none"/>
          <w:lang w:eastAsia="zh-CN"/>
        </w:rPr>
        <w:t>2026</w:t>
      </w:r>
      <w:r>
        <w:rPr>
          <w:rFonts w:hint="eastAsia" w:ascii="仿宋_GB2312" w:hAnsi="仿宋_GB2312" w:eastAsia="仿宋_GB2312" w:cs="仿宋_GB2312"/>
          <w:u w:val="none"/>
        </w:rPr>
        <w:t>年部门预算收支情况说明</w:t>
      </w:r>
    </w:p>
    <w:p w14:paraId="11E2A582">
      <w:pPr>
        <w:pStyle w:val="19"/>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u w:val="none"/>
        </w:rPr>
      </w:pPr>
      <w:r>
        <w:rPr>
          <w:rFonts w:hint="eastAsia" w:ascii="仿宋_GB2312" w:hAnsi="仿宋_GB2312" w:eastAsia="仿宋_GB2312" w:cs="仿宋_GB2312"/>
          <w:u w:val="none"/>
        </w:rPr>
        <w:t>二、</w:t>
      </w:r>
      <w:r>
        <w:rPr>
          <w:rFonts w:hint="eastAsia" w:ascii="仿宋_GB2312" w:hAnsi="仿宋_GB2312" w:eastAsia="仿宋_GB2312" w:cs="仿宋_GB2312"/>
          <w:u w:val="none"/>
          <w:lang w:eastAsia="zh-CN"/>
        </w:rPr>
        <w:t>2026</w:t>
      </w:r>
      <w:r>
        <w:rPr>
          <w:rFonts w:hint="eastAsia" w:ascii="仿宋_GB2312" w:hAnsi="仿宋_GB2312" w:eastAsia="仿宋_GB2312" w:cs="仿宋_GB2312"/>
          <w:u w:val="none"/>
        </w:rPr>
        <w:t>年</w:t>
      </w:r>
      <w:r>
        <w:rPr>
          <w:rFonts w:hint="eastAsia" w:ascii="仿宋_GB2312" w:hAnsi="仿宋_GB2312" w:eastAsia="仿宋_GB2312" w:cs="仿宋_GB2312"/>
          <w:u w:val="none"/>
          <w:lang w:val="en-US" w:eastAsia="zh-CN"/>
        </w:rPr>
        <w:t>财政拨款</w:t>
      </w:r>
      <w:r>
        <w:rPr>
          <w:rFonts w:hint="eastAsia" w:ascii="仿宋_GB2312" w:hAnsi="仿宋_GB2312" w:eastAsia="仿宋_GB2312" w:cs="仿宋_GB2312"/>
          <w:u w:val="none"/>
        </w:rPr>
        <w:t>“三公”经费预算情况说明</w:t>
      </w:r>
    </w:p>
    <w:p w14:paraId="1EA1A326">
      <w:pPr>
        <w:pStyle w:val="18"/>
        <w:pageBreakBefore w:val="0"/>
        <w:numPr>
          <w:ilvl w:val="0"/>
          <w:numId w:val="0"/>
        </w:numPr>
        <w:kinsoku/>
        <w:wordWrap/>
        <w:overflowPunct/>
        <w:topLinePunct w:val="0"/>
        <w:autoSpaceDE/>
        <w:autoSpaceDN/>
        <w:bidi w:val="0"/>
        <w:adjustRightInd/>
        <w:snapToGrid/>
        <w:spacing w:line="500" w:lineRule="exact"/>
        <w:jc w:val="left"/>
        <w:textAlignment w:val="auto"/>
        <w:rPr>
          <w:rFonts w:hint="eastAsia"/>
          <w:u w:val="none"/>
          <w:lang w:eastAsia="zh-CN"/>
        </w:rPr>
      </w:pPr>
      <w:r>
        <w:rPr>
          <w:rFonts w:hint="eastAsia"/>
          <w:u w:val="none"/>
          <w:lang w:eastAsia="zh-CN"/>
        </w:rPr>
        <w:t>第四部分  名词解释</w:t>
      </w:r>
    </w:p>
    <w:p w14:paraId="49AB5355">
      <w:pPr>
        <w:widowControl/>
        <w:spacing w:line="580" w:lineRule="exact"/>
        <w:jc w:val="center"/>
        <w:rPr>
          <w:rFonts w:ascii="仿宋_GB2312" w:eastAsia="仿宋_GB2312"/>
          <w:b/>
          <w:sz w:val="32"/>
          <w:szCs w:val="30"/>
          <w:u w:val="none"/>
        </w:rPr>
      </w:pPr>
    </w:p>
    <w:p w14:paraId="3B449CB5">
      <w:pPr>
        <w:widowControl/>
        <w:spacing w:line="580" w:lineRule="exact"/>
        <w:jc w:val="center"/>
        <w:rPr>
          <w:rFonts w:ascii="仿宋_GB2312" w:eastAsia="仿宋_GB2312"/>
          <w:b/>
          <w:sz w:val="32"/>
          <w:szCs w:val="30"/>
          <w:u w:val="none"/>
        </w:rPr>
      </w:pPr>
    </w:p>
    <w:p w14:paraId="54875DB7">
      <w:pPr>
        <w:pStyle w:val="18"/>
        <w:numPr>
          <w:ilvl w:val="0"/>
          <w:numId w:val="0"/>
        </w:numPr>
        <w:bidi w:val="0"/>
        <w:ind w:left="420" w:leftChars="200"/>
        <w:jc w:val="center"/>
        <w:rPr>
          <w:rFonts w:hint="eastAsia"/>
          <w:u w:val="none"/>
          <w:lang w:eastAsia="zh-CN"/>
        </w:rPr>
      </w:pPr>
      <w:r>
        <w:rPr>
          <w:rFonts w:hint="eastAsia"/>
          <w:u w:val="none"/>
          <w:lang w:eastAsia="zh-CN"/>
        </w:rPr>
        <w:t>第一部分  兴国县退役军人事务局概况</w:t>
      </w:r>
    </w:p>
    <w:p w14:paraId="12CA4765">
      <w:pPr>
        <w:widowControl/>
        <w:spacing w:line="580" w:lineRule="exact"/>
        <w:jc w:val="left"/>
        <w:rPr>
          <w:rFonts w:asciiTheme="minorEastAsia" w:hAnsiTheme="minorEastAsia"/>
          <w:b/>
          <w:sz w:val="36"/>
          <w:szCs w:val="36"/>
          <w:u w:val="none"/>
        </w:rPr>
      </w:pPr>
    </w:p>
    <w:p w14:paraId="1C203120">
      <w:pPr>
        <w:pStyle w:val="18"/>
        <w:numPr>
          <w:ilvl w:val="0"/>
          <w:numId w:val="0"/>
        </w:numPr>
        <w:bidi w:val="0"/>
        <w:ind w:left="420" w:leftChars="200" w:firstLine="320" w:firstLineChars="100"/>
        <w:rPr>
          <w:rFonts w:hint="eastAsia"/>
          <w:u w:val="none"/>
        </w:rPr>
      </w:pPr>
      <w:r>
        <w:rPr>
          <w:rFonts w:hint="eastAsia"/>
          <w:u w:val="none"/>
        </w:rPr>
        <w:t>一、部门主要职责</w:t>
      </w:r>
    </w:p>
    <w:p w14:paraId="5DB1FD8B">
      <w:pPr>
        <w:keepNext w:val="0"/>
        <w:keepLines w:val="0"/>
        <w:pageBreakBefore w:val="0"/>
        <w:widowControl w:val="0"/>
        <w:kinsoku/>
        <w:wordWrap/>
        <w:overflowPunct/>
        <w:topLinePunct w:val="0"/>
        <w:autoSpaceDE/>
        <w:autoSpaceDN/>
        <w:bidi w:val="0"/>
        <w:adjustRightInd/>
        <w:snapToGrid/>
        <w:spacing w:line="58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主要职责</w:t>
      </w:r>
    </w:p>
    <w:p w14:paraId="1EAA7A15">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兴国县退役军人事务局是县政府主管退役军</w:t>
      </w:r>
      <w:bookmarkStart w:id="0" w:name="_GoBack"/>
      <w:bookmarkEnd w:id="0"/>
      <w:r>
        <w:rPr>
          <w:rFonts w:hint="eastAsia" w:ascii="仿宋" w:hAnsi="仿宋" w:eastAsia="仿宋" w:cs="仿宋_GB2312"/>
          <w:color w:val="000000"/>
          <w:sz w:val="32"/>
          <w:szCs w:val="32"/>
          <w:u w:val="none"/>
        </w:rPr>
        <w:t>人工作的工作</w:t>
      </w:r>
      <w:r>
        <w:rPr>
          <w:rFonts w:hint="eastAsia" w:ascii="仿宋" w:hAnsi="仿宋" w:eastAsia="仿宋" w:cs="仿宋_GB2312"/>
          <w:color w:val="000000"/>
          <w:sz w:val="32"/>
          <w:szCs w:val="32"/>
          <w:u w:val="none"/>
          <w:lang w:eastAsia="zh-CN"/>
        </w:rPr>
        <w:t>单位</w:t>
      </w:r>
      <w:r>
        <w:rPr>
          <w:rFonts w:hint="eastAsia" w:ascii="仿宋" w:hAnsi="仿宋" w:eastAsia="仿宋" w:cs="仿宋_GB2312"/>
          <w:color w:val="000000"/>
          <w:sz w:val="32"/>
          <w:szCs w:val="32"/>
          <w:u w:val="none"/>
        </w:rPr>
        <w:t>，为正科级。主要职责是：</w:t>
      </w:r>
    </w:p>
    <w:p w14:paraId="1BFDB2DE">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（一）</w:t>
      </w:r>
      <w:r>
        <w:rPr>
          <w:rFonts w:hint="eastAsia" w:ascii="仿宋" w:hAnsi="仿宋" w:eastAsia="仿宋" w:cs="仿宋_GB2312"/>
          <w:color w:val="000000"/>
          <w:sz w:val="32"/>
          <w:szCs w:val="32"/>
          <w:u w:val="none"/>
          <w:lang w:eastAsia="zh-CN"/>
        </w:rPr>
        <w:t>拟订</w:t>
      </w:r>
      <w:r>
        <w:rPr>
          <w:rFonts w:hint="eastAsia" w:ascii="仿宋" w:hAnsi="仿宋" w:eastAsia="仿宋" w:cs="仿宋_GB2312"/>
          <w:color w:val="000000"/>
          <w:sz w:val="32"/>
          <w:szCs w:val="32"/>
          <w:u w:val="none"/>
        </w:rPr>
        <w:t>全县退役军人思想政治、管理保障和安置优抚等工作规范性文件和制度并组织实施，褒扬彰显退役军人为党</w:t>
      </w:r>
      <w:r>
        <w:rPr>
          <w:rFonts w:hint="eastAsia" w:ascii="仿宋" w:hAnsi="仿宋" w:eastAsia="仿宋" w:cs="仿宋_GB2312"/>
          <w:color w:val="000000"/>
          <w:sz w:val="32"/>
          <w:szCs w:val="32"/>
          <w:u w:val="none"/>
          <w:lang w:eastAsia="zh-CN"/>
        </w:rPr>
        <w:t>、为</w:t>
      </w:r>
      <w:r>
        <w:rPr>
          <w:rFonts w:hint="eastAsia" w:ascii="仿宋" w:hAnsi="仿宋" w:eastAsia="仿宋" w:cs="仿宋_GB2312"/>
          <w:color w:val="000000"/>
          <w:sz w:val="32"/>
          <w:szCs w:val="32"/>
          <w:u w:val="none"/>
        </w:rPr>
        <w:t>国家和人民牺牲奉献的精神风范和价值导向。</w:t>
      </w:r>
    </w:p>
    <w:p w14:paraId="51DA06E7">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（二）负责全县军队转业干部、复员干部、离休退休干部、退役士兵和无军籍退休退职职工的移交安置工作和自主择业、就业退役军人服务管理等有关工作。</w:t>
      </w:r>
    </w:p>
    <w:p w14:paraId="0E57792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（三）组织指导全县退役军人教育培训工作，协调扶持退役军人和随军随调家属就业创业。</w:t>
      </w:r>
    </w:p>
    <w:p w14:paraId="154DD635">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（四）会同有关</w:t>
      </w:r>
      <w:r>
        <w:rPr>
          <w:rFonts w:hint="eastAsia" w:ascii="仿宋" w:hAnsi="仿宋" w:eastAsia="仿宋" w:cs="仿宋_GB2312"/>
          <w:color w:val="000000"/>
          <w:sz w:val="32"/>
          <w:szCs w:val="32"/>
          <w:u w:val="none"/>
          <w:lang w:eastAsia="zh-CN"/>
        </w:rPr>
        <w:t>单位</w:t>
      </w:r>
      <w:r>
        <w:rPr>
          <w:rFonts w:hint="eastAsia" w:ascii="仿宋" w:hAnsi="仿宋" w:eastAsia="仿宋" w:cs="仿宋_GB2312"/>
          <w:color w:val="000000"/>
          <w:sz w:val="32"/>
          <w:szCs w:val="32"/>
          <w:u w:val="none"/>
        </w:rPr>
        <w:t>拟订全县退役军人特殊保障政策并组织落实。</w:t>
      </w:r>
    </w:p>
    <w:p w14:paraId="45620B48">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（五）组织协调落实军队移交我县符合条件的离休退休干部住房补贴和无军籍退休退职职工住房维修、房租补贴发放等服务保障工作，以及退役军人医疗保障、社会保险等待遇保障工作。</w:t>
      </w:r>
    </w:p>
    <w:p w14:paraId="48E63978">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（六）组织指导全县伤病残退役军人服务管理和抚恤工作，会同有关</w:t>
      </w:r>
      <w:r>
        <w:rPr>
          <w:rFonts w:hint="eastAsia" w:ascii="仿宋" w:hAnsi="仿宋" w:eastAsia="仿宋" w:cs="仿宋_GB2312"/>
          <w:color w:val="000000"/>
          <w:sz w:val="32"/>
          <w:szCs w:val="32"/>
          <w:u w:val="none"/>
          <w:lang w:eastAsia="zh-CN"/>
        </w:rPr>
        <w:t>单位</w:t>
      </w:r>
      <w:r>
        <w:rPr>
          <w:rFonts w:hint="eastAsia" w:ascii="仿宋" w:hAnsi="仿宋" w:eastAsia="仿宋" w:cs="仿宋_GB2312"/>
          <w:color w:val="000000"/>
          <w:sz w:val="32"/>
          <w:szCs w:val="32"/>
          <w:u w:val="none"/>
        </w:rPr>
        <w:t>拟订有关退役军人医疗、疗养、养老等机构的规划政策并指导实施。承担不适宜继续服役的伤病残军人相关工作。组织实施军供服务保障工作。</w:t>
      </w:r>
    </w:p>
    <w:p w14:paraId="07F29337">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（七）组织指导全县拥军优属工作。负责现役军人、退役军人、军队文职人员和军属优待、抚恤等工作，落实国民党抗战老兵等有关人员优待政策。</w:t>
      </w:r>
    </w:p>
    <w:p w14:paraId="4DFC55AC">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14:paraId="7188099F">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（九）指导并监督检查退役军人相关法律法规和政策措施的落实，组织开展退役军人权益维护和有关人员的走访慰问、帮扶援助工作。指导督促所属单位进行安全管理。</w:t>
      </w:r>
    </w:p>
    <w:p w14:paraId="1A8FCDA4">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（十）在征求县委组织、机构编制等</w:t>
      </w:r>
      <w:r>
        <w:rPr>
          <w:rFonts w:hint="eastAsia" w:ascii="仿宋" w:hAnsi="仿宋" w:eastAsia="仿宋" w:cs="仿宋_GB2312"/>
          <w:color w:val="000000"/>
          <w:sz w:val="32"/>
          <w:szCs w:val="32"/>
          <w:u w:val="none"/>
          <w:lang w:eastAsia="zh-CN"/>
        </w:rPr>
        <w:t>单位</w:t>
      </w:r>
      <w:r>
        <w:rPr>
          <w:rFonts w:hint="eastAsia" w:ascii="仿宋" w:hAnsi="仿宋" w:eastAsia="仿宋" w:cs="仿宋_GB2312"/>
          <w:color w:val="000000"/>
          <w:sz w:val="32"/>
          <w:szCs w:val="32"/>
          <w:u w:val="none"/>
        </w:rPr>
        <w:t>意见基础上，牵头提出全县计划分配军队转业干部、符合条件的退役士兵的安置计划并组织实施。</w:t>
      </w:r>
    </w:p>
    <w:p w14:paraId="1139F9BC">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ascii="仿宋" w:hAnsi="仿宋" w:eastAsia="仿宋" w:cs="仿宋"/>
          <w:color w:val="000000"/>
          <w:sz w:val="32"/>
          <w:szCs w:val="32"/>
          <w:u w:val="none"/>
        </w:rPr>
      </w:pPr>
      <w:r>
        <w:rPr>
          <w:rFonts w:hint="eastAsia" w:ascii="仿宋" w:hAnsi="仿宋" w:eastAsia="仿宋" w:cs="仿宋_GB2312"/>
          <w:color w:val="000000"/>
          <w:sz w:val="32"/>
          <w:szCs w:val="32"/>
          <w:u w:val="none"/>
        </w:rPr>
        <w:t>（十一）</w:t>
      </w:r>
      <w:r>
        <w:rPr>
          <w:rFonts w:ascii="仿宋" w:hAnsi="仿宋" w:eastAsia="仿宋" w:cs="仿宋"/>
          <w:color w:val="000000"/>
          <w:sz w:val="32"/>
          <w:szCs w:val="32"/>
          <w:u w:val="none"/>
        </w:rPr>
        <w:t>负责烈士陵园纪念馆</w:t>
      </w:r>
      <w:r>
        <w:rPr>
          <w:rFonts w:hint="eastAsia" w:ascii="仿宋" w:hAnsi="仿宋" w:eastAsia="仿宋" w:cs="仿宋"/>
          <w:color w:val="000000"/>
          <w:sz w:val="32"/>
          <w:szCs w:val="32"/>
          <w:u w:val="none"/>
        </w:rPr>
        <w:t>及散葬墓园</w:t>
      </w:r>
      <w:r>
        <w:rPr>
          <w:rFonts w:ascii="仿宋" w:hAnsi="仿宋" w:eastAsia="仿宋" w:cs="仿宋"/>
          <w:color w:val="000000"/>
          <w:sz w:val="32"/>
          <w:szCs w:val="32"/>
          <w:u w:val="none"/>
        </w:rPr>
        <w:t>建筑物建设维护与环境美化</w:t>
      </w:r>
      <w:r>
        <w:rPr>
          <w:rFonts w:hint="eastAsia" w:ascii="仿宋" w:hAnsi="仿宋" w:eastAsia="仿宋" w:cs="仿宋"/>
          <w:color w:val="000000"/>
          <w:sz w:val="32"/>
          <w:szCs w:val="32"/>
          <w:u w:val="none"/>
          <w:lang w:eastAsia="zh-CN"/>
        </w:rPr>
        <w:t>；</w:t>
      </w:r>
      <w:r>
        <w:rPr>
          <w:rFonts w:ascii="仿宋" w:hAnsi="仿宋" w:eastAsia="仿宋" w:cs="仿宋"/>
          <w:color w:val="000000"/>
          <w:sz w:val="32"/>
          <w:szCs w:val="32"/>
          <w:u w:val="none"/>
        </w:rPr>
        <w:t xml:space="preserve"> 烈士遗物和革命史料的陈列展览；烈士骨灰的安放和保存</w:t>
      </w:r>
      <w:r>
        <w:rPr>
          <w:rFonts w:hint="eastAsia" w:ascii="仿宋" w:hAnsi="仿宋" w:eastAsia="仿宋" w:cs="仿宋"/>
          <w:color w:val="000000"/>
          <w:sz w:val="32"/>
          <w:szCs w:val="32"/>
          <w:u w:val="none"/>
          <w:lang w:eastAsia="zh-CN"/>
        </w:rPr>
        <w:t>；</w:t>
      </w:r>
      <w:r>
        <w:rPr>
          <w:rFonts w:ascii="仿宋" w:hAnsi="仿宋" w:eastAsia="仿宋" w:cs="仿宋"/>
          <w:color w:val="000000"/>
          <w:sz w:val="32"/>
          <w:szCs w:val="32"/>
          <w:u w:val="none"/>
        </w:rPr>
        <w:t xml:space="preserve"> 烈士文物档案建立与保管</w:t>
      </w:r>
      <w:r>
        <w:rPr>
          <w:rFonts w:hint="eastAsia" w:ascii="仿宋" w:hAnsi="仿宋" w:eastAsia="仿宋" w:cs="仿宋"/>
          <w:color w:val="000000"/>
          <w:sz w:val="32"/>
          <w:szCs w:val="32"/>
          <w:u w:val="none"/>
        </w:rPr>
        <w:t>。</w:t>
      </w:r>
    </w:p>
    <w:p w14:paraId="5D81A45E">
      <w:pPr>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ascii="仿宋" w:hAnsi="仿宋" w:eastAsia="仿宋" w:cs="仿宋"/>
          <w:color w:val="000000"/>
          <w:sz w:val="32"/>
          <w:szCs w:val="32"/>
          <w:u w:val="none"/>
        </w:rPr>
      </w:pPr>
      <w:r>
        <w:rPr>
          <w:rFonts w:hint="eastAsia" w:ascii="仿宋" w:hAnsi="仿宋" w:eastAsia="仿宋" w:cs="仿宋"/>
          <w:color w:val="000000"/>
          <w:sz w:val="32"/>
          <w:szCs w:val="32"/>
          <w:u w:val="none"/>
        </w:rPr>
        <w:t>（十二）对光荣院集中供养等工作进行管理、监督和检查。</w:t>
      </w:r>
    </w:p>
    <w:p w14:paraId="3D74BE0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（十三）完成县委、县政府交办的</w:t>
      </w:r>
      <w:r>
        <w:rPr>
          <w:rFonts w:hint="eastAsia" w:ascii="仿宋" w:hAnsi="仿宋" w:eastAsia="仿宋" w:cs="仿宋_GB2312"/>
          <w:color w:val="000000"/>
          <w:sz w:val="32"/>
          <w:szCs w:val="32"/>
          <w:u w:val="none"/>
          <w:lang w:eastAsia="zh-CN"/>
        </w:rPr>
        <w:t>其他</w:t>
      </w:r>
      <w:r>
        <w:rPr>
          <w:rFonts w:hint="eastAsia" w:ascii="仿宋" w:hAnsi="仿宋" w:eastAsia="仿宋" w:cs="仿宋_GB2312"/>
          <w:color w:val="000000"/>
          <w:sz w:val="32"/>
          <w:szCs w:val="32"/>
          <w:u w:val="none"/>
        </w:rPr>
        <w:t>工作任务。</w:t>
      </w:r>
    </w:p>
    <w:p w14:paraId="5EF7EBE8">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仿宋_GB2312"/>
          <w:color w:val="000000"/>
          <w:sz w:val="32"/>
          <w:szCs w:val="32"/>
          <w:u w:val="none"/>
        </w:rPr>
      </w:pPr>
      <w:r>
        <w:rPr>
          <w:rFonts w:hint="eastAsia" w:ascii="仿宋" w:hAnsi="仿宋" w:eastAsia="仿宋" w:cs="仿宋_GB2312"/>
          <w:color w:val="000000"/>
          <w:sz w:val="32"/>
          <w:szCs w:val="32"/>
          <w:u w:val="none"/>
        </w:rPr>
        <w:t>（十四）职能转变。县退役军人事务局应加强全县退役军人思想政治工作和服务保障体系建设，建立健全集中统一、职责清晰的退役军人管理保障体制，协调各方力量更</w:t>
      </w:r>
      <w:r>
        <w:rPr>
          <w:rFonts w:hint="eastAsia" w:ascii="仿宋" w:hAnsi="仿宋" w:eastAsia="仿宋" w:cs="仿宋_GB2312"/>
          <w:color w:val="000000"/>
          <w:sz w:val="32"/>
          <w:szCs w:val="32"/>
          <w:u w:val="none"/>
          <w:lang w:eastAsia="zh-CN"/>
        </w:rPr>
        <w:t>好地</w:t>
      </w:r>
      <w:r>
        <w:rPr>
          <w:rFonts w:hint="eastAsia" w:ascii="仿宋" w:hAnsi="仿宋" w:eastAsia="仿宋" w:cs="仿宋_GB2312"/>
          <w:color w:val="000000"/>
          <w:sz w:val="32"/>
          <w:szCs w:val="32"/>
          <w:u w:val="none"/>
        </w:rPr>
        <w:t>为军人军属服务，维护军人军属合法权益，让军人成为全社会尊崇的职业，褒扬彰显退役军人为党、国家和人民牺牲奉献的精神风范和价值导向，更好地为增强部队战斗力和凝聚力做好组织保障。</w:t>
      </w:r>
    </w:p>
    <w:p w14:paraId="458FF636">
      <w:pPr>
        <w:pStyle w:val="19"/>
        <w:bidi w:val="0"/>
        <w:rPr>
          <w:rFonts w:hint="eastAsia" w:ascii="仿宋_GB2312" w:hAnsi="仿宋_GB2312" w:eastAsia="仿宋_GB2312" w:cs="仿宋_GB2312"/>
          <w:u w:val="none"/>
        </w:rPr>
      </w:pPr>
    </w:p>
    <w:p w14:paraId="49FA081A">
      <w:pPr>
        <w:pStyle w:val="18"/>
        <w:numPr>
          <w:ilvl w:val="0"/>
          <w:numId w:val="0"/>
        </w:numPr>
        <w:bidi w:val="0"/>
        <w:ind w:left="420" w:leftChars="200" w:firstLine="320" w:firstLineChars="100"/>
        <w:rPr>
          <w:rFonts w:hint="eastAsia"/>
          <w:u w:val="none"/>
        </w:rPr>
      </w:pPr>
      <w:r>
        <w:rPr>
          <w:rFonts w:hint="eastAsia"/>
          <w:u w:val="none"/>
        </w:rPr>
        <w:t>二、机构设置及人员情况</w:t>
      </w:r>
    </w:p>
    <w:p w14:paraId="6CA04B88">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lang w:eastAsia="zh-CN"/>
        </w:rPr>
        <w:t>兴国县退役军人事务局共有预算单位1个，</w:t>
      </w:r>
      <w:r>
        <w:rPr>
          <w:rFonts w:hint="eastAsia" w:cs="仿宋_GB2312"/>
          <w:u w:val="none"/>
          <w:lang w:val="en-US" w:eastAsia="zh-CN"/>
        </w:rPr>
        <w:t>即</w:t>
      </w:r>
      <w:r>
        <w:rPr>
          <w:rFonts w:hint="eastAsia" w:ascii="仿宋_GB2312" w:hAnsi="仿宋_GB2312" w:eastAsia="仿宋_GB2312" w:cs="仿宋_GB2312"/>
          <w:u w:val="none"/>
          <w:lang w:eastAsia="zh-CN"/>
        </w:rPr>
        <w:t>兴国县退役军人事务局</w:t>
      </w:r>
      <w:r>
        <w:rPr>
          <w:rFonts w:hint="eastAsia" w:cs="仿宋_GB2312"/>
          <w:u w:val="none"/>
          <w:lang w:val="en-US" w:eastAsia="zh-CN"/>
        </w:rPr>
        <w:t>本级</w:t>
      </w:r>
      <w:r>
        <w:rPr>
          <w:rFonts w:hint="eastAsia" w:ascii="仿宋_GB2312" w:hAnsi="仿宋_GB2312" w:eastAsia="仿宋_GB2312" w:cs="仿宋_GB2312"/>
          <w:u w:val="none"/>
        </w:rPr>
        <w:t>。</w:t>
      </w:r>
    </w:p>
    <w:p w14:paraId="2E0AEE01">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s="仿宋"/>
          <w:color w:val="auto"/>
          <w:sz w:val="32"/>
          <w:szCs w:val="32"/>
          <w:u w:val="none"/>
          <w:lang w:val="en-US" w:eastAsia="zh-CN"/>
        </w:rPr>
        <w:t>2026年</w:t>
      </w:r>
      <w:r>
        <w:rPr>
          <w:rFonts w:hint="eastAsia" w:ascii="仿宋" w:hAnsi="仿宋" w:eastAsia="仿宋"/>
          <w:color w:val="auto"/>
          <w:sz w:val="32"/>
          <w:szCs w:val="32"/>
          <w:u w:val="none"/>
          <w:lang w:eastAsia="zh-CN"/>
        </w:rPr>
        <w:t>本部门机关单位</w:t>
      </w:r>
      <w:r>
        <w:rPr>
          <w:rFonts w:hint="eastAsia" w:ascii="仿宋" w:hAnsi="仿宋" w:eastAsia="仿宋"/>
          <w:color w:val="auto"/>
          <w:sz w:val="32"/>
          <w:szCs w:val="32"/>
          <w:u w:val="none"/>
        </w:rPr>
        <w:t>内设处室</w:t>
      </w:r>
      <w:r>
        <w:rPr>
          <w:rFonts w:hint="eastAsia" w:ascii="仿宋" w:hAnsi="仿宋" w:eastAsia="仿宋" w:cs="Times New Roman"/>
          <w:color w:val="auto"/>
          <w:kern w:val="0"/>
          <w:sz w:val="32"/>
          <w:szCs w:val="32"/>
          <w:u w:val="none"/>
          <w:lang w:val="en-US" w:eastAsia="zh-CN"/>
        </w:rPr>
        <w:t xml:space="preserve">2 </w:t>
      </w:r>
      <w:r>
        <w:rPr>
          <w:rFonts w:hint="eastAsia" w:ascii="仿宋" w:hAnsi="仿宋" w:eastAsia="仿宋"/>
          <w:color w:val="auto"/>
          <w:sz w:val="32"/>
          <w:szCs w:val="32"/>
          <w:u w:val="none"/>
        </w:rPr>
        <w:t>个，分别为：办公室、</w:t>
      </w:r>
      <w:r>
        <w:rPr>
          <w:rFonts w:hint="eastAsia" w:ascii="仿宋" w:hAnsi="仿宋" w:eastAsia="仿宋" w:cs="仿宋_GB2312"/>
          <w:color w:val="000000"/>
          <w:sz w:val="32"/>
          <w:szCs w:val="32"/>
          <w:u w:val="none"/>
          <w:lang w:val="en-US" w:eastAsia="zh-CN"/>
        </w:rPr>
        <w:t>移交安置股（拥军优抚股）</w:t>
      </w:r>
    </w:p>
    <w:p w14:paraId="5431FA5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color w:val="FF0000"/>
          <w:sz w:val="24"/>
          <w:szCs w:val="24"/>
          <w:u w:val="none"/>
          <w:lang w:eastAsia="zh-CN"/>
        </w:rPr>
      </w:pPr>
      <w:r>
        <w:rPr>
          <w:rFonts w:hint="eastAsia" w:ascii="仿宋" w:hAnsi="仿宋" w:eastAsia="仿宋"/>
          <w:sz w:val="32"/>
          <w:szCs w:val="32"/>
          <w:u w:val="none"/>
          <w:lang w:val="en-US" w:eastAsia="zh-CN"/>
        </w:rPr>
        <w:t>2026年</w:t>
      </w:r>
      <w:r>
        <w:rPr>
          <w:rFonts w:hint="eastAsia" w:ascii="仿宋" w:hAnsi="仿宋" w:eastAsia="仿宋"/>
          <w:sz w:val="32"/>
          <w:szCs w:val="32"/>
          <w:u w:val="none"/>
          <w:lang w:eastAsia="zh-CN"/>
        </w:rPr>
        <w:t>本部门</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38</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其中：行政编制人数</w:t>
      </w:r>
      <w:r>
        <w:rPr>
          <w:rFonts w:hint="eastAsia" w:ascii="仿宋" w:hAnsi="仿宋" w:eastAsia="仿宋"/>
          <w:sz w:val="32"/>
          <w:szCs w:val="32"/>
          <w:u w:val="none"/>
          <w:lang w:val="en-US" w:eastAsia="zh-CN"/>
        </w:rPr>
        <w:t>9</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全部补助事业编制人数</w:t>
      </w:r>
      <w:r>
        <w:rPr>
          <w:rFonts w:hint="eastAsia" w:ascii="仿宋" w:hAnsi="仿宋" w:eastAsia="仿宋"/>
          <w:sz w:val="32"/>
          <w:szCs w:val="32"/>
          <w:u w:val="none"/>
          <w:lang w:val="en-US" w:eastAsia="zh-CN"/>
        </w:rPr>
        <w:t>29</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57</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其中：在职人数小计</w:t>
      </w:r>
      <w:r>
        <w:rPr>
          <w:rFonts w:hint="eastAsia" w:ascii="仿宋" w:hAnsi="仿宋" w:eastAsia="仿宋"/>
          <w:sz w:val="32"/>
          <w:szCs w:val="32"/>
          <w:u w:val="none"/>
          <w:lang w:val="en-US" w:eastAsia="zh-CN"/>
        </w:rPr>
        <w:t>38</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9</w:t>
      </w:r>
      <w:r>
        <w:rPr>
          <w:rFonts w:hint="eastAsia" w:ascii="楷体" w:hAnsi="楷体" w:eastAsia="楷体" w:cs="楷体"/>
          <w:sz w:val="30"/>
          <w:szCs w:val="30"/>
          <w:u w:val="none"/>
        </w:rPr>
        <w:t>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参照公务员管理的事业单位在职人数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全部补助事业在职人数</w:t>
      </w:r>
      <w:r>
        <w:rPr>
          <w:rFonts w:hint="eastAsia" w:ascii="楷体" w:hAnsi="楷体" w:eastAsia="楷体" w:cs="楷体"/>
          <w:sz w:val="30"/>
          <w:szCs w:val="30"/>
          <w:u w:val="none"/>
          <w:lang w:val="en-US" w:eastAsia="zh-CN"/>
        </w:rPr>
        <w:t>29</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_人；退休人数小计</w:t>
      </w:r>
      <w:r>
        <w:rPr>
          <w:rFonts w:hint="eastAsia" w:ascii="仿宋" w:hAnsi="仿宋" w:eastAsia="仿宋"/>
          <w:sz w:val="32"/>
          <w:szCs w:val="32"/>
          <w:u w:val="none"/>
          <w:lang w:val="en-US" w:eastAsia="zh-CN"/>
        </w:rPr>
        <w:t>19</w:t>
      </w:r>
      <w:r>
        <w:rPr>
          <w:rFonts w:hint="eastAsia" w:ascii="仿宋" w:hAnsi="仿宋" w:eastAsia="仿宋"/>
          <w:sz w:val="32"/>
          <w:szCs w:val="32"/>
          <w:u w:val="none"/>
        </w:rPr>
        <w:t>人。</w:t>
      </w:r>
    </w:p>
    <w:p w14:paraId="629E7AA3">
      <w:pPr>
        <w:pStyle w:val="19"/>
        <w:bidi w:val="0"/>
        <w:rPr>
          <w:rFonts w:hint="eastAsia" w:ascii="仿宋_GB2312" w:hAnsi="仿宋_GB2312" w:eastAsia="仿宋_GB2312" w:cs="仿宋_GB2312"/>
          <w:u w:val="none"/>
        </w:rPr>
      </w:pPr>
    </w:p>
    <w:p w14:paraId="07E5C66C">
      <w:pPr>
        <w:pStyle w:val="18"/>
        <w:numPr>
          <w:ilvl w:val="0"/>
          <w:numId w:val="0"/>
        </w:numPr>
        <w:bidi w:val="0"/>
        <w:ind w:left="420" w:leftChars="200"/>
        <w:jc w:val="center"/>
        <w:rPr>
          <w:rFonts w:hint="eastAsia"/>
          <w:u w:val="none"/>
          <w:lang w:eastAsia="zh-CN"/>
        </w:rPr>
      </w:pPr>
      <w:r>
        <w:rPr>
          <w:rFonts w:hint="eastAsia"/>
          <w:u w:val="none"/>
          <w:lang w:eastAsia="zh-CN"/>
        </w:rPr>
        <w:t>第二部分  兴国县退役军人事务局2026年部门预算表</w:t>
      </w:r>
    </w:p>
    <w:p w14:paraId="27027EF3">
      <w:pPr>
        <w:pStyle w:val="18"/>
        <w:numPr>
          <w:ilvl w:val="0"/>
          <w:numId w:val="0"/>
        </w:numPr>
        <w:bidi w:val="0"/>
        <w:ind w:left="420" w:leftChars="200"/>
        <w:rPr>
          <w:rFonts w:hint="eastAsia"/>
          <w:u w:val="none"/>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0744391">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3902323">
            <w:pPr>
              <w:widowControl/>
              <w:jc w:val="center"/>
              <w:rPr>
                <w:rFonts w:ascii="宋体" w:hAnsi="宋体" w:eastAsia="宋体" w:cs="Arial"/>
                <w:b/>
                <w:bCs/>
                <w:color w:val="000000"/>
                <w:kern w:val="0"/>
                <w:sz w:val="40"/>
                <w:szCs w:val="40"/>
                <w:u w:val="none"/>
              </w:rPr>
            </w:pPr>
            <w:r>
              <w:rPr>
                <w:rFonts w:hint="eastAsia" w:asciiTheme="minorEastAsia" w:hAnsiTheme="minorEastAsia" w:eastAsiaTheme="minorEastAsia" w:cstheme="minorEastAsia"/>
                <w:b/>
                <w:bCs/>
                <w:color w:val="000000"/>
                <w:kern w:val="0"/>
                <w:sz w:val="24"/>
                <w:szCs w:val="24"/>
                <w:u w:val="none"/>
                <w:lang w:bidi="ar"/>
              </w:rPr>
              <w:t>收支预算总表</w:t>
            </w:r>
          </w:p>
        </w:tc>
      </w:tr>
      <w:tr w14:paraId="7ADD57CC">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16309A00">
            <w:pPr>
              <w:widowControl/>
              <w:snapToGrid w:val="0"/>
              <w:jc w:val="left"/>
              <w:textAlignment w:val="center"/>
              <w:rPr>
                <w:rFonts w:hint="eastAsia" w:asciiTheme="minorEastAsia" w:hAnsiTheme="minorEastAsia" w:eastAsiaTheme="minorEastAsia" w:cstheme="minorEastAsia"/>
                <w:color w:val="000000"/>
                <w:kern w:val="0"/>
                <w:sz w:val="18"/>
                <w:szCs w:val="18"/>
                <w:u w:val="none"/>
                <w:lang w:bidi="ar"/>
              </w:rPr>
            </w:pPr>
            <w:r>
              <w:rPr>
                <w:rFonts w:hint="eastAsia" w:asciiTheme="minorEastAsia" w:hAnsiTheme="minorEastAsia" w:eastAsiaTheme="minorEastAsia" w:cstheme="minorEastAsia"/>
                <w:color w:val="000000"/>
                <w:kern w:val="0"/>
                <w:sz w:val="21"/>
                <w:szCs w:val="21"/>
                <w:u w:val="none"/>
                <w:lang w:bidi="ar"/>
              </w:rPr>
              <w:t>填报单位</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eastAsiaTheme="minorEastAsia" w:cstheme="minorEastAsia"/>
                <w:color w:val="000000"/>
                <w:kern w:val="0"/>
                <w:sz w:val="21"/>
                <w:szCs w:val="21"/>
                <w:u w:val="none"/>
                <w:lang w:eastAsia="zh-CN" w:bidi="ar"/>
              </w:rPr>
              <w:t>405兴国县退役军人事务局</w:t>
            </w:r>
          </w:p>
        </w:tc>
        <w:tc>
          <w:tcPr>
            <w:tcW w:w="1655" w:type="pct"/>
            <w:noWrap/>
            <w:vAlign w:val="bottom"/>
          </w:tcPr>
          <w:p w14:paraId="24B2195B">
            <w:pPr>
              <w:widowControl/>
              <w:snapToGrid w:val="0"/>
              <w:jc w:val="left"/>
              <w:textAlignment w:val="center"/>
              <w:rPr>
                <w:rFonts w:hint="eastAsia" w:asciiTheme="minorEastAsia" w:hAnsiTheme="minorEastAsia" w:eastAsiaTheme="minorEastAsia" w:cstheme="minorEastAsia"/>
                <w:color w:val="000000"/>
                <w:kern w:val="0"/>
                <w:sz w:val="18"/>
                <w:szCs w:val="18"/>
                <w:u w:val="none"/>
                <w:lang w:bidi="ar"/>
              </w:rPr>
            </w:pPr>
          </w:p>
        </w:tc>
        <w:tc>
          <w:tcPr>
            <w:tcW w:w="829" w:type="pct"/>
            <w:noWrap/>
            <w:vAlign w:val="center"/>
          </w:tcPr>
          <w:p w14:paraId="5BEF255A">
            <w:pPr>
              <w:widowControl/>
              <w:snapToGrid w:val="0"/>
              <w:jc w:val="right"/>
              <w:textAlignment w:val="center"/>
              <w:rPr>
                <w:rFonts w:hint="eastAsia" w:asciiTheme="minorEastAsia" w:hAnsiTheme="minorEastAsia" w:eastAsiaTheme="minorEastAsia" w:cstheme="minorEastAsia"/>
                <w:color w:val="000000"/>
                <w:kern w:val="0"/>
                <w:sz w:val="18"/>
                <w:szCs w:val="18"/>
                <w:u w:val="none"/>
                <w:lang w:bidi="ar"/>
              </w:rPr>
            </w:pPr>
            <w:r>
              <w:rPr>
                <w:rFonts w:hint="eastAsia" w:asciiTheme="minorEastAsia" w:hAnsiTheme="minorEastAsia" w:eastAsiaTheme="minorEastAsia" w:cstheme="minorEastAsia"/>
                <w:color w:val="000000"/>
                <w:kern w:val="0"/>
                <w:sz w:val="21"/>
                <w:szCs w:val="21"/>
                <w:u w:val="none"/>
                <w:lang w:bidi="ar"/>
              </w:rPr>
              <w:t>单位：万元</w:t>
            </w:r>
          </w:p>
        </w:tc>
      </w:tr>
      <w:tr w14:paraId="319BEC3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645AA5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71CDE0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       出</w:t>
            </w:r>
          </w:p>
        </w:tc>
      </w:tr>
      <w:tr w14:paraId="07BC639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84A7B6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项目</w:t>
            </w:r>
          </w:p>
        </w:tc>
        <w:tc>
          <w:tcPr>
            <w:tcW w:w="1053" w:type="pct"/>
            <w:tcBorders>
              <w:top w:val="nil"/>
              <w:left w:val="nil"/>
              <w:bottom w:val="nil"/>
              <w:right w:val="single" w:color="000000" w:sz="4" w:space="0"/>
            </w:tcBorders>
            <w:noWrap/>
            <w:vAlign w:val="center"/>
          </w:tcPr>
          <w:p w14:paraId="2695100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预算数</w:t>
            </w:r>
          </w:p>
        </w:tc>
        <w:tc>
          <w:tcPr>
            <w:tcW w:w="1655" w:type="pct"/>
            <w:tcBorders>
              <w:top w:val="nil"/>
              <w:left w:val="nil"/>
              <w:bottom w:val="single" w:color="000000" w:sz="4" w:space="0"/>
              <w:right w:val="single" w:color="000000" w:sz="4" w:space="0"/>
            </w:tcBorders>
            <w:noWrap/>
            <w:vAlign w:val="center"/>
          </w:tcPr>
          <w:p w14:paraId="5829899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项目</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eastAsiaTheme="minorEastAsia" w:cstheme="minorEastAsia"/>
                <w:color w:val="000000"/>
                <w:kern w:val="0"/>
                <w:sz w:val="21"/>
                <w:szCs w:val="21"/>
                <w:u w:val="none"/>
                <w:lang w:bidi="ar"/>
              </w:rPr>
              <w:t>按功能科目</w:t>
            </w:r>
            <w:r>
              <w:rPr>
                <w:rFonts w:hint="eastAsia" w:asciiTheme="minorEastAsia" w:hAnsiTheme="minorEastAsia" w:cstheme="minorEastAsia"/>
                <w:color w:val="000000"/>
                <w:kern w:val="0"/>
                <w:sz w:val="21"/>
                <w:szCs w:val="21"/>
                <w:u w:val="none"/>
                <w:lang w:eastAsia="zh-CN" w:bidi="ar"/>
              </w:rPr>
              <w:t>）</w:t>
            </w:r>
          </w:p>
        </w:tc>
        <w:tc>
          <w:tcPr>
            <w:tcW w:w="829" w:type="pct"/>
            <w:tcBorders>
              <w:top w:val="nil"/>
              <w:left w:val="nil"/>
              <w:bottom w:val="single" w:color="000000" w:sz="4" w:space="0"/>
              <w:right w:val="single" w:color="000000" w:sz="4" w:space="0"/>
            </w:tcBorders>
            <w:noWrap/>
            <w:vAlign w:val="center"/>
          </w:tcPr>
          <w:p w14:paraId="78F529B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预算数</w:t>
            </w:r>
          </w:p>
        </w:tc>
      </w:tr>
      <w:tr w14:paraId="5084C5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0C7351">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FB0E28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3,946.87</w:t>
            </w:r>
          </w:p>
        </w:tc>
        <w:tc>
          <w:tcPr>
            <w:tcW w:w="1655" w:type="pct"/>
            <w:tcBorders>
              <w:top w:val="nil"/>
              <w:left w:val="nil"/>
              <w:bottom w:val="single" w:color="000000" w:sz="4" w:space="0"/>
              <w:right w:val="single" w:color="000000" w:sz="4" w:space="0"/>
            </w:tcBorders>
            <w:noWrap/>
            <w:vAlign w:val="center"/>
          </w:tcPr>
          <w:p w14:paraId="758A725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文化旅游体育与传媒支出</w:t>
            </w:r>
          </w:p>
        </w:tc>
        <w:tc>
          <w:tcPr>
            <w:tcW w:w="829" w:type="pct"/>
            <w:tcBorders>
              <w:top w:val="nil"/>
              <w:left w:val="nil"/>
              <w:bottom w:val="single" w:color="000000" w:sz="4" w:space="0"/>
              <w:right w:val="single" w:color="000000" w:sz="4" w:space="0"/>
            </w:tcBorders>
            <w:noWrap/>
            <w:vAlign w:val="center"/>
          </w:tcPr>
          <w:p w14:paraId="6EA40E1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1.19</w:t>
            </w:r>
          </w:p>
        </w:tc>
      </w:tr>
      <w:tr w14:paraId="5A1F00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E156DCA">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（一）一般公共预算收入</w:t>
            </w:r>
          </w:p>
        </w:tc>
        <w:tc>
          <w:tcPr>
            <w:tcW w:w="1053" w:type="pct"/>
            <w:tcBorders>
              <w:top w:val="nil"/>
              <w:left w:val="nil"/>
              <w:bottom w:val="single" w:color="000000" w:sz="4" w:space="0"/>
              <w:right w:val="single" w:color="000000" w:sz="4" w:space="0"/>
            </w:tcBorders>
            <w:vAlign w:val="center"/>
          </w:tcPr>
          <w:p w14:paraId="2D6E2E7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3,946.87</w:t>
            </w:r>
          </w:p>
        </w:tc>
        <w:tc>
          <w:tcPr>
            <w:tcW w:w="1655" w:type="pct"/>
            <w:tcBorders>
              <w:top w:val="nil"/>
              <w:left w:val="nil"/>
              <w:bottom w:val="single" w:color="000000" w:sz="4" w:space="0"/>
              <w:right w:val="single" w:color="000000" w:sz="4" w:space="0"/>
            </w:tcBorders>
            <w:noWrap/>
            <w:vAlign w:val="center"/>
          </w:tcPr>
          <w:p w14:paraId="3E582C5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社会保障和就业支出</w:t>
            </w:r>
          </w:p>
        </w:tc>
        <w:tc>
          <w:tcPr>
            <w:tcW w:w="829" w:type="pct"/>
            <w:tcBorders>
              <w:top w:val="nil"/>
              <w:left w:val="nil"/>
              <w:bottom w:val="single" w:color="000000" w:sz="4" w:space="0"/>
              <w:right w:val="single" w:color="000000" w:sz="4" w:space="0"/>
            </w:tcBorders>
            <w:noWrap/>
            <w:vAlign w:val="center"/>
          </w:tcPr>
          <w:p w14:paraId="521A719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3,594.95</w:t>
            </w:r>
          </w:p>
        </w:tc>
      </w:tr>
      <w:tr w14:paraId="34C1B0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6D02D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5BA027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1C386A2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卫生健康支出</w:t>
            </w:r>
          </w:p>
        </w:tc>
        <w:tc>
          <w:tcPr>
            <w:tcW w:w="829" w:type="pct"/>
            <w:tcBorders>
              <w:top w:val="nil"/>
              <w:left w:val="nil"/>
              <w:bottom w:val="single" w:color="000000" w:sz="4" w:space="0"/>
              <w:right w:val="single" w:color="000000" w:sz="4" w:space="0"/>
            </w:tcBorders>
            <w:noWrap/>
            <w:vAlign w:val="center"/>
          </w:tcPr>
          <w:p w14:paraId="49ED739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1,184.29</w:t>
            </w:r>
          </w:p>
        </w:tc>
      </w:tr>
      <w:tr w14:paraId="6A06BE4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466708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（三）国有资本经营预算收入</w:t>
            </w:r>
          </w:p>
        </w:tc>
        <w:tc>
          <w:tcPr>
            <w:tcW w:w="1053" w:type="pct"/>
            <w:tcBorders>
              <w:top w:val="nil"/>
              <w:left w:val="nil"/>
              <w:bottom w:val="single" w:color="000000" w:sz="4" w:space="0"/>
              <w:right w:val="single" w:color="000000" w:sz="4" w:space="0"/>
            </w:tcBorders>
            <w:vAlign w:val="center"/>
          </w:tcPr>
          <w:p w14:paraId="0DBB5BE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23668E9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住房保障支出</w:t>
            </w:r>
          </w:p>
        </w:tc>
        <w:tc>
          <w:tcPr>
            <w:tcW w:w="829" w:type="pct"/>
            <w:tcBorders>
              <w:top w:val="nil"/>
              <w:left w:val="nil"/>
              <w:bottom w:val="single" w:color="000000" w:sz="4" w:space="0"/>
              <w:right w:val="single" w:color="000000" w:sz="4" w:space="0"/>
            </w:tcBorders>
            <w:noWrap/>
            <w:vAlign w:val="center"/>
          </w:tcPr>
          <w:p w14:paraId="2BF4AC1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48.06</w:t>
            </w:r>
          </w:p>
        </w:tc>
      </w:tr>
      <w:tr w14:paraId="00B07B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74F92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二、教育收费资金收入</w:t>
            </w:r>
          </w:p>
        </w:tc>
        <w:tc>
          <w:tcPr>
            <w:tcW w:w="1053" w:type="pct"/>
            <w:tcBorders>
              <w:top w:val="nil"/>
              <w:left w:val="nil"/>
              <w:bottom w:val="single" w:color="000000" w:sz="4" w:space="0"/>
              <w:right w:val="single" w:color="000000" w:sz="4" w:space="0"/>
            </w:tcBorders>
            <w:vAlign w:val="center"/>
          </w:tcPr>
          <w:p w14:paraId="7E4060D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36824AF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其他支出</w:t>
            </w:r>
          </w:p>
        </w:tc>
        <w:tc>
          <w:tcPr>
            <w:tcW w:w="829" w:type="pct"/>
            <w:tcBorders>
              <w:top w:val="nil"/>
              <w:left w:val="nil"/>
              <w:bottom w:val="single" w:color="000000" w:sz="4" w:space="0"/>
              <w:right w:val="single" w:color="000000" w:sz="4" w:space="0"/>
            </w:tcBorders>
            <w:noWrap/>
            <w:vAlign w:val="center"/>
          </w:tcPr>
          <w:p w14:paraId="2149409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100.00</w:t>
            </w:r>
          </w:p>
        </w:tc>
      </w:tr>
      <w:tr w14:paraId="1C8FDF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D864FF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三、事业收入</w:t>
            </w:r>
          </w:p>
        </w:tc>
        <w:tc>
          <w:tcPr>
            <w:tcW w:w="1053" w:type="pct"/>
            <w:tcBorders>
              <w:top w:val="nil"/>
              <w:left w:val="nil"/>
              <w:bottom w:val="single" w:color="000000" w:sz="4" w:space="0"/>
              <w:right w:val="single" w:color="000000" w:sz="4" w:space="0"/>
            </w:tcBorders>
            <w:vAlign w:val="center"/>
          </w:tcPr>
          <w:p w14:paraId="373B934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0532B99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F3B26D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4398303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C4AC0C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四、事业单位经营收入</w:t>
            </w:r>
          </w:p>
        </w:tc>
        <w:tc>
          <w:tcPr>
            <w:tcW w:w="1053" w:type="pct"/>
            <w:tcBorders>
              <w:top w:val="nil"/>
              <w:left w:val="nil"/>
              <w:bottom w:val="single" w:color="000000" w:sz="4" w:space="0"/>
              <w:right w:val="single" w:color="000000" w:sz="4" w:space="0"/>
            </w:tcBorders>
            <w:vAlign w:val="center"/>
          </w:tcPr>
          <w:p w14:paraId="676CC3F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43EB155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A49736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01800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8D4BDA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五、附属单位上缴收入</w:t>
            </w:r>
          </w:p>
        </w:tc>
        <w:tc>
          <w:tcPr>
            <w:tcW w:w="1053" w:type="pct"/>
            <w:tcBorders>
              <w:top w:val="nil"/>
              <w:left w:val="nil"/>
              <w:bottom w:val="single" w:color="000000" w:sz="4" w:space="0"/>
              <w:right w:val="single" w:color="000000" w:sz="4" w:space="0"/>
            </w:tcBorders>
            <w:noWrap/>
            <w:vAlign w:val="center"/>
          </w:tcPr>
          <w:p w14:paraId="2ECDEFD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54A377C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54E07A4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0CEB8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D1E68C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六、上级补助收入</w:t>
            </w:r>
          </w:p>
        </w:tc>
        <w:tc>
          <w:tcPr>
            <w:tcW w:w="1053" w:type="pct"/>
            <w:tcBorders>
              <w:top w:val="nil"/>
              <w:left w:val="nil"/>
              <w:bottom w:val="single" w:color="000000" w:sz="4" w:space="0"/>
              <w:right w:val="single" w:color="000000" w:sz="4" w:space="0"/>
            </w:tcBorders>
            <w:noWrap/>
            <w:vAlign w:val="center"/>
          </w:tcPr>
          <w:p w14:paraId="418BC25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68A4758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7B70E5F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04343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964D99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七、其他收入</w:t>
            </w:r>
          </w:p>
        </w:tc>
        <w:tc>
          <w:tcPr>
            <w:tcW w:w="1053" w:type="pct"/>
            <w:tcBorders>
              <w:top w:val="nil"/>
              <w:left w:val="nil"/>
              <w:bottom w:val="single" w:color="000000" w:sz="4" w:space="0"/>
              <w:right w:val="single" w:color="000000" w:sz="4" w:space="0"/>
            </w:tcBorders>
            <w:noWrap/>
            <w:vAlign w:val="center"/>
          </w:tcPr>
          <w:p w14:paraId="4220C95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100.00</w:t>
            </w:r>
          </w:p>
        </w:tc>
        <w:tc>
          <w:tcPr>
            <w:tcW w:w="1655" w:type="pct"/>
            <w:tcBorders>
              <w:top w:val="nil"/>
              <w:left w:val="nil"/>
              <w:bottom w:val="single" w:color="000000" w:sz="4" w:space="0"/>
              <w:right w:val="single" w:color="000000" w:sz="4" w:space="0"/>
            </w:tcBorders>
            <w:noWrap/>
            <w:vAlign w:val="center"/>
          </w:tcPr>
          <w:p w14:paraId="41CE750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DD3F66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85E84F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7CB3B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1053" w:type="pct"/>
            <w:tcBorders>
              <w:top w:val="nil"/>
              <w:left w:val="nil"/>
              <w:bottom w:val="single" w:color="000000" w:sz="4" w:space="0"/>
              <w:right w:val="single" w:color="000000" w:sz="4" w:space="0"/>
            </w:tcBorders>
            <w:vAlign w:val="center"/>
          </w:tcPr>
          <w:p w14:paraId="47711DE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29F06F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73B244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3A8A5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35A642B">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1053" w:type="pct"/>
            <w:tcBorders>
              <w:top w:val="nil"/>
              <w:left w:val="nil"/>
              <w:bottom w:val="single" w:color="000000" w:sz="4" w:space="0"/>
              <w:right w:val="single" w:color="000000" w:sz="4" w:space="0"/>
            </w:tcBorders>
            <w:vAlign w:val="center"/>
          </w:tcPr>
          <w:p w14:paraId="1F2531B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207E4C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A85ED8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F0223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47EC8EA">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99DF91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6CB583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82BA5E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C2F26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E71841">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B2A020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42F6230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59EB808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4B2D47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ACEB7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30A6A0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FD3181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1D4DFA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11BA3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989F26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05DEFC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38424A6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07BB6B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1A1711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87D11F">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3C2BEB6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AD125F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60F747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EA1D3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0DB7E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2FD2BED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1AD135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25E902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CF87A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70EA0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6FE5ED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DFE739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C4B19C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806F6A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6A7D0D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3F4A90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4DB52CA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51F667A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DDC8C0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B1916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08E560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D34A76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E69F37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BD309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9C04A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2EA166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37C3B4A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0F57FE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D3A60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FE24D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BE489E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7439FB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44BFB7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11E449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D0BE1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08B60E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8F1D5D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1E0A67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837C8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574AAB">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3C8B858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45F634C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4FED94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2BF9D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90B2F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A08A06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C62540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7C311D9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69E10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0F658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408C8F5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5135BD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572322F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46241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08711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48CFC0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48205A6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FFABEB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14D99D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F4E40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72498E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467F092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535AC3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8E000E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097174BB">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本年收入合计</w:t>
            </w:r>
          </w:p>
        </w:tc>
        <w:tc>
          <w:tcPr>
            <w:tcW w:w="1053" w:type="pct"/>
            <w:tcBorders>
              <w:top w:val="nil"/>
              <w:left w:val="nil"/>
              <w:bottom w:val="single" w:color="auto" w:sz="4" w:space="0"/>
              <w:right w:val="single" w:color="000000" w:sz="4" w:space="0"/>
            </w:tcBorders>
            <w:vAlign w:val="center"/>
          </w:tcPr>
          <w:p w14:paraId="5E69109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4,046.87</w:t>
            </w:r>
          </w:p>
        </w:tc>
        <w:tc>
          <w:tcPr>
            <w:tcW w:w="1655" w:type="pct"/>
            <w:tcBorders>
              <w:top w:val="nil"/>
              <w:left w:val="nil"/>
              <w:bottom w:val="single" w:color="auto" w:sz="4" w:space="0"/>
              <w:right w:val="single" w:color="000000" w:sz="4" w:space="0"/>
            </w:tcBorders>
            <w:noWrap/>
            <w:vAlign w:val="center"/>
          </w:tcPr>
          <w:p w14:paraId="517B7273">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本年支出合计</w:t>
            </w:r>
          </w:p>
        </w:tc>
        <w:tc>
          <w:tcPr>
            <w:tcW w:w="829" w:type="pct"/>
            <w:tcBorders>
              <w:top w:val="nil"/>
              <w:left w:val="nil"/>
              <w:bottom w:val="single" w:color="auto" w:sz="4" w:space="0"/>
              <w:right w:val="single" w:color="000000" w:sz="4" w:space="0"/>
            </w:tcBorders>
            <w:noWrap/>
            <w:vAlign w:val="bottom"/>
          </w:tcPr>
          <w:p w14:paraId="525583A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4,928.49</w:t>
            </w:r>
          </w:p>
        </w:tc>
      </w:tr>
      <w:tr w14:paraId="3B5BFB1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32591C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2A6F63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02AE207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87D530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r>
      <w:tr w14:paraId="7055AB3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5CAE5CB">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0661C02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881.62</w:t>
            </w:r>
          </w:p>
        </w:tc>
        <w:tc>
          <w:tcPr>
            <w:tcW w:w="1655" w:type="pct"/>
            <w:tcBorders>
              <w:top w:val="single" w:color="auto" w:sz="4" w:space="0"/>
              <w:left w:val="nil"/>
              <w:bottom w:val="single" w:color="auto" w:sz="4" w:space="0"/>
              <w:right w:val="single" w:color="000000" w:sz="4" w:space="0"/>
            </w:tcBorders>
            <w:noWrap/>
            <w:vAlign w:val="bottom"/>
          </w:tcPr>
          <w:p w14:paraId="4E4D8AE3">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829" w:type="pct"/>
            <w:tcBorders>
              <w:top w:val="single" w:color="auto" w:sz="4" w:space="0"/>
              <w:left w:val="nil"/>
              <w:bottom w:val="single" w:color="auto" w:sz="4" w:space="0"/>
              <w:right w:val="single" w:color="000000" w:sz="4" w:space="0"/>
            </w:tcBorders>
            <w:vAlign w:val="center"/>
          </w:tcPr>
          <w:p w14:paraId="7962C09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43BFAE74">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466031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BFFC8F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4,928.49</w:t>
            </w:r>
          </w:p>
        </w:tc>
        <w:tc>
          <w:tcPr>
            <w:tcW w:w="1655" w:type="pct"/>
            <w:tcBorders>
              <w:top w:val="single" w:color="auto" w:sz="4" w:space="0"/>
              <w:left w:val="single" w:color="auto" w:sz="4" w:space="0"/>
              <w:bottom w:val="single" w:color="auto" w:sz="4" w:space="0"/>
              <w:right w:val="single" w:color="auto" w:sz="4" w:space="0"/>
            </w:tcBorders>
            <w:noWrap/>
            <w:vAlign w:val="center"/>
          </w:tcPr>
          <w:p w14:paraId="15E6EF95">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569D7FD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4,928.49</w:t>
            </w:r>
          </w:p>
        </w:tc>
      </w:tr>
    </w:tbl>
    <w:p w14:paraId="70549769">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0A3AC419">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76DB209">
            <w:pPr>
              <w:widowControl/>
              <w:jc w:val="center"/>
              <w:rPr>
                <w:rFonts w:ascii="宋体" w:hAnsi="宋体" w:eastAsia="宋体" w:cs="Arial"/>
                <w:b/>
                <w:bCs/>
                <w:color w:val="000000"/>
                <w:kern w:val="0"/>
                <w:sz w:val="32"/>
                <w:szCs w:val="32"/>
                <w:u w:val="none"/>
              </w:rPr>
            </w:pPr>
            <w:r>
              <w:rPr>
                <w:rFonts w:hint="eastAsia" w:asciiTheme="minorEastAsia" w:hAnsiTheme="minorEastAsia" w:eastAsiaTheme="minorEastAsia" w:cstheme="minorEastAsia"/>
                <w:color w:val="000000"/>
                <w:sz w:val="18"/>
                <w:szCs w:val="18"/>
                <w:u w:val="none"/>
              </w:rPr>
              <w:t>部门收入总表</w:t>
            </w:r>
          </w:p>
        </w:tc>
      </w:tr>
      <w:tr w14:paraId="40D37E49">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54C68172">
            <w:pPr>
              <w:widowControl/>
              <w:jc w:val="left"/>
              <w:rPr>
                <w:rFonts w:ascii="Times New Roman" w:hAnsi="Times New Roman" w:eastAsia="Times New Roman" w:cs="Times New Roman"/>
                <w:kern w:val="0"/>
                <w:sz w:val="20"/>
                <w:szCs w:val="20"/>
                <w:u w:val="none"/>
              </w:rPr>
            </w:pPr>
            <w:r>
              <w:rPr>
                <w:rFonts w:hint="eastAsia" w:asciiTheme="minorEastAsia" w:hAnsiTheme="minorEastAsia" w:cstheme="minorEastAsia"/>
                <w:color w:val="000000"/>
                <w:kern w:val="0"/>
                <w:sz w:val="18"/>
                <w:szCs w:val="18"/>
                <w:u w:val="none"/>
                <w:lang w:eastAsia="zh-CN" w:bidi="ar"/>
              </w:rPr>
              <w:t>填报单位：405兴国县退役军人事务局</w:t>
            </w:r>
          </w:p>
        </w:tc>
        <w:tc>
          <w:tcPr>
            <w:tcW w:w="422" w:type="pct"/>
            <w:tcBorders>
              <w:top w:val="nil"/>
              <w:left w:val="nil"/>
              <w:bottom w:val="single" w:color="auto" w:sz="4" w:space="0"/>
              <w:right w:val="nil"/>
            </w:tcBorders>
            <w:shd w:val="clear" w:color="auto" w:fill="auto"/>
            <w:noWrap/>
            <w:vAlign w:val="bottom"/>
          </w:tcPr>
          <w:p w14:paraId="0101C12E">
            <w:pPr>
              <w:widowControl/>
              <w:jc w:val="left"/>
              <w:rPr>
                <w:rFonts w:ascii="Times New Roman" w:hAnsi="Times New Roman" w:eastAsia="Times New Roman" w:cs="Times New Roman"/>
                <w:kern w:val="0"/>
                <w:sz w:val="20"/>
                <w:szCs w:val="20"/>
                <w:u w:val="none"/>
              </w:rPr>
            </w:pPr>
          </w:p>
        </w:tc>
        <w:tc>
          <w:tcPr>
            <w:tcW w:w="274" w:type="pct"/>
            <w:tcBorders>
              <w:top w:val="nil"/>
              <w:left w:val="nil"/>
              <w:bottom w:val="single" w:color="auto" w:sz="4" w:space="0"/>
              <w:right w:val="nil"/>
            </w:tcBorders>
            <w:shd w:val="clear" w:color="auto" w:fill="auto"/>
            <w:noWrap/>
            <w:vAlign w:val="bottom"/>
          </w:tcPr>
          <w:p w14:paraId="188F8E03">
            <w:pPr>
              <w:widowControl/>
              <w:jc w:val="left"/>
              <w:rPr>
                <w:rFonts w:ascii="Times New Roman" w:hAnsi="Times New Roman" w:eastAsia="Times New Roman" w:cs="Times New Roman"/>
                <w:kern w:val="0"/>
                <w:sz w:val="20"/>
                <w:szCs w:val="20"/>
                <w:u w:val="none"/>
              </w:rPr>
            </w:pPr>
          </w:p>
        </w:tc>
        <w:tc>
          <w:tcPr>
            <w:tcW w:w="257" w:type="pct"/>
            <w:tcBorders>
              <w:top w:val="nil"/>
              <w:left w:val="nil"/>
              <w:bottom w:val="single" w:color="auto" w:sz="4" w:space="0"/>
              <w:right w:val="nil"/>
            </w:tcBorders>
            <w:shd w:val="clear" w:color="auto" w:fill="auto"/>
            <w:noWrap/>
            <w:vAlign w:val="bottom"/>
          </w:tcPr>
          <w:p w14:paraId="7CB2BE92">
            <w:pPr>
              <w:widowControl/>
              <w:jc w:val="left"/>
              <w:rPr>
                <w:rFonts w:ascii="Times New Roman" w:hAnsi="Times New Roman" w:eastAsia="Times New Roman" w:cs="Times New Roman"/>
                <w:kern w:val="0"/>
                <w:sz w:val="20"/>
                <w:szCs w:val="20"/>
                <w:u w:val="none"/>
              </w:rPr>
            </w:pPr>
          </w:p>
        </w:tc>
        <w:tc>
          <w:tcPr>
            <w:tcW w:w="290" w:type="pct"/>
            <w:tcBorders>
              <w:top w:val="nil"/>
              <w:left w:val="nil"/>
              <w:bottom w:val="single" w:color="auto" w:sz="4" w:space="0"/>
              <w:right w:val="nil"/>
            </w:tcBorders>
            <w:shd w:val="clear" w:color="auto" w:fill="auto"/>
            <w:noWrap/>
            <w:vAlign w:val="bottom"/>
          </w:tcPr>
          <w:p w14:paraId="663DA869">
            <w:pPr>
              <w:widowControl/>
              <w:jc w:val="left"/>
              <w:rPr>
                <w:rFonts w:ascii="Times New Roman" w:hAnsi="Times New Roman" w:eastAsia="Times New Roman" w:cs="Times New Roman"/>
                <w:kern w:val="0"/>
                <w:sz w:val="20"/>
                <w:szCs w:val="20"/>
                <w:u w:val="none"/>
              </w:rPr>
            </w:pPr>
          </w:p>
        </w:tc>
        <w:tc>
          <w:tcPr>
            <w:tcW w:w="367" w:type="pct"/>
            <w:tcBorders>
              <w:top w:val="nil"/>
              <w:left w:val="nil"/>
              <w:bottom w:val="single" w:color="auto" w:sz="4" w:space="0"/>
              <w:right w:val="nil"/>
            </w:tcBorders>
            <w:shd w:val="clear" w:color="auto" w:fill="auto"/>
            <w:noWrap/>
            <w:vAlign w:val="bottom"/>
          </w:tcPr>
          <w:p w14:paraId="327D6DB3">
            <w:pPr>
              <w:widowControl/>
              <w:jc w:val="left"/>
              <w:rPr>
                <w:rFonts w:ascii="Times New Roman" w:hAnsi="Times New Roman" w:eastAsia="Times New Roman" w:cs="Times New Roman"/>
                <w:kern w:val="0"/>
                <w:sz w:val="20"/>
                <w:szCs w:val="20"/>
                <w:u w:val="none"/>
              </w:rPr>
            </w:pPr>
          </w:p>
        </w:tc>
        <w:tc>
          <w:tcPr>
            <w:tcW w:w="334" w:type="pct"/>
            <w:tcBorders>
              <w:top w:val="nil"/>
              <w:left w:val="nil"/>
              <w:bottom w:val="single" w:color="auto" w:sz="4" w:space="0"/>
              <w:right w:val="nil"/>
            </w:tcBorders>
            <w:shd w:val="clear" w:color="auto" w:fill="auto"/>
            <w:noWrap/>
            <w:vAlign w:val="bottom"/>
          </w:tcPr>
          <w:p w14:paraId="2C1751D1">
            <w:pPr>
              <w:widowControl/>
              <w:jc w:val="left"/>
              <w:rPr>
                <w:rFonts w:ascii="Times New Roman" w:hAnsi="Times New Roman" w:eastAsia="Times New Roman" w:cs="Times New Roman"/>
                <w:kern w:val="0"/>
                <w:sz w:val="20"/>
                <w:szCs w:val="20"/>
                <w:u w:val="none"/>
              </w:rPr>
            </w:pPr>
          </w:p>
        </w:tc>
        <w:tc>
          <w:tcPr>
            <w:tcW w:w="241" w:type="pct"/>
            <w:tcBorders>
              <w:top w:val="nil"/>
              <w:left w:val="nil"/>
              <w:bottom w:val="single" w:color="auto" w:sz="4" w:space="0"/>
              <w:right w:val="nil"/>
            </w:tcBorders>
            <w:shd w:val="clear" w:color="auto" w:fill="auto"/>
            <w:noWrap/>
            <w:vAlign w:val="bottom"/>
          </w:tcPr>
          <w:p w14:paraId="68C29D4F">
            <w:pPr>
              <w:widowControl/>
              <w:jc w:val="left"/>
              <w:rPr>
                <w:rFonts w:ascii="Times New Roman" w:hAnsi="Times New Roman" w:eastAsia="Times New Roman" w:cs="Times New Roman"/>
                <w:kern w:val="0"/>
                <w:sz w:val="20"/>
                <w:szCs w:val="20"/>
                <w:u w:val="none"/>
              </w:rPr>
            </w:pPr>
          </w:p>
        </w:tc>
        <w:tc>
          <w:tcPr>
            <w:tcW w:w="219" w:type="pct"/>
            <w:tcBorders>
              <w:top w:val="nil"/>
              <w:left w:val="nil"/>
              <w:bottom w:val="single" w:color="auto" w:sz="4" w:space="0"/>
              <w:right w:val="nil"/>
            </w:tcBorders>
            <w:shd w:val="clear" w:color="auto" w:fill="auto"/>
            <w:noWrap/>
            <w:vAlign w:val="bottom"/>
          </w:tcPr>
          <w:p w14:paraId="7A12BEFE">
            <w:pPr>
              <w:widowControl/>
              <w:jc w:val="left"/>
              <w:rPr>
                <w:rFonts w:ascii="Times New Roman" w:hAnsi="Times New Roman" w:eastAsia="Times New Roman" w:cs="Times New Roman"/>
                <w:kern w:val="0"/>
                <w:sz w:val="20"/>
                <w:szCs w:val="20"/>
                <w:u w:val="none"/>
              </w:rPr>
            </w:pPr>
          </w:p>
        </w:tc>
        <w:tc>
          <w:tcPr>
            <w:tcW w:w="603" w:type="pct"/>
            <w:gridSpan w:val="2"/>
            <w:tcBorders>
              <w:top w:val="nil"/>
              <w:left w:val="nil"/>
              <w:bottom w:val="single" w:color="auto" w:sz="4" w:space="0"/>
              <w:right w:val="nil"/>
            </w:tcBorders>
            <w:shd w:val="clear" w:color="auto" w:fill="auto"/>
            <w:noWrap/>
            <w:vAlign w:val="bottom"/>
          </w:tcPr>
          <w:p w14:paraId="46FCAA4C">
            <w:pPr>
              <w:widowControl/>
              <w:jc w:val="right"/>
              <w:rPr>
                <w:rFonts w:hint="eastAsia" w:ascii="宋体" w:hAnsi="宋体" w:eastAsia="宋体" w:cs="宋体"/>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eastAsia="zh-CN" w:bidi="ar"/>
              </w:rPr>
              <w:t>单位：万元</w:t>
            </w:r>
          </w:p>
        </w:tc>
      </w:tr>
      <w:tr w14:paraId="0669AAAB">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62E82EC0">
            <w:pPr>
              <w:widowControl/>
              <w:snapToGrid w:val="0"/>
              <w:jc w:val="center"/>
              <w:textAlignment w:val="center"/>
              <w:rPr>
                <w:rFonts w:hint="default" w:asciiTheme="minorEastAsia" w:hAnsiTheme="minorEastAsia" w:eastAsiaTheme="minorEastAsia" w:cstheme="minorEastAsia"/>
                <w:color w:val="000000"/>
                <w:kern w:val="0"/>
                <w:sz w:val="13"/>
                <w:szCs w:val="13"/>
                <w:u w:val="none"/>
                <w:lang w:val="en-US" w:eastAsia="zh-CN" w:bidi="ar"/>
              </w:rPr>
            </w:pPr>
            <w:r>
              <w:rPr>
                <w:rFonts w:hint="eastAsia" w:asciiTheme="minorEastAsia" w:hAnsiTheme="minorEastAsia" w:cstheme="minorEastAsia"/>
                <w:color w:val="000000"/>
                <w:kern w:val="0"/>
                <w:sz w:val="13"/>
                <w:szCs w:val="13"/>
                <w:u w:val="none"/>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6947D56">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CF5DED">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AACF528">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FF30D7">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9D5735">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3A07C9">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678B2B5">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B11E1C">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B203EA">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89991E">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使用非财政拨款结余</w:t>
            </w:r>
          </w:p>
        </w:tc>
      </w:tr>
      <w:tr w14:paraId="0F0242AA">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13941256">
            <w:pPr>
              <w:widowControl/>
              <w:jc w:val="left"/>
              <w:rPr>
                <w:rFonts w:ascii="宋体" w:hAnsi="宋体" w:eastAsia="宋体" w:cs="Arial"/>
                <w:color w:val="000000"/>
                <w:kern w:val="0"/>
                <w:sz w:val="13"/>
                <w:szCs w:val="13"/>
                <w:u w:val="none"/>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702410A0">
            <w:pPr>
              <w:widowControl/>
              <w:jc w:val="left"/>
              <w:rPr>
                <w:rFonts w:ascii="宋体" w:hAnsi="宋体" w:eastAsia="宋体" w:cs="Arial"/>
                <w:color w:val="000000"/>
                <w:kern w:val="0"/>
                <w:sz w:val="13"/>
                <w:szCs w:val="13"/>
                <w:u w:val="none"/>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589D60C1">
            <w:pPr>
              <w:widowControl/>
              <w:jc w:val="left"/>
              <w:rPr>
                <w:rFonts w:ascii="宋体" w:hAnsi="宋体" w:eastAsia="宋体" w:cs="Arial"/>
                <w:color w:val="000000"/>
                <w:kern w:val="0"/>
                <w:sz w:val="13"/>
                <w:szCs w:val="13"/>
                <w:u w:val="none"/>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442E46D2">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4C2C1DBA">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eastAsia="zh-CN" w:bidi="ar"/>
              </w:rPr>
              <w:t>一般公共预算财政拨款</w:t>
            </w:r>
            <w:r>
              <w:rPr>
                <w:rFonts w:hint="eastAsia" w:asciiTheme="minorEastAsia" w:hAnsiTheme="minorEastAsia" w:cstheme="minorEastAsia"/>
                <w:color w:val="000000"/>
                <w:kern w:val="0"/>
                <w:sz w:val="13"/>
                <w:szCs w:val="13"/>
                <w:u w:val="none"/>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045A73B2">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20A986DF">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F8C1FE3">
            <w:pPr>
              <w:widowControl/>
              <w:jc w:val="left"/>
              <w:rPr>
                <w:rFonts w:ascii="宋体" w:hAnsi="宋体" w:eastAsia="宋体" w:cs="Arial"/>
                <w:color w:val="000000"/>
                <w:kern w:val="0"/>
                <w:sz w:val="13"/>
                <w:szCs w:val="13"/>
                <w:u w:val="none"/>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51CDFB5E">
            <w:pPr>
              <w:widowControl/>
              <w:jc w:val="left"/>
              <w:rPr>
                <w:rFonts w:ascii="宋体" w:hAnsi="宋体" w:eastAsia="宋体" w:cs="Arial"/>
                <w:color w:val="000000"/>
                <w:kern w:val="0"/>
                <w:sz w:val="13"/>
                <w:szCs w:val="13"/>
                <w:u w:val="none"/>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5FE6B0C8">
            <w:pPr>
              <w:widowControl/>
              <w:jc w:val="left"/>
              <w:rPr>
                <w:rFonts w:ascii="宋体" w:hAnsi="宋体" w:eastAsia="宋体" w:cs="Arial"/>
                <w:color w:val="000000"/>
                <w:kern w:val="0"/>
                <w:sz w:val="13"/>
                <w:szCs w:val="13"/>
                <w:u w:val="none"/>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7C67C882">
            <w:pPr>
              <w:widowControl/>
              <w:jc w:val="left"/>
              <w:rPr>
                <w:rFonts w:ascii="宋体" w:hAnsi="宋体" w:eastAsia="宋体" w:cs="Arial"/>
                <w:color w:val="000000"/>
                <w:kern w:val="0"/>
                <w:sz w:val="13"/>
                <w:szCs w:val="13"/>
                <w:u w:val="none"/>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F95FCF2">
            <w:pPr>
              <w:widowControl/>
              <w:jc w:val="left"/>
              <w:rPr>
                <w:rFonts w:ascii="宋体" w:hAnsi="宋体" w:eastAsia="宋体" w:cs="Arial"/>
                <w:color w:val="000000"/>
                <w:kern w:val="0"/>
                <w:sz w:val="13"/>
                <w:szCs w:val="13"/>
                <w:u w:val="none"/>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5E44E775">
            <w:pPr>
              <w:widowControl/>
              <w:jc w:val="left"/>
              <w:rPr>
                <w:rFonts w:ascii="宋体" w:hAnsi="宋体" w:eastAsia="宋体" w:cs="Arial"/>
                <w:color w:val="000000"/>
                <w:kern w:val="0"/>
                <w:sz w:val="13"/>
                <w:szCs w:val="13"/>
                <w:u w:val="none"/>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6CD3FC26">
            <w:pPr>
              <w:widowControl/>
              <w:jc w:val="left"/>
              <w:rPr>
                <w:rFonts w:ascii="宋体" w:hAnsi="宋体" w:eastAsia="宋体" w:cs="Arial"/>
                <w:color w:val="000000"/>
                <w:kern w:val="0"/>
                <w:sz w:val="13"/>
                <w:szCs w:val="13"/>
                <w:u w:val="none"/>
              </w:rPr>
            </w:pPr>
          </w:p>
        </w:tc>
      </w:tr>
      <w:tr w14:paraId="504594A7">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485C82">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A802A0">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AFEFF0">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0C5A1F">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90F5A0">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A43ED3">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FA4DC6">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15E91C">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418EEC">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AD2866">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953CBB">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lang w:val="en-US" w:eastAsia="zh-CN"/>
              </w:rPr>
              <w:t>1</w:t>
            </w:r>
            <w:r>
              <w:rPr>
                <w:rFonts w:hint="eastAsia" w:ascii="宋体" w:hAnsi="宋体" w:eastAsia="宋体" w:cs="Arial"/>
                <w:color w:val="000000"/>
                <w:kern w:val="0"/>
                <w:sz w:val="13"/>
                <w:szCs w:val="13"/>
                <w:u w:val="none"/>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F5DDFC">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EDEA4A">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13280">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13</w:t>
            </w:r>
          </w:p>
        </w:tc>
      </w:tr>
      <w:tr w14:paraId="2757DEF3">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0C8B37">
            <w:pPr>
              <w:widowControl/>
              <w:jc w:val="lef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853ACB">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4,928.49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168650">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881.62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D85984">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3,946.87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869C61">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3,946.87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93C526">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B8FE12">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AA380E">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488591">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FFD1C1">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822298">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B4CE6B">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BD4C13">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100.00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FCA1E3D">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r>
      <w:tr w14:paraId="3A18A253">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AC74FF">
            <w:pPr>
              <w:widowControl/>
              <w:jc w:val="lef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兴国县退役军人事务局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9F0166">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4,928.49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2B3B78">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881.62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36EA08">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3,946.87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A578BD">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3,946.87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B5230D">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6E8F0A">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21F6B2">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42E3D8">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7F9BF7">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8659A3">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58E0BC">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FA64B1">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100.00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C60DF69">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r>
    </w:tbl>
    <w:p w14:paraId="1D90213E">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0D2E033">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78B8E71">
            <w:pPr>
              <w:widowControl/>
              <w:jc w:val="center"/>
              <w:rPr>
                <w:rFonts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部门支出总表</w:t>
            </w:r>
          </w:p>
        </w:tc>
      </w:tr>
      <w:tr w14:paraId="549CBB1D">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41B1DABD">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：405兴国县退役军人事务局</w:t>
            </w:r>
          </w:p>
        </w:tc>
        <w:tc>
          <w:tcPr>
            <w:tcW w:w="914" w:type="pct"/>
            <w:tcBorders>
              <w:top w:val="nil"/>
              <w:left w:val="nil"/>
              <w:bottom w:val="nil"/>
              <w:right w:val="nil"/>
            </w:tcBorders>
            <w:shd w:val="clear" w:color="auto" w:fill="auto"/>
            <w:noWrap/>
            <w:vAlign w:val="bottom"/>
          </w:tcPr>
          <w:p w14:paraId="5BAEEFED">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45" w:type="pct"/>
            <w:tcBorders>
              <w:top w:val="nil"/>
              <w:left w:val="nil"/>
              <w:bottom w:val="nil"/>
              <w:right w:val="nil"/>
            </w:tcBorders>
            <w:shd w:val="clear" w:color="auto" w:fill="auto"/>
            <w:noWrap/>
            <w:vAlign w:val="bottom"/>
          </w:tcPr>
          <w:p w14:paraId="1DFCFCFB">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705" w:type="pct"/>
            <w:tcBorders>
              <w:top w:val="nil"/>
              <w:left w:val="nil"/>
              <w:bottom w:val="nil"/>
              <w:right w:val="nil"/>
            </w:tcBorders>
            <w:shd w:val="clear" w:color="auto" w:fill="auto"/>
            <w:noWrap/>
            <w:vAlign w:val="bottom"/>
          </w:tcPr>
          <w:p w14:paraId="0B9D1054">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7995959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E9A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2872F5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EB9597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17BE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16AB9E9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4DEE6A2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75CB4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6D5ED0E2">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66B5A4F5">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FE5FD1C">
            <w:pPr>
              <w:widowControl/>
              <w:snapToGrid w:val="0"/>
              <w:jc w:val="center"/>
              <w:textAlignment w:val="center"/>
              <w:rPr>
                <w:rFonts w:hint="eastAsia" w:asciiTheme="minorEastAsia" w:hAnsiTheme="minorEastAsia" w:cstheme="minorEastAsia"/>
                <w:color w:val="000000"/>
                <w:kern w:val="0"/>
                <w:sz w:val="18"/>
                <w:szCs w:val="18"/>
                <w:u w:val="none"/>
                <w:lang w:bidi="ar"/>
              </w:rPr>
            </w:pPr>
          </w:p>
        </w:tc>
      </w:tr>
      <w:tr w14:paraId="34CE261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DB95CF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816" w:type="pct"/>
            <w:tcBorders>
              <w:top w:val="nil"/>
              <w:left w:val="nil"/>
              <w:bottom w:val="nil"/>
              <w:right w:val="single" w:color="000000" w:sz="4" w:space="0"/>
            </w:tcBorders>
            <w:shd w:val="clear" w:color="auto" w:fill="auto"/>
            <w:noWrap/>
            <w:vAlign w:val="center"/>
          </w:tcPr>
          <w:p w14:paraId="577C4B7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914" w:type="pct"/>
            <w:tcBorders>
              <w:top w:val="nil"/>
              <w:left w:val="nil"/>
              <w:bottom w:val="nil"/>
              <w:right w:val="single" w:color="000000" w:sz="4" w:space="0"/>
            </w:tcBorders>
            <w:shd w:val="clear" w:color="auto" w:fill="auto"/>
            <w:noWrap/>
            <w:vAlign w:val="center"/>
          </w:tcPr>
          <w:p w14:paraId="263082D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645" w:type="pct"/>
            <w:tcBorders>
              <w:top w:val="nil"/>
              <w:left w:val="nil"/>
              <w:bottom w:val="nil"/>
              <w:right w:val="single" w:color="000000" w:sz="4" w:space="0"/>
            </w:tcBorders>
            <w:shd w:val="clear" w:color="auto" w:fill="auto"/>
            <w:noWrap/>
            <w:vAlign w:val="center"/>
          </w:tcPr>
          <w:p w14:paraId="65FACFDC">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705" w:type="pct"/>
            <w:tcBorders>
              <w:top w:val="nil"/>
              <w:left w:val="nil"/>
              <w:bottom w:val="nil"/>
              <w:right w:val="single" w:color="000000" w:sz="4" w:space="0"/>
            </w:tcBorders>
            <w:shd w:val="clear" w:color="auto" w:fill="auto"/>
            <w:noWrap/>
            <w:vAlign w:val="center"/>
          </w:tcPr>
          <w:p w14:paraId="4C4A463A">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r w14:paraId="51BFF81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2399">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8E448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90919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4,928.49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91CF71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581.69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D9680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4,346.80</w:t>
            </w:r>
          </w:p>
        </w:tc>
      </w:tr>
      <w:tr w14:paraId="0A801C0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2A1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A6F54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文化旅游体育与传媒支出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7BE22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B3CDA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78971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1.19</w:t>
            </w:r>
          </w:p>
        </w:tc>
      </w:tr>
      <w:tr w14:paraId="3E7CCB2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4720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20702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FB51E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文物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EF4FF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AFD3F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072E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1.19</w:t>
            </w:r>
          </w:p>
        </w:tc>
      </w:tr>
      <w:tr w14:paraId="68DA8F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221C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2070205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A208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博物馆</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9B211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DBFF9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E167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1.19</w:t>
            </w:r>
          </w:p>
        </w:tc>
      </w:tr>
      <w:tr w14:paraId="63B9C8E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4D03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E1804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AA757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3,594.95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316C4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490.34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D533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3,104.61</w:t>
            </w:r>
          </w:p>
        </w:tc>
      </w:tr>
      <w:tr w14:paraId="130F78F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283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7BE863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1FB3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68.87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ED931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68.87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232CD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1A94563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49EC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5BB62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8E8D2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6BCC1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E0203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24724B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C1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F50BE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83E3B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57.47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569E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57.47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4910A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42D6ED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1FD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AAAF0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7E862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1,516.62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6103E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5D0AD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1,515.58</w:t>
            </w:r>
          </w:p>
        </w:tc>
      </w:tr>
      <w:tr w14:paraId="463475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D82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39783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6505B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A0BDC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540FB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6609FE1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568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EEA5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义务兵优待</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C8C1A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890.00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E2116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7E40A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890.00</w:t>
            </w:r>
          </w:p>
        </w:tc>
      </w:tr>
      <w:tr w14:paraId="62C7AC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116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24B0F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光荣院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32DB0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2C665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3D794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82.00</w:t>
            </w:r>
          </w:p>
        </w:tc>
      </w:tr>
      <w:tr w14:paraId="1426392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EFA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3466E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褒扬纪念</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E21A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45FB1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58C71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r>
      <w:tr w14:paraId="33AAEAC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5DE8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5BA32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其他优抚支出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F7445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513.58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AA7A4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30B31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513.58</w:t>
            </w:r>
          </w:p>
        </w:tc>
      </w:tr>
      <w:tr w14:paraId="7912D78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CBE6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CEDDED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退役安置</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D4549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58.80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0BDD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FB5E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58.80</w:t>
            </w:r>
          </w:p>
        </w:tc>
      </w:tr>
      <w:tr w14:paraId="091EE68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5694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7E552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退役士兵安置</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60D57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13.58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75F9E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68BC1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13.58</w:t>
            </w:r>
          </w:p>
        </w:tc>
      </w:tr>
      <w:tr w14:paraId="4D55E24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89E0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2080902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7B28B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军队移交政府的离退休人员安置</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EF90A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44.11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2D5C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22C0E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44.11</w:t>
            </w:r>
          </w:p>
        </w:tc>
      </w:tr>
      <w:tr w14:paraId="7C81F7B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E62A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2080904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DC62E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退役士兵管理教育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BABA9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C2167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39D88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0.88</w:t>
            </w:r>
          </w:p>
        </w:tc>
      </w:tr>
      <w:tr w14:paraId="44433DE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11ED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2080905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B0AF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军队转业干部安置</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D5B55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64F47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B9BE5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0.24</w:t>
            </w:r>
          </w:p>
        </w:tc>
      </w:tr>
      <w:tr w14:paraId="3BA81A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61A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20828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C7484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退役军人管理事务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AEE79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1,929.15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2DEB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417.43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10CF4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1,511.72</w:t>
            </w:r>
          </w:p>
        </w:tc>
      </w:tr>
      <w:tr w14:paraId="24B0171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8BC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2082801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74BC6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33952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417.43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56F1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417.43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523C0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50B613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36F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2082804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CC72F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拥军优属</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EFFED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25589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F1835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r>
      <w:tr w14:paraId="0A99E39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6D0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2082899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4550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其他退役军人事务管理支出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656879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1,481.72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83FF9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1C159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1,481.72</w:t>
            </w:r>
          </w:p>
        </w:tc>
      </w:tr>
      <w:tr w14:paraId="1D27C4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C563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0125D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7B19B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08547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AC48D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18.51</w:t>
            </w:r>
          </w:p>
        </w:tc>
      </w:tr>
      <w:tr w14:paraId="1FE651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FB4F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4C558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08BA1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51D74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9F417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18.51</w:t>
            </w:r>
          </w:p>
        </w:tc>
      </w:tr>
      <w:tr w14:paraId="39DCBF2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C9D5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D486A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E709A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1,184.29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53F3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01C4B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1,141.00</w:t>
            </w:r>
          </w:p>
        </w:tc>
      </w:tr>
      <w:tr w14:paraId="2CFD3E7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2986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5587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0B90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61F7E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CCBF5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F4C744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76BB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7451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CB2515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24.42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23CD2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24.42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A4C4D8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1178116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19A9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8D9B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4E5FA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B88156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18.87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841B1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F55D2A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7AB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DDB87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优抚对象医疗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29BDD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1,141.00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0E2B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6BCA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1,141.00</w:t>
            </w:r>
          </w:p>
        </w:tc>
      </w:tr>
      <w:tr w14:paraId="498BB0F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7E1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B7FD1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优抚对象医疗补助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3B839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1,141.00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0FAD6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A9C48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1,141.00</w:t>
            </w:r>
          </w:p>
        </w:tc>
      </w:tr>
      <w:tr w14:paraId="29098E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BB1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45B68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11B29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C8C9E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2EB4C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3237DB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EF9D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E065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20212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901C2D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293F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61415C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C05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0D65A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5870D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9DA7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20CA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5177E2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2569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03429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D670E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51FD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78F56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100.00</w:t>
            </w:r>
          </w:p>
        </w:tc>
      </w:tr>
      <w:tr w14:paraId="166A79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DB5A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7795F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9D2E0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07221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C511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100.00</w:t>
            </w:r>
          </w:p>
        </w:tc>
      </w:tr>
      <w:tr w14:paraId="46B5800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ED3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1E3C6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E0742B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29867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17448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100.00</w:t>
            </w:r>
          </w:p>
        </w:tc>
      </w:tr>
    </w:tbl>
    <w:p w14:paraId="217E580F">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84355F4">
        <w:tblPrEx>
          <w:tblCellMar>
            <w:top w:w="0" w:type="dxa"/>
            <w:left w:w="108" w:type="dxa"/>
            <w:bottom w:w="0" w:type="dxa"/>
            <w:right w:w="108" w:type="dxa"/>
          </w:tblCellMar>
        </w:tblPrEx>
        <w:trPr>
          <w:trHeight w:val="585" w:hRule="atLeast"/>
          <w:tblHeader/>
        </w:trPr>
        <w:tc>
          <w:tcPr>
            <w:tcW w:w="5000" w:type="pct"/>
            <w:gridSpan w:val="7"/>
            <w:noWrap/>
            <w:vAlign w:val="center"/>
          </w:tcPr>
          <w:p w14:paraId="00FF9CE0">
            <w:pPr>
              <w:widowControl/>
              <w:jc w:val="center"/>
              <w:rPr>
                <w:rFonts w:hint="eastAsia" w:ascii="宋体" w:hAnsi="宋体" w:eastAsia="宋体" w:cs="Arial"/>
                <w:b/>
                <w:bCs/>
                <w:color w:val="000000"/>
                <w:kern w:val="0"/>
                <w:sz w:val="40"/>
                <w:szCs w:val="40"/>
                <w:u w:val="none"/>
              </w:rPr>
            </w:pPr>
            <w:r>
              <w:rPr>
                <w:rFonts w:hint="eastAsia" w:asciiTheme="minorEastAsia" w:hAnsiTheme="minorEastAsia" w:eastAsiaTheme="minorEastAsia" w:cstheme="minorEastAsia"/>
                <w:b/>
                <w:bCs/>
                <w:color w:val="000000"/>
                <w:kern w:val="0"/>
                <w:sz w:val="24"/>
                <w:szCs w:val="24"/>
                <w:u w:val="none"/>
                <w:lang w:bidi="ar"/>
              </w:rPr>
              <w:br w:type="page"/>
            </w:r>
            <w:r>
              <w:rPr>
                <w:rFonts w:hint="eastAsia" w:asciiTheme="minorEastAsia" w:hAnsiTheme="minorEastAsia" w:eastAsiaTheme="minorEastAsia" w:cstheme="minorEastAsia"/>
                <w:b/>
                <w:bCs/>
                <w:color w:val="000000"/>
                <w:kern w:val="0"/>
                <w:sz w:val="24"/>
                <w:szCs w:val="24"/>
                <w:u w:val="none"/>
                <w:lang w:bidi="ar"/>
              </w:rPr>
              <w:t>财政拨款收支总表</w:t>
            </w:r>
          </w:p>
        </w:tc>
      </w:tr>
      <w:tr w14:paraId="6930D317">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624577C">
            <w:pPr>
              <w:widowControl/>
              <w:snapToGrid w:val="0"/>
              <w:jc w:val="lef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21"/>
                <w:szCs w:val="21"/>
                <w:u w:val="none"/>
                <w:lang w:bidi="ar"/>
              </w:rPr>
              <w:t>填报单位</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cstheme="minorEastAsia"/>
                <w:color w:val="000000"/>
                <w:kern w:val="0"/>
                <w:sz w:val="21"/>
                <w:szCs w:val="21"/>
                <w:u w:val="none"/>
                <w:lang w:bidi="ar"/>
              </w:rPr>
              <w:t>405兴国县退役军人事务局</w:t>
            </w:r>
          </w:p>
        </w:tc>
        <w:tc>
          <w:tcPr>
            <w:tcW w:w="577" w:type="pct"/>
            <w:noWrap/>
            <w:vAlign w:val="bottom"/>
          </w:tcPr>
          <w:p w14:paraId="7E21724C">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12" w:type="pct"/>
            <w:noWrap/>
            <w:vAlign w:val="bottom"/>
          </w:tcPr>
          <w:p w14:paraId="068BC87E">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1235" w:type="pct"/>
            <w:gridSpan w:val="2"/>
            <w:noWrap/>
            <w:vAlign w:val="center"/>
          </w:tcPr>
          <w:p w14:paraId="1B2B8718">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21"/>
                <w:szCs w:val="21"/>
                <w:u w:val="none"/>
                <w:lang w:bidi="ar"/>
              </w:rPr>
              <w:t>单位：万元</w:t>
            </w:r>
          </w:p>
        </w:tc>
      </w:tr>
      <w:tr w14:paraId="5997A245">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3BAB0D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FD08F3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w:t>
            </w:r>
            <w:r>
              <w:rPr>
                <w:rFonts w:hint="eastAsia" w:asciiTheme="minorEastAsia" w:hAnsiTheme="minorEastAsia" w:cstheme="minorEastAsia"/>
                <w:color w:val="000000"/>
                <w:kern w:val="0"/>
                <w:sz w:val="21"/>
                <w:szCs w:val="21"/>
                <w:u w:val="none"/>
                <w:lang w:val="en-US" w:eastAsia="zh-CN" w:bidi="ar"/>
              </w:rPr>
              <w:t xml:space="preserve">      </w:t>
            </w:r>
            <w:r>
              <w:rPr>
                <w:rFonts w:hint="eastAsia" w:asciiTheme="minorEastAsia" w:hAnsiTheme="minorEastAsia" w:eastAsiaTheme="minorEastAsia" w:cstheme="minorEastAsia"/>
                <w:color w:val="000000"/>
                <w:kern w:val="0"/>
                <w:sz w:val="21"/>
                <w:szCs w:val="21"/>
                <w:u w:val="none"/>
                <w:lang w:bidi="ar"/>
              </w:rPr>
              <w:t xml:space="preserve">出 </w:t>
            </w:r>
          </w:p>
        </w:tc>
      </w:tr>
      <w:tr w14:paraId="3289A7A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2D3936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项目</w:t>
            </w:r>
          </w:p>
        </w:tc>
        <w:tc>
          <w:tcPr>
            <w:tcW w:w="657" w:type="pct"/>
            <w:tcBorders>
              <w:top w:val="nil"/>
              <w:left w:val="nil"/>
              <w:bottom w:val="nil"/>
              <w:right w:val="single" w:color="000000" w:sz="4" w:space="0"/>
            </w:tcBorders>
            <w:noWrap/>
            <w:vAlign w:val="center"/>
          </w:tcPr>
          <w:p w14:paraId="78CF9E8E">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预算数</w:t>
            </w:r>
          </w:p>
        </w:tc>
        <w:tc>
          <w:tcPr>
            <w:tcW w:w="948" w:type="pct"/>
            <w:tcBorders>
              <w:top w:val="nil"/>
              <w:left w:val="nil"/>
              <w:bottom w:val="single" w:color="000000" w:sz="4" w:space="0"/>
              <w:right w:val="single" w:color="000000" w:sz="4" w:space="0"/>
            </w:tcBorders>
            <w:noWrap/>
            <w:vAlign w:val="center"/>
          </w:tcPr>
          <w:p w14:paraId="06CCC0E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项目</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cstheme="minorEastAsia"/>
                <w:color w:val="000000"/>
                <w:kern w:val="0"/>
                <w:sz w:val="21"/>
                <w:szCs w:val="21"/>
                <w:u w:val="none"/>
                <w:lang w:bidi="ar"/>
              </w:rPr>
              <w:t>按功能科目</w:t>
            </w:r>
            <w:r>
              <w:rPr>
                <w:rFonts w:hint="eastAsia" w:asciiTheme="minorEastAsia" w:hAnsiTheme="minorEastAsia" w:cstheme="minorEastAsia"/>
                <w:color w:val="000000"/>
                <w:kern w:val="0"/>
                <w:sz w:val="21"/>
                <w:szCs w:val="21"/>
                <w:u w:val="none"/>
                <w:lang w:eastAsia="zh-CN" w:bidi="ar"/>
              </w:rPr>
              <w:t>）</w:t>
            </w:r>
          </w:p>
        </w:tc>
        <w:tc>
          <w:tcPr>
            <w:tcW w:w="577" w:type="pct"/>
            <w:tcBorders>
              <w:top w:val="nil"/>
              <w:left w:val="nil"/>
              <w:bottom w:val="single" w:color="000000" w:sz="4" w:space="0"/>
              <w:right w:val="single" w:color="000000" w:sz="4" w:space="0"/>
            </w:tcBorders>
            <w:noWrap/>
            <w:vAlign w:val="center"/>
          </w:tcPr>
          <w:p w14:paraId="7667354E">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合计</w:t>
            </w:r>
          </w:p>
        </w:tc>
        <w:tc>
          <w:tcPr>
            <w:tcW w:w="612" w:type="pct"/>
            <w:tcBorders>
              <w:top w:val="nil"/>
              <w:left w:val="nil"/>
              <w:bottom w:val="single" w:color="000000" w:sz="4" w:space="0"/>
              <w:right w:val="single" w:color="000000" w:sz="4" w:space="0"/>
            </w:tcBorders>
            <w:noWrap/>
            <w:vAlign w:val="center"/>
          </w:tcPr>
          <w:p w14:paraId="103BAA1C">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一般公共预算支出</w:t>
            </w:r>
          </w:p>
        </w:tc>
        <w:tc>
          <w:tcPr>
            <w:tcW w:w="602" w:type="pct"/>
            <w:tcBorders>
              <w:top w:val="nil"/>
              <w:left w:val="nil"/>
              <w:bottom w:val="single" w:color="000000" w:sz="4" w:space="0"/>
              <w:right w:val="single" w:color="000000" w:sz="4" w:space="0"/>
            </w:tcBorders>
            <w:noWrap/>
            <w:vAlign w:val="center"/>
          </w:tcPr>
          <w:p w14:paraId="3C619752">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政府性基金预算支出</w:t>
            </w:r>
          </w:p>
        </w:tc>
        <w:tc>
          <w:tcPr>
            <w:tcW w:w="632" w:type="pct"/>
            <w:tcBorders>
              <w:top w:val="nil"/>
              <w:left w:val="nil"/>
              <w:bottom w:val="single" w:color="000000" w:sz="4" w:space="0"/>
              <w:right w:val="single" w:color="000000" w:sz="4" w:space="0"/>
            </w:tcBorders>
            <w:noWrap/>
            <w:vAlign w:val="center"/>
          </w:tcPr>
          <w:p w14:paraId="42F403C6">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国有资本经营预算支出</w:t>
            </w:r>
          </w:p>
        </w:tc>
      </w:tr>
      <w:tr w14:paraId="66A035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A272E0">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一、</w:t>
            </w:r>
            <w:r>
              <w:rPr>
                <w:rFonts w:hint="eastAsia" w:asciiTheme="minorEastAsia" w:hAnsiTheme="minorEastAsia" w:cstheme="minorEastAsia"/>
                <w:color w:val="000000"/>
                <w:kern w:val="0"/>
                <w:sz w:val="21"/>
                <w:szCs w:val="21"/>
                <w:u w:val="none"/>
                <w:lang w:val="en-US" w:eastAsia="zh-CN" w:bidi="ar"/>
              </w:rPr>
              <w:t>本年</w:t>
            </w:r>
            <w:r>
              <w:rPr>
                <w:rFonts w:hint="eastAsia" w:asciiTheme="minorEastAsia" w:hAnsiTheme="minorEastAsia" w:cstheme="minorEastAsia"/>
                <w:color w:val="000000"/>
                <w:kern w:val="0"/>
                <w:sz w:val="21"/>
                <w:szCs w:val="21"/>
                <w:u w:val="none"/>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582706C">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3,946.87</w:t>
            </w:r>
          </w:p>
        </w:tc>
        <w:tc>
          <w:tcPr>
            <w:tcW w:w="948" w:type="pct"/>
            <w:tcBorders>
              <w:top w:val="nil"/>
              <w:left w:val="nil"/>
              <w:bottom w:val="single" w:color="000000" w:sz="4" w:space="0"/>
              <w:right w:val="single" w:color="000000" w:sz="4" w:space="0"/>
            </w:tcBorders>
            <w:noWrap/>
            <w:vAlign w:val="center"/>
          </w:tcPr>
          <w:p w14:paraId="2C2F735B">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文化旅游体育与传媒支出</w:t>
            </w:r>
          </w:p>
        </w:tc>
        <w:tc>
          <w:tcPr>
            <w:tcW w:w="577" w:type="pct"/>
            <w:tcBorders>
              <w:top w:val="nil"/>
              <w:left w:val="nil"/>
              <w:bottom w:val="single" w:color="000000" w:sz="4" w:space="0"/>
              <w:right w:val="single" w:color="000000" w:sz="4" w:space="0"/>
            </w:tcBorders>
            <w:noWrap/>
            <w:vAlign w:val="center"/>
          </w:tcPr>
          <w:p w14:paraId="6F70892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1.19</w:t>
            </w:r>
          </w:p>
        </w:tc>
        <w:tc>
          <w:tcPr>
            <w:tcW w:w="612" w:type="pct"/>
            <w:tcBorders>
              <w:top w:val="nil"/>
              <w:left w:val="nil"/>
              <w:bottom w:val="single" w:color="000000" w:sz="4" w:space="0"/>
              <w:right w:val="single" w:color="000000" w:sz="4" w:space="0"/>
            </w:tcBorders>
            <w:noWrap/>
            <w:vAlign w:val="center"/>
          </w:tcPr>
          <w:p w14:paraId="06BB6A9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1.19</w:t>
            </w:r>
          </w:p>
        </w:tc>
        <w:tc>
          <w:tcPr>
            <w:tcW w:w="602" w:type="pct"/>
            <w:tcBorders>
              <w:top w:val="nil"/>
              <w:left w:val="nil"/>
              <w:bottom w:val="single" w:color="000000" w:sz="4" w:space="0"/>
              <w:right w:val="single" w:color="000000" w:sz="4" w:space="0"/>
            </w:tcBorders>
            <w:noWrap/>
            <w:vAlign w:val="center"/>
          </w:tcPr>
          <w:p w14:paraId="6B764997">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632" w:type="pct"/>
            <w:tcBorders>
              <w:top w:val="nil"/>
              <w:left w:val="nil"/>
              <w:bottom w:val="single" w:color="000000" w:sz="4" w:space="0"/>
              <w:right w:val="single" w:color="000000" w:sz="4" w:space="0"/>
            </w:tcBorders>
            <w:noWrap/>
            <w:vAlign w:val="center"/>
          </w:tcPr>
          <w:p w14:paraId="21620957">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r>
      <w:tr w14:paraId="18516E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D76C0E">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xml:space="preserve">  </w:t>
            </w:r>
            <w:r>
              <w:rPr>
                <w:rFonts w:hint="eastAsia" w:asciiTheme="minorEastAsia" w:hAnsiTheme="minorEastAsia" w:cstheme="minorEastAsia"/>
                <w:color w:val="000000"/>
                <w:kern w:val="0"/>
                <w:sz w:val="21"/>
                <w:szCs w:val="21"/>
                <w:u w:val="none"/>
                <w:lang w:eastAsia="zh-CN" w:bidi="ar"/>
              </w:rPr>
              <w:t>一般公共预算财政拨款</w:t>
            </w:r>
            <w:r>
              <w:rPr>
                <w:rFonts w:hint="eastAsia" w:asciiTheme="minorEastAsia" w:hAnsiTheme="minorEastAsia" w:cstheme="minorEastAsia"/>
                <w:color w:val="000000"/>
                <w:kern w:val="0"/>
                <w:sz w:val="21"/>
                <w:szCs w:val="21"/>
                <w:u w:val="none"/>
                <w:lang w:bidi="ar"/>
              </w:rPr>
              <w:t>收入</w:t>
            </w:r>
          </w:p>
        </w:tc>
        <w:tc>
          <w:tcPr>
            <w:tcW w:w="657" w:type="pct"/>
            <w:noWrap/>
            <w:vAlign w:val="center"/>
          </w:tcPr>
          <w:p w14:paraId="31400D0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3,946.87</w:t>
            </w:r>
          </w:p>
        </w:tc>
        <w:tc>
          <w:tcPr>
            <w:tcW w:w="948" w:type="pct"/>
            <w:tcBorders>
              <w:top w:val="nil"/>
              <w:left w:val="single" w:color="000000" w:sz="4" w:space="0"/>
              <w:bottom w:val="single" w:color="000000" w:sz="4" w:space="0"/>
              <w:right w:val="single" w:color="000000" w:sz="4" w:space="0"/>
            </w:tcBorders>
            <w:noWrap/>
            <w:vAlign w:val="center"/>
          </w:tcPr>
          <w:p w14:paraId="2476B442">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社会保障和就业支出</w:t>
            </w:r>
          </w:p>
        </w:tc>
        <w:tc>
          <w:tcPr>
            <w:tcW w:w="577" w:type="pct"/>
            <w:tcBorders>
              <w:top w:val="nil"/>
              <w:left w:val="nil"/>
              <w:bottom w:val="single" w:color="000000" w:sz="4" w:space="0"/>
              <w:right w:val="single" w:color="000000" w:sz="4" w:space="0"/>
            </w:tcBorders>
            <w:noWrap/>
            <w:vAlign w:val="center"/>
          </w:tcPr>
          <w:p w14:paraId="5711588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3,594.95</w:t>
            </w:r>
          </w:p>
        </w:tc>
        <w:tc>
          <w:tcPr>
            <w:tcW w:w="612" w:type="pct"/>
            <w:tcBorders>
              <w:top w:val="nil"/>
              <w:left w:val="nil"/>
              <w:bottom w:val="single" w:color="000000" w:sz="4" w:space="0"/>
              <w:right w:val="single" w:color="000000" w:sz="4" w:space="0"/>
            </w:tcBorders>
            <w:noWrap/>
            <w:vAlign w:val="center"/>
          </w:tcPr>
          <w:p w14:paraId="54AC18C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3,594.95</w:t>
            </w:r>
          </w:p>
        </w:tc>
        <w:tc>
          <w:tcPr>
            <w:tcW w:w="602" w:type="pct"/>
            <w:tcBorders>
              <w:top w:val="nil"/>
              <w:left w:val="nil"/>
              <w:bottom w:val="single" w:color="000000" w:sz="4" w:space="0"/>
              <w:right w:val="single" w:color="000000" w:sz="4" w:space="0"/>
            </w:tcBorders>
            <w:noWrap/>
            <w:vAlign w:val="center"/>
          </w:tcPr>
          <w:p w14:paraId="4DEA749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3011C4D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4CFD303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017D5B">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486CF2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948" w:type="pct"/>
            <w:tcBorders>
              <w:top w:val="nil"/>
              <w:left w:val="nil"/>
              <w:bottom w:val="single" w:color="000000" w:sz="4" w:space="0"/>
              <w:right w:val="single" w:color="000000" w:sz="4" w:space="0"/>
            </w:tcBorders>
            <w:noWrap/>
            <w:vAlign w:val="center"/>
          </w:tcPr>
          <w:p w14:paraId="3A0CF98E">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卫生健康支出</w:t>
            </w:r>
          </w:p>
        </w:tc>
        <w:tc>
          <w:tcPr>
            <w:tcW w:w="577" w:type="pct"/>
            <w:tcBorders>
              <w:top w:val="nil"/>
              <w:left w:val="nil"/>
              <w:bottom w:val="single" w:color="000000" w:sz="4" w:space="0"/>
              <w:right w:val="single" w:color="000000" w:sz="4" w:space="0"/>
            </w:tcBorders>
            <w:noWrap/>
            <w:vAlign w:val="center"/>
          </w:tcPr>
          <w:p w14:paraId="07BAE92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1,184.29</w:t>
            </w:r>
          </w:p>
        </w:tc>
        <w:tc>
          <w:tcPr>
            <w:tcW w:w="612" w:type="pct"/>
            <w:tcBorders>
              <w:top w:val="nil"/>
              <w:left w:val="nil"/>
              <w:bottom w:val="single" w:color="000000" w:sz="4" w:space="0"/>
              <w:right w:val="single" w:color="000000" w:sz="4" w:space="0"/>
            </w:tcBorders>
            <w:noWrap/>
            <w:vAlign w:val="center"/>
          </w:tcPr>
          <w:p w14:paraId="7513C0B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1,184.29</w:t>
            </w:r>
          </w:p>
        </w:tc>
        <w:tc>
          <w:tcPr>
            <w:tcW w:w="602" w:type="pct"/>
            <w:tcBorders>
              <w:top w:val="nil"/>
              <w:left w:val="nil"/>
              <w:bottom w:val="single" w:color="000000" w:sz="4" w:space="0"/>
              <w:right w:val="single" w:color="000000" w:sz="4" w:space="0"/>
            </w:tcBorders>
            <w:noWrap/>
            <w:vAlign w:val="center"/>
          </w:tcPr>
          <w:p w14:paraId="32DF2F4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6F75A31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6293E8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095C73">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55202DE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nil"/>
              <w:left w:val="nil"/>
              <w:bottom w:val="single" w:color="000000" w:sz="4" w:space="0"/>
              <w:right w:val="single" w:color="000000" w:sz="4" w:space="0"/>
            </w:tcBorders>
            <w:noWrap/>
            <w:vAlign w:val="center"/>
          </w:tcPr>
          <w:p w14:paraId="0EC4C333">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住房保障支出</w:t>
            </w:r>
          </w:p>
        </w:tc>
        <w:tc>
          <w:tcPr>
            <w:tcW w:w="577" w:type="pct"/>
            <w:tcBorders>
              <w:top w:val="nil"/>
              <w:left w:val="nil"/>
              <w:bottom w:val="single" w:color="000000" w:sz="4" w:space="0"/>
              <w:right w:val="single" w:color="000000" w:sz="4" w:space="0"/>
            </w:tcBorders>
            <w:noWrap/>
            <w:vAlign w:val="center"/>
          </w:tcPr>
          <w:p w14:paraId="703FC75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48.06</w:t>
            </w:r>
          </w:p>
        </w:tc>
        <w:tc>
          <w:tcPr>
            <w:tcW w:w="612" w:type="pct"/>
            <w:tcBorders>
              <w:top w:val="nil"/>
              <w:left w:val="nil"/>
              <w:bottom w:val="single" w:color="000000" w:sz="4" w:space="0"/>
              <w:right w:val="single" w:color="000000" w:sz="4" w:space="0"/>
            </w:tcBorders>
            <w:noWrap/>
            <w:vAlign w:val="center"/>
          </w:tcPr>
          <w:p w14:paraId="7AA1F7A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48.06</w:t>
            </w:r>
          </w:p>
        </w:tc>
        <w:tc>
          <w:tcPr>
            <w:tcW w:w="602" w:type="pct"/>
            <w:tcBorders>
              <w:top w:val="nil"/>
              <w:left w:val="nil"/>
              <w:bottom w:val="single" w:color="000000" w:sz="4" w:space="0"/>
              <w:right w:val="single" w:color="000000" w:sz="4" w:space="0"/>
            </w:tcBorders>
            <w:noWrap/>
            <w:vAlign w:val="center"/>
          </w:tcPr>
          <w:p w14:paraId="753E196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4A31E71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5A1243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06C5F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BC61AC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C9BA29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91C355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BFB85F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F14F03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CB7B1C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16954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BDF47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78C893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542C23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25954D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0C22F6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993E75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D3BDB2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05F17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AE3FD1">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BCF790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A15931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0D17BB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F8235D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FB8D9F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F70EE0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5A766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6BB83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720B88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F68E2E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5780D7E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F10BE3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4FCF08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11EFCF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CAAEF6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8D565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BE257E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EDD221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6CCFBA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022673E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D55416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5D8151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7D99AF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3E9B32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C44D21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E6FC33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54D1BA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5744A8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9CD577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1DB224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43DD7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D9F497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82D1C0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8E9992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E669C7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14135F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69316D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FE69CD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7C42F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10AFD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7C914CE">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73B2AB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479AA6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AE4205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2B1D41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E808F9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4E098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21D381">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2073B6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5FE4F2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823C45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6A2329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D6F434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E35167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9EDB6E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198DE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764162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B8BA8A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7FF48AC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E443D6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CB6497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6AC2E7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A743C8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ADC56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26602D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9B092F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72D4EB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30A900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A8AD6C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C70837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467AB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1B71A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898CF3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EF8F87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11919F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0BBFEB9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5CCE26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D23E24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B4334B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8C122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D8D146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E7F092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020A6B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E726F9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484DE1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42E279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6B183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DC82AC">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B115751">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7F84A6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5099F3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FC009B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7FD4BB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0A5B47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D2049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A2874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480A821">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66E094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F4FD42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2C9049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1D77DA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F9BFBC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59B3B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F3B36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2DA41A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30BF21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0798E1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58795D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D4F01B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61C0B8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3C93F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38411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5107C0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58D3C9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E25A4B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F228D8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F2467D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C06C61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932ED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3A05EE">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6EBCAC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F174D5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5F2935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69FA96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474C50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A083C8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595202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1DA97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51B0D2D">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93AFA7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F6C5F8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080226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C0A946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581FCA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E7B3A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49DD31">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665D505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F623B3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CC7790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2D5DFB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14B40C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13DA39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98C16AF">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50554800">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657" w:type="pct"/>
            <w:tcBorders>
              <w:top w:val="single" w:color="000000" w:sz="4" w:space="0"/>
              <w:left w:val="nil"/>
              <w:bottom w:val="single" w:color="000000" w:sz="4" w:space="0"/>
              <w:right w:val="single" w:color="000000" w:sz="4" w:space="0"/>
            </w:tcBorders>
            <w:vAlign w:val="center"/>
          </w:tcPr>
          <w:p w14:paraId="7CB4470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948" w:type="pct"/>
            <w:tcBorders>
              <w:top w:val="nil"/>
              <w:left w:val="nil"/>
              <w:bottom w:val="single" w:color="000000" w:sz="4" w:space="0"/>
              <w:right w:val="single" w:color="000000" w:sz="4" w:space="0"/>
            </w:tcBorders>
            <w:noWrap/>
            <w:vAlign w:val="center"/>
          </w:tcPr>
          <w:p w14:paraId="3B87CD5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5A4E2D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FCD950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DCEAEC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0C443D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B1B26F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C43E9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C8D2B9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5975463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6AB589C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07518E5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67E358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0B69CE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13A9B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DC152C">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6C0E4CB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08F1BAD">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119F599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B39373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46281D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CF8C1B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71B8D5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D24DCC">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657" w:type="pct"/>
            <w:tcBorders>
              <w:top w:val="nil"/>
              <w:left w:val="nil"/>
              <w:bottom w:val="single" w:color="000000" w:sz="4" w:space="0"/>
              <w:right w:val="single" w:color="000000" w:sz="4" w:space="0"/>
            </w:tcBorders>
            <w:vAlign w:val="center"/>
          </w:tcPr>
          <w:p w14:paraId="57DE9E0B">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948" w:type="pct"/>
            <w:tcBorders>
              <w:top w:val="nil"/>
              <w:left w:val="nil"/>
              <w:bottom w:val="single" w:color="000000" w:sz="4" w:space="0"/>
              <w:right w:val="single" w:color="000000" w:sz="4" w:space="0"/>
            </w:tcBorders>
            <w:noWrap/>
            <w:vAlign w:val="center"/>
          </w:tcPr>
          <w:p w14:paraId="01B7CE8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00D779D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2E88B1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5A3D69F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EC337F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CF73E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D946D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57A70A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C67E856">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46F129B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EA4C14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31AFFB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2FA773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ED649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65E2E5">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二、上年结转</w:t>
            </w:r>
          </w:p>
        </w:tc>
        <w:tc>
          <w:tcPr>
            <w:tcW w:w="657" w:type="pct"/>
            <w:tcBorders>
              <w:top w:val="nil"/>
              <w:left w:val="nil"/>
              <w:bottom w:val="single" w:color="auto" w:sz="4" w:space="0"/>
              <w:right w:val="single" w:color="000000" w:sz="4" w:space="0"/>
            </w:tcBorders>
            <w:vAlign w:val="center"/>
          </w:tcPr>
          <w:p w14:paraId="119830AB">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881.62　</w:t>
            </w:r>
          </w:p>
        </w:tc>
        <w:tc>
          <w:tcPr>
            <w:tcW w:w="948" w:type="pct"/>
            <w:tcBorders>
              <w:top w:val="nil"/>
              <w:left w:val="nil"/>
              <w:bottom w:val="single" w:color="auto" w:sz="4" w:space="0"/>
              <w:right w:val="single" w:color="000000" w:sz="4" w:space="0"/>
            </w:tcBorders>
            <w:noWrap/>
            <w:vAlign w:val="center"/>
          </w:tcPr>
          <w:p w14:paraId="16FB3755">
            <w:pPr>
              <w:widowControl/>
              <w:snapToGrid w:val="0"/>
              <w:jc w:val="center"/>
              <w:textAlignment w:val="center"/>
              <w:rPr>
                <w:rFonts w:hint="eastAsia" w:asciiTheme="minorEastAsia" w:hAnsiTheme="minorEastAsia" w:cstheme="minorEastAsia"/>
                <w:color w:val="000000"/>
                <w:kern w:val="0"/>
                <w:sz w:val="21"/>
                <w:szCs w:val="21"/>
                <w:u w:val="none"/>
                <w:lang w:eastAsia="zh-CN" w:bidi="ar"/>
              </w:rPr>
            </w:pPr>
          </w:p>
        </w:tc>
        <w:tc>
          <w:tcPr>
            <w:tcW w:w="577" w:type="pct"/>
            <w:tcBorders>
              <w:top w:val="nil"/>
              <w:left w:val="nil"/>
              <w:bottom w:val="single" w:color="000000" w:sz="4" w:space="0"/>
              <w:right w:val="single" w:color="000000" w:sz="4" w:space="0"/>
            </w:tcBorders>
            <w:noWrap/>
            <w:vAlign w:val="center"/>
          </w:tcPr>
          <w:p w14:paraId="07A8E99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8F6E5F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B5DE41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5EBC5BA">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33CAA7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C19185B">
            <w:pPr>
              <w:widowControl/>
              <w:snapToGrid w:val="0"/>
              <w:ind w:firstLine="210" w:firstLineChars="10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一般公共预算财政拨款</w:t>
            </w:r>
            <w:r>
              <w:rPr>
                <w:rFonts w:hint="eastAsia" w:asciiTheme="minorEastAsia" w:hAnsiTheme="minorEastAsia" w:cstheme="minorEastAsia"/>
                <w:color w:val="000000"/>
                <w:kern w:val="0"/>
                <w:sz w:val="21"/>
                <w:szCs w:val="21"/>
                <w:u w:val="none"/>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4A68B12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881.62　</w:t>
            </w:r>
          </w:p>
        </w:tc>
        <w:tc>
          <w:tcPr>
            <w:tcW w:w="948" w:type="pct"/>
            <w:tcBorders>
              <w:top w:val="single" w:color="auto" w:sz="4" w:space="0"/>
              <w:left w:val="single" w:color="auto" w:sz="4" w:space="0"/>
              <w:bottom w:val="single" w:color="auto" w:sz="4" w:space="0"/>
              <w:right w:val="single" w:color="auto" w:sz="4" w:space="0"/>
            </w:tcBorders>
            <w:noWrap/>
            <w:vAlign w:val="center"/>
          </w:tcPr>
          <w:p w14:paraId="79AE187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577" w:type="pct"/>
            <w:tcBorders>
              <w:top w:val="nil"/>
              <w:left w:val="single" w:color="auto" w:sz="4" w:space="0"/>
              <w:bottom w:val="single" w:color="auto" w:sz="4" w:space="0"/>
              <w:right w:val="single" w:color="000000" w:sz="4" w:space="0"/>
            </w:tcBorders>
            <w:noWrap/>
            <w:vAlign w:val="center"/>
          </w:tcPr>
          <w:p w14:paraId="3516914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auto" w:sz="4" w:space="0"/>
              <w:right w:val="single" w:color="000000" w:sz="4" w:space="0"/>
            </w:tcBorders>
            <w:noWrap/>
            <w:vAlign w:val="center"/>
          </w:tcPr>
          <w:p w14:paraId="39E6254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auto" w:sz="4" w:space="0"/>
              <w:right w:val="single" w:color="000000" w:sz="4" w:space="0"/>
            </w:tcBorders>
            <w:noWrap/>
            <w:vAlign w:val="center"/>
          </w:tcPr>
          <w:p w14:paraId="22837E6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auto" w:sz="4" w:space="0"/>
              <w:right w:val="single" w:color="000000" w:sz="4" w:space="0"/>
            </w:tcBorders>
            <w:noWrap/>
            <w:vAlign w:val="center"/>
          </w:tcPr>
          <w:p w14:paraId="69654F23">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78FA8DA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50802CB">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04BCC1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948" w:type="pct"/>
            <w:tcBorders>
              <w:top w:val="single" w:color="auto" w:sz="4" w:space="0"/>
              <w:left w:val="single" w:color="auto" w:sz="4" w:space="0"/>
              <w:bottom w:val="single" w:color="auto" w:sz="4" w:space="0"/>
              <w:right w:val="single" w:color="auto" w:sz="4" w:space="0"/>
            </w:tcBorders>
            <w:noWrap/>
            <w:vAlign w:val="center"/>
          </w:tcPr>
          <w:p w14:paraId="516928D5">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4257EE5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D011E0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ED7A6E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1B74EB0D">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5C7281C9">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91554D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5F8811E7">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4,828.49</w:t>
            </w:r>
          </w:p>
        </w:tc>
        <w:tc>
          <w:tcPr>
            <w:tcW w:w="948" w:type="pct"/>
            <w:tcBorders>
              <w:top w:val="single" w:color="auto" w:sz="4" w:space="0"/>
              <w:left w:val="single" w:color="auto" w:sz="4" w:space="0"/>
              <w:bottom w:val="single" w:color="auto" w:sz="4" w:space="0"/>
              <w:right w:val="single" w:color="auto" w:sz="4" w:space="0"/>
            </w:tcBorders>
            <w:noWrap/>
            <w:vAlign w:val="center"/>
          </w:tcPr>
          <w:p w14:paraId="6987B18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D1242D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4,828.49</w:t>
            </w:r>
          </w:p>
        </w:tc>
        <w:tc>
          <w:tcPr>
            <w:tcW w:w="612" w:type="pct"/>
            <w:tcBorders>
              <w:top w:val="single" w:color="auto" w:sz="4" w:space="0"/>
              <w:left w:val="single" w:color="auto" w:sz="4" w:space="0"/>
              <w:bottom w:val="single" w:color="auto" w:sz="4" w:space="0"/>
              <w:right w:val="single" w:color="auto" w:sz="4" w:space="0"/>
            </w:tcBorders>
            <w:noWrap/>
            <w:vAlign w:val="center"/>
          </w:tcPr>
          <w:p w14:paraId="057B812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4,828.49</w:t>
            </w:r>
          </w:p>
        </w:tc>
        <w:tc>
          <w:tcPr>
            <w:tcW w:w="602" w:type="pct"/>
            <w:tcBorders>
              <w:top w:val="single" w:color="auto" w:sz="4" w:space="0"/>
              <w:left w:val="single" w:color="auto" w:sz="4" w:space="0"/>
              <w:bottom w:val="single" w:color="auto" w:sz="4" w:space="0"/>
              <w:right w:val="single" w:color="auto" w:sz="4" w:space="0"/>
            </w:tcBorders>
            <w:noWrap/>
            <w:vAlign w:val="center"/>
          </w:tcPr>
          <w:p w14:paraId="6D1608B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932F43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0.00</w:t>
            </w:r>
          </w:p>
        </w:tc>
      </w:tr>
    </w:tbl>
    <w:p w14:paraId="49A7A1CC">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0C39914">
        <w:tblPrEx>
          <w:tblCellMar>
            <w:top w:w="0" w:type="dxa"/>
            <w:left w:w="108" w:type="dxa"/>
            <w:bottom w:w="0" w:type="dxa"/>
            <w:right w:w="108" w:type="dxa"/>
          </w:tblCellMar>
        </w:tblPrEx>
        <w:trPr>
          <w:trHeight w:val="585" w:hRule="atLeast"/>
          <w:tblHeader/>
        </w:trPr>
        <w:tc>
          <w:tcPr>
            <w:tcW w:w="5000" w:type="pct"/>
            <w:gridSpan w:val="5"/>
            <w:noWrap/>
            <w:vAlign w:val="center"/>
          </w:tcPr>
          <w:p w14:paraId="1B996CA3">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br w:type="page"/>
            </w:r>
            <w:r>
              <w:rPr>
                <w:rFonts w:hint="eastAsia" w:asciiTheme="minorEastAsia" w:hAnsiTheme="minorEastAsia" w:eastAsiaTheme="minorEastAsia" w:cstheme="minorEastAsia"/>
                <w:b/>
                <w:bCs/>
                <w:color w:val="000000"/>
                <w:kern w:val="0"/>
                <w:sz w:val="24"/>
                <w:szCs w:val="24"/>
                <w:u w:val="none"/>
                <w:lang w:bidi="ar"/>
              </w:rPr>
              <w:t>一般公共预算支出表</w:t>
            </w:r>
          </w:p>
        </w:tc>
      </w:tr>
      <w:tr w14:paraId="2B4A4200">
        <w:tblPrEx>
          <w:tblCellMar>
            <w:top w:w="0" w:type="dxa"/>
            <w:left w:w="108" w:type="dxa"/>
            <w:bottom w:w="0" w:type="dxa"/>
            <w:right w:w="108" w:type="dxa"/>
          </w:tblCellMar>
        </w:tblPrEx>
        <w:trPr>
          <w:trHeight w:val="420" w:hRule="atLeast"/>
          <w:tblHeader/>
        </w:trPr>
        <w:tc>
          <w:tcPr>
            <w:tcW w:w="2433" w:type="pct"/>
            <w:gridSpan w:val="2"/>
            <w:noWrap/>
            <w:vAlign w:val="center"/>
          </w:tcPr>
          <w:p w14:paraId="29DAD547">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405兴国县退役军人事务局</w:t>
            </w:r>
          </w:p>
        </w:tc>
        <w:tc>
          <w:tcPr>
            <w:tcW w:w="1056" w:type="pct"/>
            <w:noWrap/>
            <w:vAlign w:val="bottom"/>
          </w:tcPr>
          <w:p w14:paraId="0A572E3C">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84" w:type="pct"/>
            <w:noWrap/>
            <w:vAlign w:val="bottom"/>
          </w:tcPr>
          <w:p w14:paraId="215874E4">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25" w:type="pct"/>
            <w:noWrap/>
            <w:vAlign w:val="center"/>
          </w:tcPr>
          <w:p w14:paraId="10C72679">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1CD1C19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64D775B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030254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10744FA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1C5D06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579" w:type="pct"/>
            <w:tcBorders>
              <w:top w:val="nil"/>
              <w:left w:val="nil"/>
              <w:bottom w:val="single" w:color="000000" w:sz="4" w:space="0"/>
              <w:right w:val="single" w:color="000000" w:sz="4" w:space="0"/>
            </w:tcBorders>
            <w:noWrap/>
            <w:vAlign w:val="center"/>
          </w:tcPr>
          <w:p w14:paraId="0028A45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 xml:space="preserve">科目名称 </w:t>
            </w:r>
          </w:p>
        </w:tc>
        <w:tc>
          <w:tcPr>
            <w:tcW w:w="1056" w:type="pct"/>
            <w:tcBorders>
              <w:top w:val="nil"/>
              <w:left w:val="nil"/>
              <w:bottom w:val="single" w:color="000000" w:sz="4" w:space="0"/>
              <w:right w:val="single" w:color="000000" w:sz="4" w:space="0"/>
            </w:tcBorders>
            <w:noWrap/>
            <w:vAlign w:val="center"/>
          </w:tcPr>
          <w:p w14:paraId="6E6E856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684" w:type="pct"/>
            <w:tcBorders>
              <w:top w:val="nil"/>
              <w:left w:val="nil"/>
              <w:bottom w:val="single" w:color="000000" w:sz="4" w:space="0"/>
              <w:right w:val="single" w:color="000000" w:sz="4" w:space="0"/>
            </w:tcBorders>
            <w:noWrap/>
            <w:vAlign w:val="center"/>
          </w:tcPr>
          <w:p w14:paraId="20F4284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825" w:type="pct"/>
            <w:tcBorders>
              <w:top w:val="nil"/>
              <w:left w:val="nil"/>
              <w:bottom w:val="single" w:color="000000" w:sz="4" w:space="0"/>
              <w:right w:val="single" w:color="000000" w:sz="4" w:space="0"/>
            </w:tcBorders>
            <w:noWrap/>
            <w:vAlign w:val="center"/>
          </w:tcPr>
          <w:p w14:paraId="0C9144D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01F3DBF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790FCA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579" w:type="pct"/>
            <w:tcBorders>
              <w:top w:val="nil"/>
              <w:left w:val="nil"/>
              <w:bottom w:val="nil"/>
              <w:right w:val="single" w:color="000000" w:sz="4" w:space="0"/>
            </w:tcBorders>
            <w:noWrap/>
            <w:vAlign w:val="center"/>
          </w:tcPr>
          <w:p w14:paraId="75A53BB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56" w:type="pct"/>
            <w:tcBorders>
              <w:top w:val="nil"/>
              <w:left w:val="nil"/>
              <w:bottom w:val="nil"/>
              <w:right w:val="single" w:color="000000" w:sz="4" w:space="0"/>
            </w:tcBorders>
            <w:noWrap/>
            <w:vAlign w:val="center"/>
          </w:tcPr>
          <w:p w14:paraId="7C0CB32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684" w:type="pct"/>
            <w:tcBorders>
              <w:top w:val="nil"/>
              <w:left w:val="nil"/>
              <w:bottom w:val="nil"/>
              <w:right w:val="single" w:color="000000" w:sz="4" w:space="0"/>
            </w:tcBorders>
            <w:noWrap/>
            <w:vAlign w:val="center"/>
          </w:tcPr>
          <w:p w14:paraId="01C196F2">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825" w:type="pct"/>
            <w:tcBorders>
              <w:top w:val="nil"/>
              <w:left w:val="nil"/>
              <w:bottom w:val="nil"/>
              <w:right w:val="single" w:color="000000" w:sz="4" w:space="0"/>
            </w:tcBorders>
            <w:noWrap/>
            <w:vAlign w:val="center"/>
          </w:tcPr>
          <w:p w14:paraId="256F9C49">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r w14:paraId="069761A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C16903A">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579" w:type="pct"/>
            <w:tcBorders>
              <w:top w:val="single" w:color="000000" w:sz="4" w:space="0"/>
              <w:left w:val="nil"/>
              <w:bottom w:val="single" w:color="000000" w:sz="4" w:space="0"/>
              <w:right w:val="single" w:color="000000" w:sz="4" w:space="0"/>
            </w:tcBorders>
            <w:noWrap/>
            <w:vAlign w:val="center"/>
          </w:tcPr>
          <w:p w14:paraId="6AAE009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DD1717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3,946.87</w:t>
            </w:r>
          </w:p>
        </w:tc>
        <w:tc>
          <w:tcPr>
            <w:tcW w:w="684" w:type="pct"/>
            <w:tcBorders>
              <w:top w:val="single" w:color="000000" w:sz="4" w:space="0"/>
              <w:left w:val="nil"/>
              <w:bottom w:val="single" w:color="000000" w:sz="4" w:space="0"/>
              <w:right w:val="single" w:color="000000" w:sz="4" w:space="0"/>
            </w:tcBorders>
            <w:noWrap/>
            <w:vAlign w:val="center"/>
          </w:tcPr>
          <w:p w14:paraId="77B2C17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581.69</w:t>
            </w:r>
          </w:p>
        </w:tc>
        <w:tc>
          <w:tcPr>
            <w:tcW w:w="825" w:type="pct"/>
            <w:tcBorders>
              <w:top w:val="single" w:color="000000" w:sz="4" w:space="0"/>
              <w:left w:val="nil"/>
              <w:bottom w:val="single" w:color="000000" w:sz="4" w:space="0"/>
              <w:right w:val="single" w:color="000000" w:sz="4" w:space="0"/>
            </w:tcBorders>
            <w:noWrap/>
            <w:vAlign w:val="center"/>
          </w:tcPr>
          <w:p w14:paraId="3BEE626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3,365.18</w:t>
            </w:r>
          </w:p>
        </w:tc>
      </w:tr>
      <w:tr w14:paraId="44B583B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AF9EF2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CEC8A6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AC5570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2,955.52</w:t>
            </w:r>
          </w:p>
        </w:tc>
        <w:tc>
          <w:tcPr>
            <w:tcW w:w="684" w:type="pct"/>
            <w:tcBorders>
              <w:top w:val="single" w:color="000000" w:sz="4" w:space="0"/>
              <w:left w:val="nil"/>
              <w:bottom w:val="single" w:color="000000" w:sz="4" w:space="0"/>
              <w:right w:val="single" w:color="000000" w:sz="4" w:space="0"/>
            </w:tcBorders>
            <w:noWrap/>
            <w:vAlign w:val="center"/>
          </w:tcPr>
          <w:p w14:paraId="022631A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490.34</w:t>
            </w:r>
          </w:p>
        </w:tc>
        <w:tc>
          <w:tcPr>
            <w:tcW w:w="825" w:type="pct"/>
            <w:tcBorders>
              <w:top w:val="single" w:color="000000" w:sz="4" w:space="0"/>
              <w:left w:val="nil"/>
              <w:bottom w:val="single" w:color="000000" w:sz="4" w:space="0"/>
              <w:right w:val="single" w:color="000000" w:sz="4" w:space="0"/>
            </w:tcBorders>
            <w:noWrap/>
            <w:vAlign w:val="center"/>
          </w:tcPr>
          <w:p w14:paraId="77F3DE0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2,465.18</w:t>
            </w:r>
          </w:p>
        </w:tc>
      </w:tr>
      <w:tr w14:paraId="58F4ADC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54EC0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1452299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6969190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68.87</w:t>
            </w:r>
          </w:p>
        </w:tc>
        <w:tc>
          <w:tcPr>
            <w:tcW w:w="684" w:type="pct"/>
            <w:tcBorders>
              <w:top w:val="single" w:color="000000" w:sz="4" w:space="0"/>
              <w:left w:val="nil"/>
              <w:bottom w:val="single" w:color="000000" w:sz="4" w:space="0"/>
              <w:right w:val="single" w:color="000000" w:sz="4" w:space="0"/>
            </w:tcBorders>
            <w:noWrap/>
            <w:vAlign w:val="center"/>
          </w:tcPr>
          <w:p w14:paraId="18F99C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68.87</w:t>
            </w:r>
          </w:p>
        </w:tc>
        <w:tc>
          <w:tcPr>
            <w:tcW w:w="825" w:type="pct"/>
            <w:tcBorders>
              <w:top w:val="single" w:color="000000" w:sz="4" w:space="0"/>
              <w:left w:val="nil"/>
              <w:bottom w:val="single" w:color="000000" w:sz="4" w:space="0"/>
              <w:right w:val="single" w:color="000000" w:sz="4" w:space="0"/>
            </w:tcBorders>
            <w:noWrap/>
            <w:vAlign w:val="center"/>
          </w:tcPr>
          <w:p w14:paraId="6AEDAAD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D14EC0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ED37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05D8000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07DECF2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11.40</w:t>
            </w:r>
          </w:p>
        </w:tc>
        <w:tc>
          <w:tcPr>
            <w:tcW w:w="684" w:type="pct"/>
            <w:tcBorders>
              <w:top w:val="single" w:color="000000" w:sz="4" w:space="0"/>
              <w:left w:val="nil"/>
              <w:bottom w:val="single" w:color="000000" w:sz="4" w:space="0"/>
              <w:right w:val="single" w:color="000000" w:sz="4" w:space="0"/>
            </w:tcBorders>
            <w:noWrap/>
            <w:vAlign w:val="center"/>
          </w:tcPr>
          <w:p w14:paraId="613AEA4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11.40</w:t>
            </w:r>
          </w:p>
        </w:tc>
        <w:tc>
          <w:tcPr>
            <w:tcW w:w="825" w:type="pct"/>
            <w:tcBorders>
              <w:top w:val="single" w:color="000000" w:sz="4" w:space="0"/>
              <w:left w:val="nil"/>
              <w:bottom w:val="single" w:color="000000" w:sz="4" w:space="0"/>
              <w:right w:val="single" w:color="000000" w:sz="4" w:space="0"/>
            </w:tcBorders>
            <w:noWrap/>
            <w:vAlign w:val="center"/>
          </w:tcPr>
          <w:p w14:paraId="5F419F6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6C451C2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F21CF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B61762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BB1D6F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57.47</w:t>
            </w:r>
          </w:p>
        </w:tc>
        <w:tc>
          <w:tcPr>
            <w:tcW w:w="684" w:type="pct"/>
            <w:tcBorders>
              <w:top w:val="single" w:color="000000" w:sz="4" w:space="0"/>
              <w:left w:val="nil"/>
              <w:bottom w:val="single" w:color="000000" w:sz="4" w:space="0"/>
              <w:right w:val="single" w:color="000000" w:sz="4" w:space="0"/>
            </w:tcBorders>
            <w:noWrap/>
            <w:vAlign w:val="center"/>
          </w:tcPr>
          <w:p w14:paraId="2BEB24B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57.47</w:t>
            </w:r>
          </w:p>
        </w:tc>
        <w:tc>
          <w:tcPr>
            <w:tcW w:w="825" w:type="pct"/>
            <w:tcBorders>
              <w:top w:val="single" w:color="000000" w:sz="4" w:space="0"/>
              <w:left w:val="nil"/>
              <w:bottom w:val="single" w:color="000000" w:sz="4" w:space="0"/>
              <w:right w:val="single" w:color="000000" w:sz="4" w:space="0"/>
            </w:tcBorders>
            <w:noWrap/>
            <w:vAlign w:val="center"/>
          </w:tcPr>
          <w:p w14:paraId="19963C9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531DEB7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629060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5EE3E88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18DDAE1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962.64</w:t>
            </w:r>
          </w:p>
        </w:tc>
        <w:tc>
          <w:tcPr>
            <w:tcW w:w="684" w:type="pct"/>
            <w:tcBorders>
              <w:top w:val="single" w:color="000000" w:sz="4" w:space="0"/>
              <w:left w:val="nil"/>
              <w:bottom w:val="single" w:color="000000" w:sz="4" w:space="0"/>
              <w:right w:val="single" w:color="000000" w:sz="4" w:space="0"/>
            </w:tcBorders>
            <w:noWrap/>
            <w:vAlign w:val="center"/>
          </w:tcPr>
          <w:p w14:paraId="318A3CD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1.04</w:t>
            </w:r>
          </w:p>
        </w:tc>
        <w:tc>
          <w:tcPr>
            <w:tcW w:w="825" w:type="pct"/>
            <w:tcBorders>
              <w:top w:val="single" w:color="000000" w:sz="4" w:space="0"/>
              <w:left w:val="nil"/>
              <w:bottom w:val="single" w:color="000000" w:sz="4" w:space="0"/>
              <w:right w:val="single" w:color="000000" w:sz="4" w:space="0"/>
            </w:tcBorders>
            <w:noWrap/>
            <w:vAlign w:val="center"/>
          </w:tcPr>
          <w:p w14:paraId="0FF690D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961.60</w:t>
            </w:r>
          </w:p>
        </w:tc>
      </w:tr>
      <w:tr w14:paraId="5C867AF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7F4D7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1CD6D8D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4279F49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1.04</w:t>
            </w:r>
          </w:p>
        </w:tc>
        <w:tc>
          <w:tcPr>
            <w:tcW w:w="684" w:type="pct"/>
            <w:tcBorders>
              <w:top w:val="single" w:color="000000" w:sz="4" w:space="0"/>
              <w:left w:val="nil"/>
              <w:bottom w:val="single" w:color="000000" w:sz="4" w:space="0"/>
              <w:right w:val="single" w:color="000000" w:sz="4" w:space="0"/>
            </w:tcBorders>
            <w:noWrap/>
            <w:vAlign w:val="center"/>
          </w:tcPr>
          <w:p w14:paraId="1C7540E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1.04</w:t>
            </w:r>
          </w:p>
        </w:tc>
        <w:tc>
          <w:tcPr>
            <w:tcW w:w="825" w:type="pct"/>
            <w:tcBorders>
              <w:top w:val="single" w:color="000000" w:sz="4" w:space="0"/>
              <w:left w:val="nil"/>
              <w:bottom w:val="single" w:color="000000" w:sz="4" w:space="0"/>
              <w:right w:val="single" w:color="000000" w:sz="4" w:space="0"/>
            </w:tcBorders>
            <w:noWrap/>
            <w:vAlign w:val="center"/>
          </w:tcPr>
          <w:p w14:paraId="3FCB4DF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3AD955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9A75C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2080805</w:t>
            </w:r>
          </w:p>
        </w:tc>
        <w:tc>
          <w:tcPr>
            <w:tcW w:w="1579" w:type="pct"/>
            <w:tcBorders>
              <w:top w:val="single" w:color="000000" w:sz="4" w:space="0"/>
              <w:left w:val="nil"/>
              <w:bottom w:val="single" w:color="000000" w:sz="4" w:space="0"/>
              <w:right w:val="single" w:color="000000" w:sz="4" w:space="0"/>
            </w:tcBorders>
            <w:noWrap/>
            <w:vAlign w:val="center"/>
          </w:tcPr>
          <w:p w14:paraId="2A94D83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义务兵优待</w:t>
            </w:r>
          </w:p>
        </w:tc>
        <w:tc>
          <w:tcPr>
            <w:tcW w:w="1056" w:type="pct"/>
            <w:tcBorders>
              <w:top w:val="single" w:color="000000" w:sz="4" w:space="0"/>
              <w:left w:val="nil"/>
              <w:bottom w:val="single" w:color="000000" w:sz="4" w:space="0"/>
              <w:right w:val="single" w:color="000000" w:sz="4" w:space="0"/>
            </w:tcBorders>
            <w:noWrap/>
            <w:vAlign w:val="center"/>
          </w:tcPr>
          <w:p w14:paraId="1BF72A0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849.60</w:t>
            </w:r>
          </w:p>
        </w:tc>
        <w:tc>
          <w:tcPr>
            <w:tcW w:w="684" w:type="pct"/>
            <w:tcBorders>
              <w:top w:val="single" w:color="000000" w:sz="4" w:space="0"/>
              <w:left w:val="nil"/>
              <w:bottom w:val="single" w:color="000000" w:sz="4" w:space="0"/>
              <w:right w:val="single" w:color="000000" w:sz="4" w:space="0"/>
            </w:tcBorders>
            <w:noWrap/>
            <w:vAlign w:val="center"/>
          </w:tcPr>
          <w:p w14:paraId="4EAF2E3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1BDB1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849.60</w:t>
            </w:r>
          </w:p>
        </w:tc>
      </w:tr>
      <w:tr w14:paraId="14F4B49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33B4A3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2080807</w:t>
            </w:r>
          </w:p>
        </w:tc>
        <w:tc>
          <w:tcPr>
            <w:tcW w:w="1579" w:type="pct"/>
            <w:tcBorders>
              <w:top w:val="single" w:color="000000" w:sz="4" w:space="0"/>
              <w:left w:val="nil"/>
              <w:bottom w:val="single" w:color="000000" w:sz="4" w:space="0"/>
              <w:right w:val="single" w:color="000000" w:sz="4" w:space="0"/>
            </w:tcBorders>
            <w:noWrap/>
            <w:vAlign w:val="center"/>
          </w:tcPr>
          <w:p w14:paraId="25D6222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光荣院</w:t>
            </w:r>
          </w:p>
        </w:tc>
        <w:tc>
          <w:tcPr>
            <w:tcW w:w="1056" w:type="pct"/>
            <w:tcBorders>
              <w:top w:val="single" w:color="000000" w:sz="4" w:space="0"/>
              <w:left w:val="nil"/>
              <w:bottom w:val="single" w:color="000000" w:sz="4" w:space="0"/>
              <w:right w:val="single" w:color="000000" w:sz="4" w:space="0"/>
            </w:tcBorders>
            <w:noWrap/>
            <w:vAlign w:val="center"/>
          </w:tcPr>
          <w:p w14:paraId="6266C8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82.00</w:t>
            </w:r>
          </w:p>
        </w:tc>
        <w:tc>
          <w:tcPr>
            <w:tcW w:w="684" w:type="pct"/>
            <w:tcBorders>
              <w:top w:val="single" w:color="000000" w:sz="4" w:space="0"/>
              <w:left w:val="nil"/>
              <w:bottom w:val="single" w:color="000000" w:sz="4" w:space="0"/>
              <w:right w:val="single" w:color="000000" w:sz="4" w:space="0"/>
            </w:tcBorders>
            <w:noWrap/>
            <w:vAlign w:val="center"/>
          </w:tcPr>
          <w:p w14:paraId="140DA9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32B3A9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82.00</w:t>
            </w:r>
          </w:p>
        </w:tc>
      </w:tr>
      <w:tr w14:paraId="34E0562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702C9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2080808</w:t>
            </w:r>
          </w:p>
        </w:tc>
        <w:tc>
          <w:tcPr>
            <w:tcW w:w="1579" w:type="pct"/>
            <w:tcBorders>
              <w:top w:val="single" w:color="000000" w:sz="4" w:space="0"/>
              <w:left w:val="nil"/>
              <w:bottom w:val="single" w:color="000000" w:sz="4" w:space="0"/>
              <w:right w:val="single" w:color="000000" w:sz="4" w:space="0"/>
            </w:tcBorders>
            <w:noWrap/>
            <w:vAlign w:val="center"/>
          </w:tcPr>
          <w:p w14:paraId="09560B7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褒扬纪念</w:t>
            </w:r>
          </w:p>
        </w:tc>
        <w:tc>
          <w:tcPr>
            <w:tcW w:w="1056" w:type="pct"/>
            <w:tcBorders>
              <w:top w:val="single" w:color="000000" w:sz="4" w:space="0"/>
              <w:left w:val="nil"/>
              <w:bottom w:val="single" w:color="000000" w:sz="4" w:space="0"/>
              <w:right w:val="single" w:color="000000" w:sz="4" w:space="0"/>
            </w:tcBorders>
            <w:noWrap/>
            <w:vAlign w:val="center"/>
          </w:tcPr>
          <w:p w14:paraId="3AA345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c>
          <w:tcPr>
            <w:tcW w:w="684" w:type="pct"/>
            <w:tcBorders>
              <w:top w:val="single" w:color="000000" w:sz="4" w:space="0"/>
              <w:left w:val="nil"/>
              <w:bottom w:val="single" w:color="000000" w:sz="4" w:space="0"/>
              <w:right w:val="single" w:color="000000" w:sz="4" w:space="0"/>
            </w:tcBorders>
            <w:noWrap/>
            <w:vAlign w:val="center"/>
          </w:tcPr>
          <w:p w14:paraId="7130459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D8BA33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r>
      <w:tr w14:paraId="7133C6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684C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20828</w:t>
            </w:r>
          </w:p>
        </w:tc>
        <w:tc>
          <w:tcPr>
            <w:tcW w:w="1579" w:type="pct"/>
            <w:tcBorders>
              <w:top w:val="single" w:color="000000" w:sz="4" w:space="0"/>
              <w:left w:val="nil"/>
              <w:bottom w:val="single" w:color="000000" w:sz="4" w:space="0"/>
              <w:right w:val="single" w:color="000000" w:sz="4" w:space="0"/>
            </w:tcBorders>
            <w:noWrap/>
            <w:vAlign w:val="center"/>
          </w:tcPr>
          <w:p w14:paraId="10B3893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退役军人管理事务</w:t>
            </w:r>
          </w:p>
        </w:tc>
        <w:tc>
          <w:tcPr>
            <w:tcW w:w="1056" w:type="pct"/>
            <w:tcBorders>
              <w:top w:val="single" w:color="000000" w:sz="4" w:space="0"/>
              <w:left w:val="nil"/>
              <w:bottom w:val="single" w:color="000000" w:sz="4" w:space="0"/>
              <w:right w:val="single" w:color="000000" w:sz="4" w:space="0"/>
            </w:tcBorders>
            <w:noWrap/>
            <w:vAlign w:val="center"/>
          </w:tcPr>
          <w:p w14:paraId="2707393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1,921.01</w:t>
            </w:r>
          </w:p>
        </w:tc>
        <w:tc>
          <w:tcPr>
            <w:tcW w:w="684" w:type="pct"/>
            <w:tcBorders>
              <w:top w:val="single" w:color="000000" w:sz="4" w:space="0"/>
              <w:left w:val="nil"/>
              <w:bottom w:val="single" w:color="000000" w:sz="4" w:space="0"/>
              <w:right w:val="single" w:color="000000" w:sz="4" w:space="0"/>
            </w:tcBorders>
            <w:noWrap/>
            <w:vAlign w:val="center"/>
          </w:tcPr>
          <w:p w14:paraId="66A4A9E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417.43</w:t>
            </w:r>
          </w:p>
        </w:tc>
        <w:tc>
          <w:tcPr>
            <w:tcW w:w="825" w:type="pct"/>
            <w:tcBorders>
              <w:top w:val="single" w:color="000000" w:sz="4" w:space="0"/>
              <w:left w:val="nil"/>
              <w:bottom w:val="single" w:color="000000" w:sz="4" w:space="0"/>
              <w:right w:val="single" w:color="000000" w:sz="4" w:space="0"/>
            </w:tcBorders>
            <w:noWrap/>
            <w:vAlign w:val="center"/>
          </w:tcPr>
          <w:p w14:paraId="5C428DC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1,503.58</w:t>
            </w:r>
          </w:p>
        </w:tc>
      </w:tr>
      <w:tr w14:paraId="1B62B9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137401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2082801</w:t>
            </w:r>
          </w:p>
        </w:tc>
        <w:tc>
          <w:tcPr>
            <w:tcW w:w="1579" w:type="pct"/>
            <w:tcBorders>
              <w:top w:val="single" w:color="000000" w:sz="4" w:space="0"/>
              <w:left w:val="nil"/>
              <w:bottom w:val="single" w:color="000000" w:sz="4" w:space="0"/>
              <w:right w:val="single" w:color="000000" w:sz="4" w:space="0"/>
            </w:tcBorders>
            <w:noWrap/>
            <w:vAlign w:val="center"/>
          </w:tcPr>
          <w:p w14:paraId="2057808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5FA5E2E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417.43</w:t>
            </w:r>
          </w:p>
        </w:tc>
        <w:tc>
          <w:tcPr>
            <w:tcW w:w="684" w:type="pct"/>
            <w:tcBorders>
              <w:top w:val="single" w:color="000000" w:sz="4" w:space="0"/>
              <w:left w:val="nil"/>
              <w:bottom w:val="single" w:color="000000" w:sz="4" w:space="0"/>
              <w:right w:val="single" w:color="000000" w:sz="4" w:space="0"/>
            </w:tcBorders>
            <w:noWrap/>
            <w:vAlign w:val="center"/>
          </w:tcPr>
          <w:p w14:paraId="5D4A89B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417.43</w:t>
            </w:r>
          </w:p>
        </w:tc>
        <w:tc>
          <w:tcPr>
            <w:tcW w:w="825" w:type="pct"/>
            <w:tcBorders>
              <w:top w:val="single" w:color="000000" w:sz="4" w:space="0"/>
              <w:left w:val="nil"/>
              <w:bottom w:val="single" w:color="000000" w:sz="4" w:space="0"/>
              <w:right w:val="single" w:color="000000" w:sz="4" w:space="0"/>
            </w:tcBorders>
            <w:noWrap/>
            <w:vAlign w:val="center"/>
          </w:tcPr>
          <w:p w14:paraId="0232036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6047F1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84B50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2082804</w:t>
            </w:r>
          </w:p>
        </w:tc>
        <w:tc>
          <w:tcPr>
            <w:tcW w:w="1579" w:type="pct"/>
            <w:tcBorders>
              <w:top w:val="single" w:color="000000" w:sz="4" w:space="0"/>
              <w:left w:val="nil"/>
              <w:bottom w:val="single" w:color="000000" w:sz="4" w:space="0"/>
              <w:right w:val="single" w:color="000000" w:sz="4" w:space="0"/>
            </w:tcBorders>
            <w:noWrap/>
            <w:vAlign w:val="center"/>
          </w:tcPr>
          <w:p w14:paraId="5C86DF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拥军优属</w:t>
            </w:r>
          </w:p>
        </w:tc>
        <w:tc>
          <w:tcPr>
            <w:tcW w:w="1056" w:type="pct"/>
            <w:tcBorders>
              <w:top w:val="single" w:color="000000" w:sz="4" w:space="0"/>
              <w:left w:val="nil"/>
              <w:bottom w:val="single" w:color="000000" w:sz="4" w:space="0"/>
              <w:right w:val="single" w:color="000000" w:sz="4" w:space="0"/>
            </w:tcBorders>
            <w:noWrap/>
            <w:vAlign w:val="center"/>
          </w:tcPr>
          <w:p w14:paraId="344E64F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c>
          <w:tcPr>
            <w:tcW w:w="684" w:type="pct"/>
            <w:tcBorders>
              <w:top w:val="single" w:color="000000" w:sz="4" w:space="0"/>
              <w:left w:val="nil"/>
              <w:bottom w:val="single" w:color="000000" w:sz="4" w:space="0"/>
              <w:right w:val="single" w:color="000000" w:sz="4" w:space="0"/>
            </w:tcBorders>
            <w:noWrap/>
            <w:vAlign w:val="center"/>
          </w:tcPr>
          <w:p w14:paraId="76DB493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5475F7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30.00</w:t>
            </w:r>
          </w:p>
        </w:tc>
      </w:tr>
      <w:tr w14:paraId="2EACE3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26E20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2082899</w:t>
            </w:r>
          </w:p>
        </w:tc>
        <w:tc>
          <w:tcPr>
            <w:tcW w:w="1579" w:type="pct"/>
            <w:tcBorders>
              <w:top w:val="single" w:color="000000" w:sz="4" w:space="0"/>
              <w:left w:val="nil"/>
              <w:bottom w:val="single" w:color="000000" w:sz="4" w:space="0"/>
              <w:right w:val="single" w:color="000000" w:sz="4" w:space="0"/>
            </w:tcBorders>
            <w:noWrap/>
            <w:vAlign w:val="center"/>
          </w:tcPr>
          <w:p w14:paraId="565C3C2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其他退役军人事务管理支出</w:t>
            </w:r>
          </w:p>
        </w:tc>
        <w:tc>
          <w:tcPr>
            <w:tcW w:w="1056" w:type="pct"/>
            <w:tcBorders>
              <w:top w:val="single" w:color="000000" w:sz="4" w:space="0"/>
              <w:left w:val="nil"/>
              <w:bottom w:val="single" w:color="000000" w:sz="4" w:space="0"/>
              <w:right w:val="single" w:color="000000" w:sz="4" w:space="0"/>
            </w:tcBorders>
            <w:noWrap/>
            <w:vAlign w:val="center"/>
          </w:tcPr>
          <w:p w14:paraId="08A2370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1,473.58</w:t>
            </w:r>
          </w:p>
        </w:tc>
        <w:tc>
          <w:tcPr>
            <w:tcW w:w="684" w:type="pct"/>
            <w:tcBorders>
              <w:top w:val="single" w:color="000000" w:sz="4" w:space="0"/>
              <w:left w:val="nil"/>
              <w:bottom w:val="single" w:color="000000" w:sz="4" w:space="0"/>
              <w:right w:val="single" w:color="000000" w:sz="4" w:space="0"/>
            </w:tcBorders>
            <w:noWrap/>
            <w:vAlign w:val="center"/>
          </w:tcPr>
          <w:p w14:paraId="75AE8C0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3821AA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1,473.58</w:t>
            </w:r>
          </w:p>
        </w:tc>
      </w:tr>
      <w:tr w14:paraId="0719F2D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7CE7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659C152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C88D34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3.00</w:t>
            </w:r>
          </w:p>
        </w:tc>
        <w:tc>
          <w:tcPr>
            <w:tcW w:w="684" w:type="pct"/>
            <w:tcBorders>
              <w:top w:val="single" w:color="000000" w:sz="4" w:space="0"/>
              <w:left w:val="nil"/>
              <w:bottom w:val="single" w:color="000000" w:sz="4" w:space="0"/>
              <w:right w:val="single" w:color="000000" w:sz="4" w:space="0"/>
            </w:tcBorders>
            <w:noWrap/>
            <w:vAlign w:val="center"/>
          </w:tcPr>
          <w:p w14:paraId="7786370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3.00</w:t>
            </w:r>
          </w:p>
        </w:tc>
        <w:tc>
          <w:tcPr>
            <w:tcW w:w="825" w:type="pct"/>
            <w:tcBorders>
              <w:top w:val="single" w:color="000000" w:sz="4" w:space="0"/>
              <w:left w:val="nil"/>
              <w:bottom w:val="single" w:color="000000" w:sz="4" w:space="0"/>
              <w:right w:val="single" w:color="000000" w:sz="4" w:space="0"/>
            </w:tcBorders>
            <w:noWrap/>
            <w:vAlign w:val="center"/>
          </w:tcPr>
          <w:p w14:paraId="4151651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6F449B8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D446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0B9DDCC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77082E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w:t>
            </w:r>
          </w:p>
        </w:tc>
        <w:tc>
          <w:tcPr>
            <w:tcW w:w="684" w:type="pct"/>
            <w:tcBorders>
              <w:top w:val="single" w:color="000000" w:sz="4" w:space="0"/>
              <w:left w:val="nil"/>
              <w:bottom w:val="single" w:color="000000" w:sz="4" w:space="0"/>
              <w:right w:val="single" w:color="000000" w:sz="4" w:space="0"/>
            </w:tcBorders>
            <w:noWrap/>
            <w:vAlign w:val="center"/>
          </w:tcPr>
          <w:p w14:paraId="2B857D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3.00</w:t>
            </w:r>
          </w:p>
        </w:tc>
        <w:tc>
          <w:tcPr>
            <w:tcW w:w="825" w:type="pct"/>
            <w:tcBorders>
              <w:top w:val="single" w:color="000000" w:sz="4" w:space="0"/>
              <w:left w:val="nil"/>
              <w:bottom w:val="single" w:color="000000" w:sz="4" w:space="0"/>
              <w:right w:val="single" w:color="000000" w:sz="4" w:space="0"/>
            </w:tcBorders>
            <w:noWrap/>
            <w:vAlign w:val="center"/>
          </w:tcPr>
          <w:p w14:paraId="7430F8D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0AB97CD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B8ED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B77B91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EF2895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943.29</w:t>
            </w:r>
          </w:p>
        </w:tc>
        <w:tc>
          <w:tcPr>
            <w:tcW w:w="684" w:type="pct"/>
            <w:tcBorders>
              <w:top w:val="single" w:color="000000" w:sz="4" w:space="0"/>
              <w:left w:val="nil"/>
              <w:bottom w:val="single" w:color="000000" w:sz="4" w:space="0"/>
              <w:right w:val="single" w:color="000000" w:sz="4" w:space="0"/>
            </w:tcBorders>
            <w:noWrap/>
            <w:vAlign w:val="center"/>
          </w:tcPr>
          <w:p w14:paraId="3BDB4BE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43.29</w:t>
            </w:r>
          </w:p>
        </w:tc>
        <w:tc>
          <w:tcPr>
            <w:tcW w:w="825" w:type="pct"/>
            <w:tcBorders>
              <w:top w:val="single" w:color="000000" w:sz="4" w:space="0"/>
              <w:left w:val="nil"/>
              <w:bottom w:val="single" w:color="000000" w:sz="4" w:space="0"/>
              <w:right w:val="single" w:color="000000" w:sz="4" w:space="0"/>
            </w:tcBorders>
            <w:noWrap/>
            <w:vAlign w:val="center"/>
          </w:tcPr>
          <w:p w14:paraId="0F6971F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900.00</w:t>
            </w:r>
          </w:p>
        </w:tc>
      </w:tr>
      <w:tr w14:paraId="26616B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5B4C7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3B5B0CB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544730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43.29</w:t>
            </w:r>
          </w:p>
        </w:tc>
        <w:tc>
          <w:tcPr>
            <w:tcW w:w="684" w:type="pct"/>
            <w:tcBorders>
              <w:top w:val="single" w:color="000000" w:sz="4" w:space="0"/>
              <w:left w:val="nil"/>
              <w:bottom w:val="single" w:color="000000" w:sz="4" w:space="0"/>
              <w:right w:val="single" w:color="000000" w:sz="4" w:space="0"/>
            </w:tcBorders>
            <w:noWrap/>
            <w:vAlign w:val="center"/>
          </w:tcPr>
          <w:p w14:paraId="7EF076D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43.29</w:t>
            </w:r>
          </w:p>
        </w:tc>
        <w:tc>
          <w:tcPr>
            <w:tcW w:w="825" w:type="pct"/>
            <w:tcBorders>
              <w:top w:val="single" w:color="000000" w:sz="4" w:space="0"/>
              <w:left w:val="nil"/>
              <w:bottom w:val="single" w:color="000000" w:sz="4" w:space="0"/>
              <w:right w:val="single" w:color="000000" w:sz="4" w:space="0"/>
            </w:tcBorders>
            <w:noWrap/>
            <w:vAlign w:val="center"/>
          </w:tcPr>
          <w:p w14:paraId="16CB240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403CC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2B8A6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321C97B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675365D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24.42</w:t>
            </w:r>
          </w:p>
        </w:tc>
        <w:tc>
          <w:tcPr>
            <w:tcW w:w="684" w:type="pct"/>
            <w:tcBorders>
              <w:top w:val="single" w:color="000000" w:sz="4" w:space="0"/>
              <w:left w:val="nil"/>
              <w:bottom w:val="single" w:color="000000" w:sz="4" w:space="0"/>
              <w:right w:val="single" w:color="000000" w:sz="4" w:space="0"/>
            </w:tcBorders>
            <w:noWrap/>
            <w:vAlign w:val="center"/>
          </w:tcPr>
          <w:p w14:paraId="46200C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24.42</w:t>
            </w:r>
          </w:p>
        </w:tc>
        <w:tc>
          <w:tcPr>
            <w:tcW w:w="825" w:type="pct"/>
            <w:tcBorders>
              <w:top w:val="single" w:color="000000" w:sz="4" w:space="0"/>
              <w:left w:val="nil"/>
              <w:bottom w:val="single" w:color="000000" w:sz="4" w:space="0"/>
              <w:right w:val="single" w:color="000000" w:sz="4" w:space="0"/>
            </w:tcBorders>
            <w:noWrap/>
            <w:vAlign w:val="center"/>
          </w:tcPr>
          <w:p w14:paraId="49A8BE1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70FEBD0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CFB72A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6A3AB47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F70F6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18.87</w:t>
            </w:r>
          </w:p>
        </w:tc>
        <w:tc>
          <w:tcPr>
            <w:tcW w:w="684" w:type="pct"/>
            <w:tcBorders>
              <w:top w:val="single" w:color="000000" w:sz="4" w:space="0"/>
              <w:left w:val="nil"/>
              <w:bottom w:val="single" w:color="000000" w:sz="4" w:space="0"/>
              <w:right w:val="single" w:color="000000" w:sz="4" w:space="0"/>
            </w:tcBorders>
            <w:noWrap/>
            <w:vAlign w:val="center"/>
          </w:tcPr>
          <w:p w14:paraId="5B9851D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18.87</w:t>
            </w:r>
          </w:p>
        </w:tc>
        <w:tc>
          <w:tcPr>
            <w:tcW w:w="825" w:type="pct"/>
            <w:tcBorders>
              <w:top w:val="single" w:color="000000" w:sz="4" w:space="0"/>
              <w:left w:val="nil"/>
              <w:bottom w:val="single" w:color="000000" w:sz="4" w:space="0"/>
              <w:right w:val="single" w:color="000000" w:sz="4" w:space="0"/>
            </w:tcBorders>
            <w:noWrap/>
            <w:vAlign w:val="center"/>
          </w:tcPr>
          <w:p w14:paraId="187954E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25861D9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39C11A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21014</w:t>
            </w:r>
          </w:p>
        </w:tc>
        <w:tc>
          <w:tcPr>
            <w:tcW w:w="1579" w:type="pct"/>
            <w:tcBorders>
              <w:top w:val="single" w:color="000000" w:sz="4" w:space="0"/>
              <w:left w:val="nil"/>
              <w:bottom w:val="single" w:color="000000" w:sz="4" w:space="0"/>
              <w:right w:val="single" w:color="000000" w:sz="4" w:space="0"/>
            </w:tcBorders>
            <w:noWrap/>
            <w:vAlign w:val="center"/>
          </w:tcPr>
          <w:p w14:paraId="6B6607C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优抚对象医疗</w:t>
            </w:r>
          </w:p>
        </w:tc>
        <w:tc>
          <w:tcPr>
            <w:tcW w:w="1056" w:type="pct"/>
            <w:tcBorders>
              <w:top w:val="single" w:color="000000" w:sz="4" w:space="0"/>
              <w:left w:val="nil"/>
              <w:bottom w:val="single" w:color="000000" w:sz="4" w:space="0"/>
              <w:right w:val="single" w:color="000000" w:sz="4" w:space="0"/>
            </w:tcBorders>
            <w:noWrap/>
            <w:vAlign w:val="center"/>
          </w:tcPr>
          <w:p w14:paraId="40A675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900.00</w:t>
            </w:r>
          </w:p>
        </w:tc>
        <w:tc>
          <w:tcPr>
            <w:tcW w:w="684" w:type="pct"/>
            <w:tcBorders>
              <w:top w:val="single" w:color="000000" w:sz="4" w:space="0"/>
              <w:left w:val="nil"/>
              <w:bottom w:val="single" w:color="000000" w:sz="4" w:space="0"/>
              <w:right w:val="single" w:color="000000" w:sz="4" w:space="0"/>
            </w:tcBorders>
            <w:noWrap/>
            <w:vAlign w:val="center"/>
          </w:tcPr>
          <w:p w14:paraId="2326461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1D3D3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900.00</w:t>
            </w:r>
          </w:p>
        </w:tc>
      </w:tr>
      <w:tr w14:paraId="63D89D7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51412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2101401</w:t>
            </w:r>
          </w:p>
        </w:tc>
        <w:tc>
          <w:tcPr>
            <w:tcW w:w="1579" w:type="pct"/>
            <w:tcBorders>
              <w:top w:val="single" w:color="000000" w:sz="4" w:space="0"/>
              <w:left w:val="nil"/>
              <w:bottom w:val="single" w:color="000000" w:sz="4" w:space="0"/>
              <w:right w:val="single" w:color="000000" w:sz="4" w:space="0"/>
            </w:tcBorders>
            <w:noWrap/>
            <w:vAlign w:val="center"/>
          </w:tcPr>
          <w:p w14:paraId="28AF3C2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优抚对象医疗补助</w:t>
            </w:r>
          </w:p>
        </w:tc>
        <w:tc>
          <w:tcPr>
            <w:tcW w:w="1056" w:type="pct"/>
            <w:tcBorders>
              <w:top w:val="single" w:color="000000" w:sz="4" w:space="0"/>
              <w:left w:val="nil"/>
              <w:bottom w:val="single" w:color="000000" w:sz="4" w:space="0"/>
              <w:right w:val="single" w:color="000000" w:sz="4" w:space="0"/>
            </w:tcBorders>
            <w:noWrap/>
            <w:vAlign w:val="center"/>
          </w:tcPr>
          <w:p w14:paraId="2BBB3CD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900.00</w:t>
            </w:r>
          </w:p>
        </w:tc>
        <w:tc>
          <w:tcPr>
            <w:tcW w:w="684" w:type="pct"/>
            <w:tcBorders>
              <w:top w:val="single" w:color="000000" w:sz="4" w:space="0"/>
              <w:left w:val="nil"/>
              <w:bottom w:val="single" w:color="000000" w:sz="4" w:space="0"/>
              <w:right w:val="single" w:color="000000" w:sz="4" w:space="0"/>
            </w:tcBorders>
            <w:noWrap/>
            <w:vAlign w:val="center"/>
          </w:tcPr>
          <w:p w14:paraId="3A4D660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E052E1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900.00</w:t>
            </w:r>
          </w:p>
        </w:tc>
      </w:tr>
      <w:tr w14:paraId="53EB20F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CE77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2E5E21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5C4384B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684" w:type="pct"/>
            <w:tcBorders>
              <w:top w:val="single" w:color="000000" w:sz="4" w:space="0"/>
              <w:left w:val="nil"/>
              <w:bottom w:val="single" w:color="000000" w:sz="4" w:space="0"/>
              <w:right w:val="single" w:color="000000" w:sz="4" w:space="0"/>
            </w:tcBorders>
            <w:noWrap/>
            <w:vAlign w:val="center"/>
          </w:tcPr>
          <w:p w14:paraId="0F04CDE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825" w:type="pct"/>
            <w:tcBorders>
              <w:top w:val="single" w:color="000000" w:sz="4" w:space="0"/>
              <w:left w:val="nil"/>
              <w:bottom w:val="single" w:color="000000" w:sz="4" w:space="0"/>
              <w:right w:val="single" w:color="000000" w:sz="4" w:space="0"/>
            </w:tcBorders>
            <w:noWrap/>
            <w:vAlign w:val="center"/>
          </w:tcPr>
          <w:p w14:paraId="013378A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0AD26A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12BA4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049B6A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7CB46AB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684" w:type="pct"/>
            <w:tcBorders>
              <w:top w:val="single" w:color="000000" w:sz="4" w:space="0"/>
              <w:left w:val="nil"/>
              <w:bottom w:val="single" w:color="000000" w:sz="4" w:space="0"/>
              <w:right w:val="single" w:color="000000" w:sz="4" w:space="0"/>
            </w:tcBorders>
            <w:noWrap/>
            <w:vAlign w:val="center"/>
          </w:tcPr>
          <w:p w14:paraId="7A79D8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48.06</w:t>
            </w:r>
          </w:p>
        </w:tc>
        <w:tc>
          <w:tcPr>
            <w:tcW w:w="825" w:type="pct"/>
            <w:tcBorders>
              <w:top w:val="single" w:color="000000" w:sz="4" w:space="0"/>
              <w:left w:val="nil"/>
              <w:bottom w:val="single" w:color="000000" w:sz="4" w:space="0"/>
              <w:right w:val="single" w:color="000000" w:sz="4" w:space="0"/>
            </w:tcBorders>
            <w:noWrap/>
            <w:vAlign w:val="center"/>
          </w:tcPr>
          <w:p w14:paraId="76D7AC4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519A7A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A7E9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3FD44C8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37EE584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48.06</w:t>
            </w:r>
          </w:p>
        </w:tc>
        <w:tc>
          <w:tcPr>
            <w:tcW w:w="684" w:type="pct"/>
            <w:tcBorders>
              <w:top w:val="single" w:color="000000" w:sz="4" w:space="0"/>
              <w:left w:val="nil"/>
              <w:bottom w:val="single" w:color="000000" w:sz="4" w:space="0"/>
              <w:right w:val="single" w:color="000000" w:sz="4" w:space="0"/>
            </w:tcBorders>
            <w:noWrap/>
            <w:vAlign w:val="center"/>
          </w:tcPr>
          <w:p w14:paraId="7CC64DE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48.06</w:t>
            </w:r>
          </w:p>
        </w:tc>
        <w:tc>
          <w:tcPr>
            <w:tcW w:w="825" w:type="pct"/>
            <w:tcBorders>
              <w:top w:val="single" w:color="000000" w:sz="4" w:space="0"/>
              <w:left w:val="nil"/>
              <w:bottom w:val="single" w:color="000000" w:sz="4" w:space="0"/>
              <w:right w:val="single" w:color="000000" w:sz="4" w:space="0"/>
            </w:tcBorders>
            <w:noWrap/>
            <w:vAlign w:val="center"/>
          </w:tcPr>
          <w:p w14:paraId="619D232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bl>
    <w:p w14:paraId="252ECFCA">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8F1F566">
        <w:tblPrEx>
          <w:tblCellMar>
            <w:top w:w="0" w:type="dxa"/>
            <w:left w:w="108" w:type="dxa"/>
            <w:bottom w:w="0" w:type="dxa"/>
            <w:right w:w="108" w:type="dxa"/>
          </w:tblCellMar>
        </w:tblPrEx>
        <w:trPr>
          <w:trHeight w:val="585" w:hRule="atLeast"/>
        </w:trPr>
        <w:tc>
          <w:tcPr>
            <w:tcW w:w="5000" w:type="pct"/>
            <w:gridSpan w:val="5"/>
            <w:noWrap/>
            <w:vAlign w:val="center"/>
          </w:tcPr>
          <w:p w14:paraId="52927822">
            <w:pPr>
              <w:widowControl/>
              <w:jc w:val="center"/>
              <w:rPr>
                <w:rFonts w:hint="eastAsia" w:ascii="宋体" w:hAnsi="宋体" w:eastAsia="宋体" w:cs="Arial"/>
                <w:b/>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一般公共预算基本支出表</w:t>
            </w:r>
          </w:p>
        </w:tc>
      </w:tr>
      <w:tr w14:paraId="1666388F">
        <w:tblPrEx>
          <w:tblCellMar>
            <w:top w:w="0" w:type="dxa"/>
            <w:left w:w="108" w:type="dxa"/>
            <w:bottom w:w="0" w:type="dxa"/>
            <w:right w:w="108" w:type="dxa"/>
          </w:tblCellMar>
        </w:tblPrEx>
        <w:trPr>
          <w:trHeight w:val="420" w:hRule="atLeast"/>
        </w:trPr>
        <w:tc>
          <w:tcPr>
            <w:tcW w:w="2398" w:type="pct"/>
            <w:gridSpan w:val="2"/>
            <w:noWrap/>
            <w:vAlign w:val="center"/>
          </w:tcPr>
          <w:p w14:paraId="6BCB1387">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405兴国县退役军人事务局</w:t>
            </w:r>
          </w:p>
        </w:tc>
        <w:tc>
          <w:tcPr>
            <w:tcW w:w="891" w:type="pct"/>
            <w:noWrap/>
            <w:vAlign w:val="bottom"/>
          </w:tcPr>
          <w:p w14:paraId="313C12D7">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42" w:type="pct"/>
            <w:noWrap/>
            <w:vAlign w:val="bottom"/>
          </w:tcPr>
          <w:p w14:paraId="3D8BA3A9">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67" w:type="pct"/>
            <w:noWrap/>
            <w:vAlign w:val="center"/>
          </w:tcPr>
          <w:p w14:paraId="0F435873">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34F9189A">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03B946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315540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年基本支出</w:t>
            </w:r>
          </w:p>
        </w:tc>
      </w:tr>
      <w:tr w14:paraId="41E94BF0">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2C4A5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460" w:type="pct"/>
            <w:tcBorders>
              <w:top w:val="nil"/>
              <w:left w:val="nil"/>
              <w:bottom w:val="single" w:color="000000" w:sz="4" w:space="0"/>
              <w:right w:val="nil"/>
            </w:tcBorders>
            <w:noWrap/>
            <w:vAlign w:val="center"/>
          </w:tcPr>
          <w:p w14:paraId="18B8BF9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4CBA12B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842" w:type="pct"/>
            <w:tcBorders>
              <w:top w:val="nil"/>
              <w:left w:val="nil"/>
              <w:bottom w:val="single" w:color="000000" w:sz="4" w:space="0"/>
              <w:right w:val="single" w:color="000000" w:sz="4" w:space="0"/>
            </w:tcBorders>
            <w:noWrap/>
            <w:vAlign w:val="center"/>
          </w:tcPr>
          <w:p w14:paraId="172060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人员经费</w:t>
            </w:r>
          </w:p>
        </w:tc>
        <w:tc>
          <w:tcPr>
            <w:tcW w:w="867" w:type="pct"/>
            <w:tcBorders>
              <w:top w:val="nil"/>
              <w:left w:val="nil"/>
              <w:bottom w:val="single" w:color="000000" w:sz="4" w:space="0"/>
              <w:right w:val="single" w:color="000000" w:sz="4" w:space="0"/>
            </w:tcBorders>
            <w:noWrap/>
            <w:vAlign w:val="center"/>
          </w:tcPr>
          <w:p w14:paraId="70C3C1A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公用经费</w:t>
            </w:r>
          </w:p>
        </w:tc>
      </w:tr>
      <w:tr w14:paraId="2F3C783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CA613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88E27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D0B94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B1192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610088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3</w:t>
            </w:r>
          </w:p>
        </w:tc>
      </w:tr>
      <w:tr w14:paraId="0F1CECC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CFFA1E">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1EBA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6AA71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581.69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BAC75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543.44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E95C2A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38.25</w:t>
            </w:r>
          </w:p>
        </w:tc>
      </w:tr>
      <w:tr w14:paraId="62F01C0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A23EF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7ADF8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76965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529.15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B6C4CC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529.15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25AF0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0E5AEF6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8119C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27F504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A75FE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184.30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3BDF5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184.30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C0BE92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32DB647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00502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57DE8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46E5F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76.76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2A7F4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76.76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822AA4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344A58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C0FD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4BD85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E2DC3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15.21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6936C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15.21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2D29D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3515F8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346E2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69249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98CA1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18.06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D4925E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18.06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50043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5C89366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DFAFA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5913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8AF848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83.00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AECF11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83.00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33F86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3C941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46E101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C89CC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06D92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57.47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F96BF7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57.47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449DA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5D4F3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5D3FA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179D6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443F3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24.42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47A87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24.42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EDEC8F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4DFC47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9D79B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73EFBD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05AAF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18.87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DB07E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18.87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566F9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11D554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7EA572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C4BDBC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64E0B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83B4E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F62E9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253FBDC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84FBA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D239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2D6E8A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48.06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900DB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48.06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DD810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548D502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F7C3B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EC819D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7E3DF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38.25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3129B1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66828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38.25</w:t>
            </w:r>
          </w:p>
        </w:tc>
      </w:tr>
      <w:tr w14:paraId="7630B5E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838892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1EBE23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81626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20.40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86CB7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0333B5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20.40</w:t>
            </w:r>
          </w:p>
        </w:tc>
      </w:tr>
      <w:tr w14:paraId="490F1D6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4438D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34C1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C60A2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69143C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BE27E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10.00</w:t>
            </w:r>
          </w:p>
        </w:tc>
      </w:tr>
      <w:tr w14:paraId="3548A62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B849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6E39D0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631806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7.85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CBE1A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ADBE4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7.85</w:t>
            </w:r>
          </w:p>
        </w:tc>
      </w:tr>
      <w:tr w14:paraId="487D739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1C9A4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65BDEB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0461C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14.29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A9C233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14.29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409BC4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11EE185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5B3F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80080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6551B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11.40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00C1B8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11.40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E02FBD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636D5C8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F014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EB5DB0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23DEA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15BC3A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AC201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0AA2EC8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0D7CA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9E2D8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71706B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2C0C1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5662A3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488E28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81E80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5E953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0CD7C6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F1554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205A2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bl>
    <w:p w14:paraId="049738A3">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CF0CA07">
        <w:tblPrEx>
          <w:tblCellMar>
            <w:top w:w="0" w:type="dxa"/>
            <w:left w:w="108" w:type="dxa"/>
            <w:bottom w:w="0" w:type="dxa"/>
            <w:right w:w="108" w:type="dxa"/>
          </w:tblCellMar>
        </w:tblPrEx>
        <w:trPr>
          <w:trHeight w:val="450" w:hRule="atLeast"/>
          <w:tblHeader/>
        </w:trPr>
        <w:tc>
          <w:tcPr>
            <w:tcW w:w="636" w:type="pct"/>
            <w:noWrap/>
            <w:vAlign w:val="bottom"/>
          </w:tcPr>
          <w:p w14:paraId="66C3EC76">
            <w:pPr>
              <w:widowControl/>
              <w:jc w:val="left"/>
              <w:rPr>
                <w:rFonts w:hint="eastAsia" w:ascii="宋体" w:hAnsi="宋体" w:eastAsia="宋体" w:cs="宋体"/>
                <w:kern w:val="0"/>
                <w:sz w:val="24"/>
                <w:szCs w:val="24"/>
                <w:u w:val="none"/>
              </w:rPr>
            </w:pPr>
            <w:r>
              <w:rPr>
                <w:rFonts w:ascii="Times New Roman" w:hAnsi="Times New Roman" w:eastAsia="宋体"/>
                <w:kern w:val="0"/>
                <w:sz w:val="20"/>
                <w:szCs w:val="20"/>
                <w:u w:val="none"/>
              </w:rPr>
              <w:br w:type="page"/>
            </w:r>
          </w:p>
        </w:tc>
        <w:tc>
          <w:tcPr>
            <w:tcW w:w="303" w:type="pct"/>
            <w:noWrap/>
            <w:vAlign w:val="bottom"/>
          </w:tcPr>
          <w:p w14:paraId="6897D63A">
            <w:pPr>
              <w:widowControl/>
              <w:jc w:val="left"/>
              <w:rPr>
                <w:rFonts w:ascii="Times New Roman" w:hAnsi="Times New Roman" w:eastAsia="宋体"/>
                <w:kern w:val="0"/>
                <w:sz w:val="20"/>
                <w:szCs w:val="20"/>
                <w:u w:val="none"/>
              </w:rPr>
            </w:pPr>
          </w:p>
        </w:tc>
        <w:tc>
          <w:tcPr>
            <w:tcW w:w="684" w:type="pct"/>
            <w:noWrap/>
            <w:vAlign w:val="bottom"/>
          </w:tcPr>
          <w:p w14:paraId="494220C6">
            <w:pPr>
              <w:widowControl/>
              <w:jc w:val="left"/>
              <w:rPr>
                <w:rFonts w:ascii="Times New Roman" w:hAnsi="Times New Roman" w:eastAsia="宋体"/>
                <w:kern w:val="0"/>
                <w:sz w:val="20"/>
                <w:szCs w:val="20"/>
                <w:u w:val="none"/>
              </w:rPr>
            </w:pPr>
          </w:p>
        </w:tc>
        <w:tc>
          <w:tcPr>
            <w:tcW w:w="538" w:type="pct"/>
            <w:noWrap/>
            <w:vAlign w:val="bottom"/>
          </w:tcPr>
          <w:p w14:paraId="623E9D1A">
            <w:pPr>
              <w:widowControl/>
              <w:jc w:val="left"/>
              <w:rPr>
                <w:rFonts w:ascii="Times New Roman" w:hAnsi="Times New Roman" w:eastAsia="宋体"/>
                <w:kern w:val="0"/>
                <w:sz w:val="20"/>
                <w:szCs w:val="20"/>
                <w:u w:val="none"/>
              </w:rPr>
            </w:pPr>
          </w:p>
        </w:tc>
        <w:tc>
          <w:tcPr>
            <w:tcW w:w="2836" w:type="pct"/>
            <w:gridSpan w:val="5"/>
            <w:noWrap/>
            <w:vAlign w:val="center"/>
          </w:tcPr>
          <w:p w14:paraId="0C8AC711">
            <w:pPr>
              <w:widowControl/>
              <w:snapToGrid w:val="0"/>
              <w:jc w:val="right"/>
              <w:textAlignment w:val="center"/>
              <w:rPr>
                <w:rFonts w:hint="eastAsia" w:asciiTheme="minorEastAsia" w:hAnsiTheme="minorEastAsia" w:cstheme="minorEastAsia"/>
                <w:color w:val="000000"/>
                <w:kern w:val="0"/>
                <w:sz w:val="13"/>
                <w:szCs w:val="13"/>
                <w:u w:val="none"/>
                <w:lang w:eastAsia="zh-CN" w:bidi="ar"/>
              </w:rPr>
            </w:pPr>
          </w:p>
        </w:tc>
      </w:tr>
      <w:tr w14:paraId="1FA238E9">
        <w:tblPrEx>
          <w:tblCellMar>
            <w:top w:w="0" w:type="dxa"/>
            <w:left w:w="108" w:type="dxa"/>
            <w:bottom w:w="0" w:type="dxa"/>
            <w:right w:w="108" w:type="dxa"/>
          </w:tblCellMar>
        </w:tblPrEx>
        <w:trPr>
          <w:trHeight w:val="485" w:hRule="atLeast"/>
          <w:tblHeader/>
        </w:trPr>
        <w:tc>
          <w:tcPr>
            <w:tcW w:w="5000" w:type="pct"/>
            <w:gridSpan w:val="9"/>
            <w:noWrap/>
            <w:vAlign w:val="center"/>
          </w:tcPr>
          <w:p w14:paraId="5DE860AA">
            <w:pPr>
              <w:widowControl/>
              <w:snapToGrid w:val="0"/>
              <w:jc w:val="center"/>
              <w:textAlignment w:val="center"/>
              <w:rPr>
                <w:rFonts w:hint="default" w:eastAsia="仿宋_GB2312" w:asciiTheme="minorEastAsia" w:hAnsiTheme="minorEastAsia" w:cstheme="minorEastAsia"/>
                <w:color w:val="000000"/>
                <w:kern w:val="0"/>
                <w:sz w:val="13"/>
                <w:szCs w:val="13"/>
                <w:u w:val="none"/>
                <w:lang w:val="en-US" w:eastAsia="zh-CN" w:bidi="ar"/>
              </w:rPr>
            </w:pPr>
            <w:r>
              <w:rPr>
                <w:rFonts w:hint="eastAsia" w:asciiTheme="minorEastAsia" w:hAnsiTheme="minorEastAsia" w:eastAsiaTheme="minorEastAsia" w:cstheme="minorEastAsia"/>
                <w:b/>
                <w:bCs/>
                <w:color w:val="000000"/>
                <w:kern w:val="0"/>
                <w:sz w:val="24"/>
                <w:szCs w:val="24"/>
                <w:u w:val="none"/>
                <w:lang w:val="en-US" w:eastAsia="zh-CN" w:bidi="ar"/>
              </w:rPr>
              <w:t>财政拨款</w:t>
            </w:r>
            <w:r>
              <w:rPr>
                <w:rFonts w:hint="eastAsia" w:asciiTheme="minorEastAsia" w:hAnsiTheme="minorEastAsia" w:eastAsiaTheme="minorEastAsia" w:cstheme="minorEastAsia"/>
                <w:b/>
                <w:bCs/>
                <w:color w:val="000000"/>
                <w:kern w:val="0"/>
                <w:sz w:val="24"/>
                <w:szCs w:val="24"/>
                <w:u w:val="none"/>
                <w:lang w:bidi="ar"/>
              </w:rPr>
              <w:t>“三公”经费</w:t>
            </w:r>
            <w:r>
              <w:rPr>
                <w:rFonts w:hint="eastAsia" w:asciiTheme="minorEastAsia" w:hAnsiTheme="minorEastAsia" w:eastAsiaTheme="minorEastAsia" w:cstheme="minorEastAsia"/>
                <w:b/>
                <w:bCs/>
                <w:color w:val="000000"/>
                <w:kern w:val="0"/>
                <w:sz w:val="24"/>
                <w:szCs w:val="24"/>
                <w:u w:val="none"/>
                <w:lang w:val="en-US" w:eastAsia="zh-CN" w:bidi="ar"/>
              </w:rPr>
              <w:t>支出表</w:t>
            </w:r>
          </w:p>
        </w:tc>
      </w:tr>
      <w:tr w14:paraId="2B36304F">
        <w:tblPrEx>
          <w:tblCellMar>
            <w:top w:w="0" w:type="dxa"/>
            <w:left w:w="108" w:type="dxa"/>
            <w:bottom w:w="0" w:type="dxa"/>
            <w:right w:w="108" w:type="dxa"/>
          </w:tblCellMar>
        </w:tblPrEx>
        <w:trPr>
          <w:trHeight w:val="340" w:hRule="atLeast"/>
          <w:tblHeader/>
        </w:trPr>
        <w:tc>
          <w:tcPr>
            <w:tcW w:w="2163" w:type="pct"/>
            <w:gridSpan w:val="4"/>
            <w:noWrap/>
            <w:vAlign w:val="center"/>
          </w:tcPr>
          <w:p w14:paraId="5B876C26">
            <w:pPr>
              <w:widowControl/>
              <w:jc w:val="left"/>
              <w:rPr>
                <w:rFonts w:ascii="Times New Roman" w:hAnsi="Times New Roman" w:eastAsia="宋体"/>
                <w:kern w:val="0"/>
                <w:sz w:val="20"/>
                <w:szCs w:val="20"/>
                <w:u w:val="none"/>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405兴国县退役军人事务局</w:t>
            </w:r>
          </w:p>
        </w:tc>
        <w:tc>
          <w:tcPr>
            <w:tcW w:w="742" w:type="pct"/>
            <w:noWrap/>
            <w:vAlign w:val="bottom"/>
          </w:tcPr>
          <w:p w14:paraId="5E63B7C0">
            <w:pPr>
              <w:widowControl/>
              <w:jc w:val="left"/>
              <w:rPr>
                <w:rFonts w:ascii="Times New Roman" w:hAnsi="Times New Roman" w:eastAsia="宋体"/>
                <w:kern w:val="0"/>
                <w:sz w:val="20"/>
                <w:szCs w:val="20"/>
                <w:u w:val="none"/>
              </w:rPr>
            </w:pPr>
          </w:p>
        </w:tc>
        <w:tc>
          <w:tcPr>
            <w:tcW w:w="474" w:type="pct"/>
            <w:noWrap/>
            <w:vAlign w:val="bottom"/>
          </w:tcPr>
          <w:p w14:paraId="1165F96A">
            <w:pPr>
              <w:widowControl/>
              <w:jc w:val="left"/>
              <w:rPr>
                <w:rFonts w:ascii="Times New Roman" w:hAnsi="Times New Roman" w:eastAsia="宋体"/>
                <w:kern w:val="0"/>
                <w:sz w:val="20"/>
                <w:szCs w:val="20"/>
                <w:u w:val="none"/>
              </w:rPr>
            </w:pPr>
          </w:p>
        </w:tc>
        <w:tc>
          <w:tcPr>
            <w:tcW w:w="596" w:type="pct"/>
            <w:noWrap/>
            <w:vAlign w:val="bottom"/>
          </w:tcPr>
          <w:p w14:paraId="0CE95592">
            <w:pPr>
              <w:widowControl/>
              <w:jc w:val="left"/>
              <w:rPr>
                <w:rFonts w:ascii="Times New Roman" w:hAnsi="Times New Roman" w:eastAsia="宋体"/>
                <w:kern w:val="0"/>
                <w:sz w:val="20"/>
                <w:szCs w:val="20"/>
                <w:u w:val="none"/>
              </w:rPr>
            </w:pPr>
          </w:p>
        </w:tc>
        <w:tc>
          <w:tcPr>
            <w:tcW w:w="1023" w:type="pct"/>
            <w:gridSpan w:val="2"/>
            <w:noWrap/>
            <w:vAlign w:val="bottom"/>
          </w:tcPr>
          <w:p w14:paraId="1C4F7612">
            <w:pPr>
              <w:widowControl/>
              <w:snapToGrid w:val="0"/>
              <w:jc w:val="right"/>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单位：万元</w:t>
            </w:r>
          </w:p>
        </w:tc>
      </w:tr>
      <w:tr w14:paraId="06E91222">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53A4B57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04A48E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因公出国</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境</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A1E315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6A76C4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公务用车购置及运行维护费</w:t>
            </w:r>
          </w:p>
        </w:tc>
      </w:tr>
      <w:tr w14:paraId="6405A4B8">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F8E781C">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684" w:type="pct"/>
            <w:tcBorders>
              <w:top w:val="nil"/>
              <w:left w:val="nil"/>
              <w:bottom w:val="single" w:color="000000" w:sz="4" w:space="0"/>
              <w:right w:val="single" w:color="000000" w:sz="4" w:space="0"/>
            </w:tcBorders>
            <w:noWrap/>
            <w:vAlign w:val="center"/>
          </w:tcPr>
          <w:p w14:paraId="0025515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小计</w:t>
            </w:r>
          </w:p>
        </w:tc>
        <w:tc>
          <w:tcPr>
            <w:tcW w:w="538" w:type="pct"/>
            <w:tcBorders>
              <w:top w:val="nil"/>
              <w:left w:val="nil"/>
              <w:bottom w:val="single" w:color="000000" w:sz="4" w:space="0"/>
              <w:right w:val="single" w:color="000000" w:sz="4" w:space="0"/>
            </w:tcBorders>
            <w:vAlign w:val="center"/>
          </w:tcPr>
          <w:p w14:paraId="5BA50D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一般公务出国（境）费</w:t>
            </w:r>
          </w:p>
        </w:tc>
        <w:tc>
          <w:tcPr>
            <w:tcW w:w="742" w:type="pct"/>
            <w:tcBorders>
              <w:top w:val="nil"/>
              <w:left w:val="nil"/>
              <w:bottom w:val="single" w:color="000000" w:sz="4" w:space="0"/>
              <w:right w:val="single" w:color="000000" w:sz="4" w:space="0"/>
            </w:tcBorders>
            <w:vAlign w:val="center"/>
          </w:tcPr>
          <w:p w14:paraId="16FEDBA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0AE1E5B">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596" w:type="pct"/>
            <w:tcBorders>
              <w:top w:val="nil"/>
              <w:left w:val="nil"/>
              <w:bottom w:val="single" w:color="000000" w:sz="4" w:space="0"/>
              <w:right w:val="single" w:color="000000" w:sz="4" w:space="0"/>
            </w:tcBorders>
            <w:noWrap/>
            <w:vAlign w:val="center"/>
          </w:tcPr>
          <w:p w14:paraId="4317C0E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小计</w:t>
            </w:r>
          </w:p>
        </w:tc>
        <w:tc>
          <w:tcPr>
            <w:tcW w:w="543" w:type="pct"/>
            <w:tcBorders>
              <w:top w:val="nil"/>
              <w:left w:val="nil"/>
              <w:bottom w:val="single" w:color="000000" w:sz="4" w:space="0"/>
              <w:right w:val="single" w:color="000000" w:sz="4" w:space="0"/>
            </w:tcBorders>
            <w:vAlign w:val="center"/>
          </w:tcPr>
          <w:p w14:paraId="52130E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公务用车运行维护费</w:t>
            </w:r>
          </w:p>
        </w:tc>
        <w:tc>
          <w:tcPr>
            <w:tcW w:w="479" w:type="pct"/>
            <w:tcBorders>
              <w:top w:val="nil"/>
              <w:left w:val="nil"/>
              <w:bottom w:val="single" w:color="000000" w:sz="4" w:space="0"/>
              <w:right w:val="single" w:color="000000" w:sz="4" w:space="0"/>
            </w:tcBorders>
            <w:noWrap/>
            <w:vAlign w:val="center"/>
          </w:tcPr>
          <w:p w14:paraId="7D67D2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公务用车购置</w:t>
            </w:r>
          </w:p>
        </w:tc>
      </w:tr>
      <w:tr w14:paraId="62FED8B3">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849004D">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val="en-US" w:eastAsia="zh-CN" w:bidi="ar"/>
              </w:rPr>
              <w:t>1</w:t>
            </w:r>
          </w:p>
        </w:tc>
        <w:tc>
          <w:tcPr>
            <w:tcW w:w="684" w:type="pct"/>
            <w:tcBorders>
              <w:top w:val="nil"/>
              <w:left w:val="single" w:color="000000" w:sz="4" w:space="0"/>
              <w:bottom w:val="nil"/>
              <w:right w:val="nil"/>
            </w:tcBorders>
            <w:vAlign w:val="center"/>
          </w:tcPr>
          <w:p w14:paraId="6B8A96C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2</w:t>
            </w:r>
          </w:p>
        </w:tc>
        <w:tc>
          <w:tcPr>
            <w:tcW w:w="538" w:type="pct"/>
            <w:tcBorders>
              <w:top w:val="nil"/>
              <w:left w:val="single" w:color="000000" w:sz="4" w:space="0"/>
              <w:bottom w:val="nil"/>
              <w:right w:val="nil"/>
            </w:tcBorders>
            <w:vAlign w:val="center"/>
          </w:tcPr>
          <w:p w14:paraId="62E00CE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3</w:t>
            </w:r>
          </w:p>
        </w:tc>
        <w:tc>
          <w:tcPr>
            <w:tcW w:w="742" w:type="pct"/>
            <w:tcBorders>
              <w:top w:val="nil"/>
              <w:left w:val="single" w:color="000000" w:sz="4" w:space="0"/>
              <w:bottom w:val="nil"/>
              <w:right w:val="nil"/>
            </w:tcBorders>
            <w:vAlign w:val="center"/>
          </w:tcPr>
          <w:p w14:paraId="6ECC70C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4</w:t>
            </w:r>
          </w:p>
        </w:tc>
        <w:tc>
          <w:tcPr>
            <w:tcW w:w="474" w:type="pct"/>
            <w:tcBorders>
              <w:top w:val="nil"/>
              <w:left w:val="single" w:color="000000" w:sz="4" w:space="0"/>
              <w:bottom w:val="nil"/>
              <w:right w:val="nil"/>
            </w:tcBorders>
            <w:vAlign w:val="center"/>
          </w:tcPr>
          <w:p w14:paraId="50B98A3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5</w:t>
            </w:r>
          </w:p>
        </w:tc>
        <w:tc>
          <w:tcPr>
            <w:tcW w:w="596" w:type="pct"/>
            <w:tcBorders>
              <w:top w:val="nil"/>
              <w:left w:val="single" w:color="000000" w:sz="4" w:space="0"/>
              <w:bottom w:val="nil"/>
              <w:right w:val="nil"/>
            </w:tcBorders>
            <w:vAlign w:val="center"/>
          </w:tcPr>
          <w:p w14:paraId="465B730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6</w:t>
            </w:r>
          </w:p>
        </w:tc>
        <w:tc>
          <w:tcPr>
            <w:tcW w:w="543" w:type="pct"/>
            <w:tcBorders>
              <w:top w:val="nil"/>
              <w:left w:val="single" w:color="000000" w:sz="4" w:space="0"/>
              <w:bottom w:val="nil"/>
              <w:right w:val="nil"/>
            </w:tcBorders>
            <w:vAlign w:val="center"/>
          </w:tcPr>
          <w:p w14:paraId="41A42B2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7</w:t>
            </w:r>
          </w:p>
        </w:tc>
        <w:tc>
          <w:tcPr>
            <w:tcW w:w="479" w:type="pct"/>
            <w:tcBorders>
              <w:top w:val="nil"/>
              <w:left w:val="single" w:color="000000" w:sz="4" w:space="0"/>
              <w:bottom w:val="nil"/>
              <w:right w:val="single" w:color="000000" w:sz="4" w:space="0"/>
            </w:tcBorders>
            <w:vAlign w:val="center"/>
          </w:tcPr>
          <w:p w14:paraId="1717F3D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8</w:t>
            </w:r>
          </w:p>
        </w:tc>
      </w:tr>
      <w:tr w14:paraId="4160696E">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A37392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14.00</w:t>
            </w:r>
          </w:p>
        </w:tc>
        <w:tc>
          <w:tcPr>
            <w:tcW w:w="684" w:type="pct"/>
            <w:tcBorders>
              <w:top w:val="single" w:color="000000" w:sz="4" w:space="0"/>
              <w:left w:val="nil"/>
              <w:bottom w:val="single" w:color="000000" w:sz="4" w:space="0"/>
              <w:right w:val="single" w:color="000000" w:sz="4" w:space="0"/>
            </w:tcBorders>
            <w:vAlign w:val="center"/>
          </w:tcPr>
          <w:p w14:paraId="7F8A925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E819BF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42" w:type="pct"/>
            <w:tcBorders>
              <w:top w:val="single" w:color="000000" w:sz="4" w:space="0"/>
              <w:left w:val="nil"/>
              <w:bottom w:val="single" w:color="000000" w:sz="4" w:space="0"/>
              <w:right w:val="single" w:color="000000" w:sz="4" w:space="0"/>
            </w:tcBorders>
            <w:vAlign w:val="center"/>
          </w:tcPr>
          <w:p w14:paraId="2E8E3DC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474" w:type="pct"/>
            <w:tcBorders>
              <w:top w:val="single" w:color="000000" w:sz="4" w:space="0"/>
              <w:left w:val="nil"/>
              <w:bottom w:val="single" w:color="000000" w:sz="4" w:space="0"/>
              <w:right w:val="nil"/>
            </w:tcBorders>
            <w:vAlign w:val="center"/>
          </w:tcPr>
          <w:p w14:paraId="4BEC396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10.00</w:t>
            </w:r>
          </w:p>
        </w:tc>
        <w:tc>
          <w:tcPr>
            <w:tcW w:w="596" w:type="pct"/>
            <w:tcBorders>
              <w:top w:val="single" w:color="000000" w:sz="4" w:space="0"/>
              <w:left w:val="single" w:color="000000" w:sz="4" w:space="0"/>
              <w:bottom w:val="single" w:color="000000" w:sz="4" w:space="0"/>
              <w:right w:val="nil"/>
            </w:tcBorders>
            <w:vAlign w:val="center"/>
          </w:tcPr>
          <w:p w14:paraId="0511E8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4.00</w:t>
            </w:r>
          </w:p>
        </w:tc>
        <w:tc>
          <w:tcPr>
            <w:tcW w:w="543" w:type="pct"/>
            <w:tcBorders>
              <w:top w:val="single" w:color="000000" w:sz="4" w:space="0"/>
              <w:left w:val="single" w:color="000000" w:sz="4" w:space="0"/>
              <w:bottom w:val="single" w:color="000000" w:sz="4" w:space="0"/>
              <w:right w:val="single" w:color="000000" w:sz="4" w:space="0"/>
            </w:tcBorders>
            <w:vAlign w:val="center"/>
          </w:tcPr>
          <w:p w14:paraId="42B66CB0">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bidi="ar"/>
              </w:rPr>
              <w:t>4.00</w:t>
            </w:r>
          </w:p>
        </w:tc>
        <w:tc>
          <w:tcPr>
            <w:tcW w:w="479" w:type="pct"/>
            <w:tcBorders>
              <w:top w:val="single" w:color="000000" w:sz="4" w:space="0"/>
              <w:left w:val="nil"/>
              <w:bottom w:val="single" w:color="000000" w:sz="4" w:space="0"/>
              <w:right w:val="single" w:color="000000" w:sz="4" w:space="0"/>
            </w:tcBorders>
            <w:vAlign w:val="center"/>
          </w:tcPr>
          <w:p w14:paraId="573104D5">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bidi="ar"/>
              </w:rPr>
              <w:t>0.00</w:t>
            </w:r>
          </w:p>
        </w:tc>
      </w:tr>
    </w:tbl>
    <w:p w14:paraId="42B80ECF">
      <w:pPr>
        <w:widowControl/>
        <w:jc w:val="left"/>
        <w:rPr>
          <w:rStyle w:val="13"/>
          <w:rFonts w:hint="eastAsia" w:ascii="仿宋" w:hAnsi="仿宋" w:eastAsia="仿宋"/>
          <w:bCs/>
          <w:sz w:val="32"/>
          <w:szCs w:val="32"/>
          <w:u w:val="none"/>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0F1CA7CC">
        <w:tblPrEx>
          <w:tblCellMar>
            <w:top w:w="0" w:type="dxa"/>
            <w:left w:w="108" w:type="dxa"/>
            <w:bottom w:w="0" w:type="dxa"/>
            <w:right w:w="108" w:type="dxa"/>
          </w:tblCellMar>
        </w:tblPrEx>
        <w:trPr>
          <w:trHeight w:val="507" w:hRule="atLeast"/>
          <w:tblHeader/>
        </w:trPr>
        <w:tc>
          <w:tcPr>
            <w:tcW w:w="976" w:type="pct"/>
            <w:noWrap/>
            <w:vAlign w:val="bottom"/>
          </w:tcPr>
          <w:p w14:paraId="546B39AE">
            <w:pPr>
              <w:widowControl/>
              <w:jc w:val="left"/>
              <w:rPr>
                <w:rFonts w:hint="eastAsia" w:ascii="宋体" w:hAnsi="宋体" w:eastAsia="宋体" w:cs="宋体"/>
                <w:kern w:val="0"/>
                <w:sz w:val="24"/>
                <w:szCs w:val="24"/>
                <w:u w:val="none"/>
              </w:rPr>
            </w:pPr>
            <w:r>
              <w:rPr>
                <w:rFonts w:ascii="Times New Roman" w:hAnsi="Times New Roman" w:eastAsia="宋体"/>
                <w:kern w:val="0"/>
                <w:sz w:val="20"/>
                <w:szCs w:val="20"/>
                <w:u w:val="none"/>
              </w:rPr>
              <w:br w:type="page"/>
            </w:r>
          </w:p>
        </w:tc>
        <w:tc>
          <w:tcPr>
            <w:tcW w:w="1221" w:type="pct"/>
            <w:noWrap/>
            <w:vAlign w:val="bottom"/>
          </w:tcPr>
          <w:p w14:paraId="1424E49A">
            <w:pPr>
              <w:widowControl/>
              <w:jc w:val="left"/>
              <w:rPr>
                <w:rFonts w:ascii="Times New Roman" w:hAnsi="Times New Roman" w:eastAsia="宋体"/>
                <w:kern w:val="0"/>
                <w:sz w:val="20"/>
                <w:szCs w:val="20"/>
                <w:u w:val="none"/>
              </w:rPr>
            </w:pPr>
          </w:p>
        </w:tc>
        <w:tc>
          <w:tcPr>
            <w:tcW w:w="2801" w:type="pct"/>
            <w:gridSpan w:val="3"/>
            <w:noWrap/>
            <w:vAlign w:val="center"/>
          </w:tcPr>
          <w:p w14:paraId="40A1F8B8">
            <w:pPr>
              <w:widowControl/>
              <w:snapToGrid w:val="0"/>
              <w:jc w:val="righ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eastAsia="zh-CN" w:bidi="ar"/>
              </w:rPr>
              <w:t>注：若为空表，则为该部门（单位）无政府性基金支出</w:t>
            </w:r>
          </w:p>
        </w:tc>
      </w:tr>
      <w:tr w14:paraId="6AF8FD7A">
        <w:tblPrEx>
          <w:tblCellMar>
            <w:top w:w="0" w:type="dxa"/>
            <w:left w:w="108" w:type="dxa"/>
            <w:bottom w:w="0" w:type="dxa"/>
            <w:right w:w="108" w:type="dxa"/>
          </w:tblCellMar>
        </w:tblPrEx>
        <w:trPr>
          <w:trHeight w:val="564" w:hRule="atLeast"/>
          <w:tblHeader/>
        </w:trPr>
        <w:tc>
          <w:tcPr>
            <w:tcW w:w="5000" w:type="pct"/>
            <w:gridSpan w:val="5"/>
            <w:noWrap/>
            <w:vAlign w:val="center"/>
          </w:tcPr>
          <w:p w14:paraId="17A83A14">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政府性基金预算支出表</w:t>
            </w:r>
          </w:p>
        </w:tc>
      </w:tr>
      <w:tr w14:paraId="075B5AE5">
        <w:tblPrEx>
          <w:tblCellMar>
            <w:top w:w="0" w:type="dxa"/>
            <w:left w:w="108" w:type="dxa"/>
            <w:bottom w:w="0" w:type="dxa"/>
            <w:right w:w="108" w:type="dxa"/>
          </w:tblCellMar>
        </w:tblPrEx>
        <w:trPr>
          <w:trHeight w:val="405" w:hRule="atLeast"/>
          <w:tblHeader/>
        </w:trPr>
        <w:tc>
          <w:tcPr>
            <w:tcW w:w="2198" w:type="pct"/>
            <w:gridSpan w:val="2"/>
            <w:noWrap/>
            <w:vAlign w:val="center"/>
          </w:tcPr>
          <w:p w14:paraId="3B861DFB">
            <w:pPr>
              <w:widowControl/>
              <w:jc w:val="both"/>
              <w:rPr>
                <w:rFonts w:hint="eastAsia" w:ascii="宋体" w:hAnsi="宋体" w:eastAsia="宋体" w:cs="Arial"/>
                <w:color w:val="000000"/>
                <w:kern w:val="0"/>
                <w:sz w:val="24"/>
                <w:szCs w:val="24"/>
                <w:u w:val="none"/>
                <w:lang w:eastAsia="zh-CN"/>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405兴国县退役军人事务局</w:t>
            </w:r>
          </w:p>
        </w:tc>
        <w:tc>
          <w:tcPr>
            <w:tcW w:w="1099" w:type="pct"/>
            <w:noWrap/>
            <w:vAlign w:val="bottom"/>
          </w:tcPr>
          <w:p w14:paraId="63D7D826">
            <w:pPr>
              <w:rPr>
                <w:rFonts w:hint="eastAsia" w:ascii="宋体" w:hAnsi="宋体" w:eastAsia="宋体" w:cs="Arial"/>
                <w:color w:val="000000"/>
                <w:kern w:val="0"/>
                <w:sz w:val="24"/>
                <w:szCs w:val="24"/>
                <w:u w:val="none"/>
              </w:rPr>
            </w:pPr>
          </w:p>
        </w:tc>
        <w:tc>
          <w:tcPr>
            <w:tcW w:w="766" w:type="pct"/>
            <w:noWrap/>
            <w:vAlign w:val="bottom"/>
          </w:tcPr>
          <w:p w14:paraId="11860266">
            <w:pPr>
              <w:widowControl/>
              <w:jc w:val="left"/>
              <w:rPr>
                <w:rFonts w:ascii="Times New Roman" w:hAnsi="Times New Roman" w:eastAsia="宋体"/>
                <w:kern w:val="0"/>
                <w:sz w:val="20"/>
                <w:szCs w:val="20"/>
                <w:u w:val="none"/>
              </w:rPr>
            </w:pPr>
          </w:p>
        </w:tc>
        <w:tc>
          <w:tcPr>
            <w:tcW w:w="935" w:type="pct"/>
            <w:noWrap/>
            <w:vAlign w:val="center"/>
          </w:tcPr>
          <w:p w14:paraId="12766C09">
            <w:pPr>
              <w:widowControl/>
              <w:jc w:val="right"/>
              <w:rPr>
                <w:rFonts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单位：万元</w:t>
            </w:r>
          </w:p>
        </w:tc>
      </w:tr>
      <w:tr w14:paraId="353E01E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427BE0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2DF493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44B1109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F174BE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221" w:type="pct"/>
            <w:tcBorders>
              <w:top w:val="nil"/>
              <w:left w:val="nil"/>
              <w:bottom w:val="single" w:color="000000" w:sz="4" w:space="0"/>
              <w:right w:val="single" w:color="000000" w:sz="4" w:space="0"/>
            </w:tcBorders>
            <w:noWrap/>
            <w:vAlign w:val="center"/>
          </w:tcPr>
          <w:p w14:paraId="273ED0A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A73007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766" w:type="pct"/>
            <w:tcBorders>
              <w:top w:val="nil"/>
              <w:left w:val="nil"/>
              <w:bottom w:val="single" w:color="000000" w:sz="4" w:space="0"/>
              <w:right w:val="single" w:color="000000" w:sz="4" w:space="0"/>
            </w:tcBorders>
            <w:noWrap/>
            <w:vAlign w:val="center"/>
          </w:tcPr>
          <w:p w14:paraId="6F82A63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935" w:type="pct"/>
            <w:tcBorders>
              <w:top w:val="nil"/>
              <w:left w:val="nil"/>
              <w:bottom w:val="single" w:color="000000" w:sz="4" w:space="0"/>
              <w:right w:val="single" w:color="000000" w:sz="4" w:space="0"/>
            </w:tcBorders>
            <w:noWrap/>
            <w:vAlign w:val="center"/>
          </w:tcPr>
          <w:p w14:paraId="2181BEC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5A8D007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BCBB3A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221" w:type="pct"/>
            <w:tcBorders>
              <w:top w:val="nil"/>
              <w:left w:val="nil"/>
              <w:bottom w:val="single" w:color="000000" w:sz="4" w:space="0"/>
              <w:right w:val="single" w:color="000000" w:sz="4" w:space="0"/>
            </w:tcBorders>
            <w:noWrap/>
            <w:vAlign w:val="center"/>
          </w:tcPr>
          <w:p w14:paraId="154CA57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99" w:type="pct"/>
            <w:tcBorders>
              <w:top w:val="nil"/>
              <w:left w:val="nil"/>
              <w:bottom w:val="single" w:color="000000" w:sz="4" w:space="0"/>
              <w:right w:val="single" w:color="000000" w:sz="4" w:space="0"/>
            </w:tcBorders>
            <w:noWrap/>
            <w:vAlign w:val="center"/>
          </w:tcPr>
          <w:p w14:paraId="5ED20DB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766" w:type="pct"/>
            <w:tcBorders>
              <w:top w:val="nil"/>
              <w:left w:val="nil"/>
              <w:bottom w:val="single" w:color="000000" w:sz="4" w:space="0"/>
              <w:right w:val="single" w:color="000000" w:sz="4" w:space="0"/>
            </w:tcBorders>
            <w:noWrap/>
            <w:vAlign w:val="center"/>
          </w:tcPr>
          <w:p w14:paraId="789EC893">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935" w:type="pct"/>
            <w:tcBorders>
              <w:top w:val="nil"/>
              <w:left w:val="nil"/>
              <w:bottom w:val="single" w:color="000000" w:sz="4" w:space="0"/>
              <w:right w:val="single" w:color="000000" w:sz="4" w:space="0"/>
            </w:tcBorders>
            <w:noWrap/>
            <w:vAlign w:val="center"/>
          </w:tcPr>
          <w:p w14:paraId="7E674FB2">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bl>
    <w:p w14:paraId="0BB9D5D7">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3CB83129">
        <w:tblPrEx>
          <w:tblCellMar>
            <w:top w:w="0" w:type="dxa"/>
            <w:left w:w="108" w:type="dxa"/>
            <w:bottom w:w="0" w:type="dxa"/>
            <w:right w:w="108" w:type="dxa"/>
          </w:tblCellMar>
        </w:tblPrEx>
        <w:trPr>
          <w:trHeight w:val="619" w:hRule="atLeast"/>
          <w:tblHeader/>
        </w:trPr>
        <w:tc>
          <w:tcPr>
            <w:tcW w:w="960" w:type="pct"/>
            <w:noWrap/>
            <w:vAlign w:val="bottom"/>
          </w:tcPr>
          <w:p w14:paraId="36E14338">
            <w:pPr>
              <w:rPr>
                <w:rStyle w:val="13"/>
                <w:rFonts w:hint="eastAsia" w:ascii="仿宋" w:hAnsi="仿宋" w:eastAsia="仿宋"/>
                <w:bCs/>
                <w:sz w:val="32"/>
                <w:szCs w:val="32"/>
                <w:u w:val="none"/>
              </w:rPr>
            </w:pPr>
          </w:p>
        </w:tc>
        <w:tc>
          <w:tcPr>
            <w:tcW w:w="1233" w:type="pct"/>
            <w:noWrap/>
            <w:vAlign w:val="bottom"/>
          </w:tcPr>
          <w:p w14:paraId="2165980F">
            <w:pPr>
              <w:widowControl/>
              <w:jc w:val="left"/>
              <w:rPr>
                <w:rFonts w:ascii="Times New Roman" w:hAnsi="Times New Roman" w:eastAsia="宋体"/>
                <w:kern w:val="0"/>
                <w:sz w:val="20"/>
                <w:szCs w:val="20"/>
                <w:u w:val="none"/>
              </w:rPr>
            </w:pPr>
          </w:p>
        </w:tc>
        <w:tc>
          <w:tcPr>
            <w:tcW w:w="2805" w:type="pct"/>
            <w:gridSpan w:val="3"/>
            <w:noWrap/>
            <w:vAlign w:val="center"/>
          </w:tcPr>
          <w:p w14:paraId="03EE818E">
            <w:pPr>
              <w:widowControl/>
              <w:jc w:val="right"/>
              <w:rPr>
                <w:rFonts w:ascii="宋体" w:hAnsi="宋体" w:eastAsia="宋体" w:cs="Arial"/>
                <w:color w:val="000000"/>
                <w:kern w:val="0"/>
                <w:sz w:val="24"/>
                <w:szCs w:val="24"/>
                <w:u w:val="none"/>
              </w:rPr>
            </w:pPr>
            <w:r>
              <w:rPr>
                <w:rFonts w:hint="eastAsia" w:ascii="宋体" w:hAnsi="宋体" w:eastAsia="宋体" w:cs="Arial"/>
                <w:color w:val="000000"/>
                <w:kern w:val="0"/>
                <w:sz w:val="18"/>
                <w:szCs w:val="18"/>
                <w:u w:val="none"/>
              </w:rPr>
              <w:t>注：若为空表，则为该部门（单位）无国有资本经营预算支出</w:t>
            </w:r>
          </w:p>
        </w:tc>
      </w:tr>
      <w:tr w14:paraId="6BE33F46">
        <w:tblPrEx>
          <w:tblCellMar>
            <w:top w:w="0" w:type="dxa"/>
            <w:left w:w="108" w:type="dxa"/>
            <w:bottom w:w="0" w:type="dxa"/>
            <w:right w:w="108" w:type="dxa"/>
          </w:tblCellMar>
        </w:tblPrEx>
        <w:trPr>
          <w:trHeight w:val="613" w:hRule="atLeast"/>
          <w:tblHeader/>
        </w:trPr>
        <w:tc>
          <w:tcPr>
            <w:tcW w:w="5000" w:type="pct"/>
            <w:gridSpan w:val="5"/>
            <w:noWrap/>
            <w:vAlign w:val="center"/>
          </w:tcPr>
          <w:p w14:paraId="4AC15A83">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国有资本经营预算支出表</w:t>
            </w:r>
          </w:p>
        </w:tc>
      </w:tr>
      <w:tr w14:paraId="083BD79A">
        <w:tblPrEx>
          <w:tblCellMar>
            <w:top w:w="0" w:type="dxa"/>
            <w:left w:w="108" w:type="dxa"/>
            <w:bottom w:w="0" w:type="dxa"/>
            <w:right w:w="108" w:type="dxa"/>
          </w:tblCellMar>
        </w:tblPrEx>
        <w:trPr>
          <w:trHeight w:val="413" w:hRule="atLeast"/>
          <w:tblHeader/>
        </w:trPr>
        <w:tc>
          <w:tcPr>
            <w:tcW w:w="3282" w:type="pct"/>
            <w:gridSpan w:val="3"/>
            <w:noWrap/>
            <w:vAlign w:val="center"/>
          </w:tcPr>
          <w:p w14:paraId="3A27810C">
            <w:pPr>
              <w:jc w:val="left"/>
              <w:rPr>
                <w:rFonts w:hint="eastAsia"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405兴国县退役军人事务局</w:t>
            </w:r>
          </w:p>
        </w:tc>
        <w:tc>
          <w:tcPr>
            <w:tcW w:w="762" w:type="pct"/>
            <w:noWrap/>
            <w:vAlign w:val="bottom"/>
          </w:tcPr>
          <w:p w14:paraId="18C4F15D">
            <w:pPr>
              <w:widowControl/>
              <w:jc w:val="left"/>
              <w:rPr>
                <w:rFonts w:ascii="Times New Roman" w:hAnsi="Times New Roman" w:eastAsia="宋体"/>
                <w:kern w:val="0"/>
                <w:sz w:val="20"/>
                <w:szCs w:val="20"/>
                <w:u w:val="none"/>
              </w:rPr>
            </w:pPr>
          </w:p>
        </w:tc>
        <w:tc>
          <w:tcPr>
            <w:tcW w:w="954" w:type="pct"/>
            <w:noWrap/>
            <w:vAlign w:val="center"/>
          </w:tcPr>
          <w:p w14:paraId="2697C16B">
            <w:pPr>
              <w:widowControl/>
              <w:jc w:val="right"/>
              <w:rPr>
                <w:rFonts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单位：万元</w:t>
            </w:r>
          </w:p>
        </w:tc>
      </w:tr>
      <w:tr w14:paraId="18EF64EF">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0077B4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4A6C2C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185D284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A5AB5E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233" w:type="pct"/>
            <w:tcBorders>
              <w:top w:val="nil"/>
              <w:left w:val="nil"/>
              <w:bottom w:val="single" w:color="000000" w:sz="4" w:space="0"/>
              <w:right w:val="single" w:color="000000" w:sz="4" w:space="0"/>
            </w:tcBorders>
            <w:noWrap/>
            <w:vAlign w:val="center"/>
          </w:tcPr>
          <w:p w14:paraId="6829ED0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 xml:space="preserve">科目名称 </w:t>
            </w:r>
          </w:p>
        </w:tc>
        <w:tc>
          <w:tcPr>
            <w:tcW w:w="1088" w:type="pct"/>
            <w:tcBorders>
              <w:top w:val="nil"/>
              <w:left w:val="nil"/>
              <w:bottom w:val="single" w:color="000000" w:sz="4" w:space="0"/>
              <w:right w:val="single" w:color="000000" w:sz="4" w:space="0"/>
            </w:tcBorders>
            <w:noWrap/>
            <w:vAlign w:val="center"/>
          </w:tcPr>
          <w:p w14:paraId="5E44D06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762" w:type="pct"/>
            <w:tcBorders>
              <w:top w:val="nil"/>
              <w:left w:val="nil"/>
              <w:bottom w:val="single" w:color="000000" w:sz="4" w:space="0"/>
              <w:right w:val="single" w:color="000000" w:sz="4" w:space="0"/>
            </w:tcBorders>
            <w:noWrap/>
            <w:vAlign w:val="center"/>
          </w:tcPr>
          <w:p w14:paraId="19B97AF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954" w:type="pct"/>
            <w:tcBorders>
              <w:top w:val="nil"/>
              <w:left w:val="nil"/>
              <w:bottom w:val="single" w:color="000000" w:sz="4" w:space="0"/>
              <w:right w:val="single" w:color="000000" w:sz="4" w:space="0"/>
            </w:tcBorders>
            <w:noWrap/>
            <w:vAlign w:val="center"/>
          </w:tcPr>
          <w:p w14:paraId="616353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04CD87D2">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2F347A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46DCF3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B7D290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2CBFDDD">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C28A2B5">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bl>
    <w:p w14:paraId="0A906E43">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164D3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5B2DD5C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027CC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B760804">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06EA9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405</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7999956">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C5473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兴国县退役军人事务局</w:t>
            </w:r>
          </w:p>
        </w:tc>
      </w:tr>
      <w:tr w14:paraId="17771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42C77F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6"/>
                <w:rFonts w:hint="eastAsia" w:asciiTheme="minorEastAsia" w:hAnsiTheme="minorEastAsia" w:eastAsiaTheme="minorEastAsia" w:cstheme="minorEastAsia"/>
                <w:b/>
                <w:bCs/>
                <w:color w:val="000000"/>
                <w:sz w:val="18"/>
                <w:szCs w:val="18"/>
                <w:u w:val="none"/>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41728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1.</w:t>
            </w:r>
            <w:r>
              <w:rPr>
                <w:rFonts w:hint="eastAsia" w:asciiTheme="minorEastAsia" w:hAnsiTheme="minorEastAsia" w:eastAsiaTheme="minorEastAsia" w:cstheme="minorEastAsia"/>
                <w:b w:val="0"/>
                <w:i w:val="0"/>
                <w:iCs w:val="0"/>
                <w:color w:val="000000"/>
                <w:kern w:val="0"/>
                <w:sz w:val="18"/>
                <w:szCs w:val="18"/>
                <w:u w:val="none"/>
                <w:lang w:val="en-US" w:eastAsia="zh-CN" w:bidi="ar"/>
              </w:rPr>
              <w:t>认真落实安置和抚恤优待政策，确保各项待遇政策落到实处。2：助力就业创业，积极推荐就业岗位，组织退役军人参加各级各类就业创业培训；创新军休服务管理方式，认真落实军休干部“两个待遇”。3：一是开展各类关怀慰问活动，大力开展英烈宣传纪念活动；二是积极发挥烈士纪念馆爱国主义教育作用，提升展陈水平。4：做好信访稳控工作，落实“四包一扶”责任机制，把问题解决在基层，把矛盾消除在萌芽状态；巩固双拥创建成果，密切军政军民关系，开创军地共同发展新局面。</w:t>
            </w:r>
          </w:p>
        </w:tc>
      </w:tr>
      <w:tr w14:paraId="2665C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525670C">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5F0E6">
            <w:pPr>
              <w:jc w:val="center"/>
              <w:rPr>
                <w:rFonts w:hint="eastAsia" w:asciiTheme="minorEastAsia" w:hAnsiTheme="minorEastAsia" w:eastAsiaTheme="minorEastAsia" w:cstheme="minorEastAsia"/>
                <w:b w:val="0"/>
                <w:i w:val="0"/>
                <w:iCs w:val="0"/>
                <w:color w:val="000000"/>
                <w:sz w:val="18"/>
                <w:szCs w:val="18"/>
                <w:u w:val="none"/>
              </w:rPr>
            </w:pPr>
          </w:p>
        </w:tc>
      </w:tr>
      <w:tr w14:paraId="05D32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EED9F5C">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C06DF1">
            <w:pPr>
              <w:jc w:val="center"/>
              <w:rPr>
                <w:rFonts w:hint="eastAsia" w:asciiTheme="minorEastAsia" w:hAnsiTheme="minorEastAsia" w:eastAsiaTheme="minorEastAsia" w:cstheme="minorEastAsia"/>
                <w:b w:val="0"/>
                <w:i w:val="0"/>
                <w:iCs w:val="0"/>
                <w:color w:val="000000"/>
                <w:sz w:val="18"/>
                <w:szCs w:val="18"/>
                <w:u w:val="none"/>
              </w:rPr>
            </w:pPr>
          </w:p>
        </w:tc>
      </w:tr>
      <w:tr w14:paraId="3DF28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ABEC4A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DA96B4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90D178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806F17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FB0B38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C0355C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0659A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0F378">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766E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92213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资金使用合规性</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A7C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955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8D855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09DFC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490CD8">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40D96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C913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各项补助经费拨付准确率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E5E4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4755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AD7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64488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4BB16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0FE0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60C9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各项工作完成情况</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B6F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4E11E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4DE2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3D79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AF45E">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BC1C2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6AD07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各项补助经费拨付及时率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644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E0F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3D0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37F37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0BBFC">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8C2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0EAAE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C11D4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93F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4746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0A755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C841A">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CBEE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EC042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14FF0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1760A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7AB0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6C012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C490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EB73C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2A61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EC8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894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753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277E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60D1DE">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91DCE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46977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D00AF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3D0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6B19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329AB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2634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F79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2834F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密切军政军民关系、保持社会稳定、促进经济发展</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A3D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40B3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长期</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04B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344F9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8212E">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D6F69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生态效益指标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BB110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密切军政军民关系，促进社会和谐</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4294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AAAF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长期</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58B1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729F0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D7E266">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478A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可持续影响指标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95A6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保障军队建设需要，鼓励青年积极参军入伍</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1869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EE45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长期</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8F8C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368F6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DDB60">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13D5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5F21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服务群众满意度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B2C59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E168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A71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0FD22918">
      <w:pPr>
        <w:rPr>
          <w:rFonts w:hint="eastAsia"/>
          <w:u w:val="none"/>
          <w:lang w:eastAsia="zh-CN"/>
        </w:rPr>
        <w:sectPr>
          <w:pgSz w:w="11906" w:h="16838"/>
          <w:pgMar w:top="720" w:right="720" w:bottom="720" w:left="720" w:header="851" w:footer="992" w:gutter="0"/>
          <w:cols w:space="425" w:num="1"/>
          <w:docGrid w:type="lines" w:linePitch="312" w:charSpace="0"/>
        </w:sectPr>
      </w:pPr>
    </w:p>
    <w:p w14:paraId="7911AB2B">
      <w:pPr>
        <w:pStyle w:val="18"/>
        <w:numPr>
          <w:ilvl w:val="0"/>
          <w:numId w:val="0"/>
        </w:numPr>
        <w:bidi w:val="0"/>
        <w:jc w:val="both"/>
        <w:rPr>
          <w:rFonts w:hint="eastAsia"/>
          <w:u w:val="none"/>
          <w:lang w:val="en-US" w:eastAsia="zh-CN"/>
        </w:rPr>
      </w:pPr>
    </w:p>
    <w:p w14:paraId="2B361FE2">
      <w:pPr>
        <w:rPr>
          <w:rFonts w:hint="eastAsia"/>
          <w:u w:val="none"/>
          <w:lang w:val="en-US" w:eastAsia="zh-CN"/>
        </w:rPr>
      </w:pPr>
    </w:p>
    <w:p w14:paraId="5C1F048B">
      <w:pPr>
        <w:pStyle w:val="2"/>
        <w:rPr>
          <w:rFonts w:hint="eastAsia"/>
          <w:lang w:val="en-US" w:eastAsia="zh-CN"/>
        </w:rPr>
      </w:pPr>
      <w:r>
        <w:drawing>
          <wp:inline distT="0" distB="0" distL="114300" distR="114300">
            <wp:extent cx="5540375" cy="2990850"/>
            <wp:effectExtent l="0" t="0" r="3175"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5"/>
                    <a:stretch>
                      <a:fillRect/>
                    </a:stretch>
                  </pic:blipFill>
                  <pic:spPr>
                    <a:xfrm>
                      <a:off x="0" y="0"/>
                      <a:ext cx="5540375" cy="2990850"/>
                    </a:xfrm>
                    <a:prstGeom prst="rect">
                      <a:avLst/>
                    </a:prstGeom>
                    <a:noFill/>
                    <a:ln>
                      <a:noFill/>
                    </a:ln>
                  </pic:spPr>
                </pic:pic>
              </a:graphicData>
            </a:graphic>
          </wp:inline>
        </w:drawing>
      </w:r>
    </w:p>
    <w:p w14:paraId="78865E25">
      <w:pPr>
        <w:rPr>
          <w:rFonts w:hint="eastAsia"/>
          <w:u w:val="none"/>
          <w:lang w:val="en-US" w:eastAsia="zh-CN"/>
        </w:rPr>
      </w:pPr>
    </w:p>
    <w:p w14:paraId="6654A589">
      <w:pPr>
        <w:pStyle w:val="2"/>
        <w:rPr>
          <w:rFonts w:hint="eastAsia"/>
          <w:u w:val="none"/>
          <w:lang w:val="en-US" w:eastAsia="zh-CN"/>
        </w:rPr>
      </w:pPr>
    </w:p>
    <w:p w14:paraId="65CDCA16">
      <w:pPr>
        <w:pStyle w:val="2"/>
        <w:rPr>
          <w:rFonts w:hint="eastAsia"/>
          <w:u w:val="none"/>
          <w:lang w:val="en-US" w:eastAsia="zh-CN"/>
        </w:rPr>
      </w:pPr>
    </w:p>
    <w:p w14:paraId="5A9A0680">
      <w:pPr>
        <w:rPr>
          <w:rFonts w:hint="eastAsia"/>
          <w:u w:val="none"/>
          <w:lang w:val="en-US" w:eastAsia="zh-CN"/>
        </w:rPr>
      </w:pPr>
    </w:p>
    <w:p w14:paraId="14812E4C">
      <w:pPr>
        <w:pStyle w:val="2"/>
        <w:rPr>
          <w:rFonts w:hint="eastAsia"/>
          <w:u w:val="none"/>
          <w:lang w:val="en-US" w:eastAsia="zh-CN"/>
        </w:rPr>
      </w:pPr>
    </w:p>
    <w:p w14:paraId="3E9F573F">
      <w:pPr>
        <w:pStyle w:val="2"/>
        <w:rPr>
          <w:rFonts w:hint="eastAsia"/>
          <w:u w:val="none"/>
          <w:lang w:val="en-US" w:eastAsia="zh-CN"/>
        </w:rPr>
      </w:pPr>
    </w:p>
    <w:p w14:paraId="7B1A613D">
      <w:pPr>
        <w:pStyle w:val="2"/>
        <w:rPr>
          <w:rFonts w:hint="eastAsia"/>
          <w:u w:val="none"/>
          <w:lang w:val="en-US" w:eastAsia="zh-CN"/>
        </w:rPr>
      </w:pPr>
    </w:p>
    <w:p w14:paraId="730B5C62">
      <w:pPr>
        <w:pStyle w:val="2"/>
        <w:rPr>
          <w:rFonts w:hint="eastAsia"/>
          <w:u w:val="none"/>
          <w:lang w:val="en-US" w:eastAsia="zh-CN"/>
        </w:rPr>
      </w:pPr>
    </w:p>
    <w:p w14:paraId="53CBEA13">
      <w:pPr>
        <w:pStyle w:val="2"/>
        <w:rPr>
          <w:rFonts w:hint="eastAsia"/>
          <w:u w:val="none"/>
          <w:lang w:val="en-US" w:eastAsia="zh-CN"/>
        </w:rPr>
      </w:pPr>
    </w:p>
    <w:p w14:paraId="271A4325">
      <w:pPr>
        <w:pStyle w:val="2"/>
        <w:rPr>
          <w:rFonts w:hint="eastAsia"/>
          <w:u w:val="none"/>
          <w:lang w:val="en-US" w:eastAsia="zh-CN"/>
        </w:rPr>
      </w:pPr>
    </w:p>
    <w:p w14:paraId="367932F7">
      <w:pPr>
        <w:pStyle w:val="2"/>
        <w:rPr>
          <w:rFonts w:hint="eastAsia"/>
          <w:u w:val="none"/>
          <w:lang w:val="en-US" w:eastAsia="zh-CN"/>
        </w:rPr>
      </w:pPr>
    </w:p>
    <w:p w14:paraId="6B2DA5EA">
      <w:pPr>
        <w:pStyle w:val="18"/>
        <w:numPr>
          <w:ilvl w:val="0"/>
          <w:numId w:val="0"/>
        </w:numPr>
        <w:bidi w:val="0"/>
        <w:jc w:val="both"/>
        <w:rPr>
          <w:rFonts w:hint="eastAsia"/>
          <w:u w:val="none"/>
          <w:lang w:eastAsia="zh-CN"/>
        </w:rPr>
      </w:pPr>
      <w:r>
        <w:rPr>
          <w:rFonts w:hint="eastAsia"/>
          <w:u w:val="none"/>
          <w:lang w:val="en-US" w:eastAsia="zh-CN"/>
        </w:rPr>
        <w:t>第三部分  兴国县退役军人事务局2026年部门预算情况说明</w:t>
      </w:r>
    </w:p>
    <w:p w14:paraId="35221B70">
      <w:pPr>
        <w:widowControl/>
        <w:spacing w:line="580" w:lineRule="exact"/>
        <w:jc w:val="center"/>
        <w:rPr>
          <w:rFonts w:ascii="仿宋_GB2312" w:eastAsia="仿宋_GB2312"/>
          <w:b/>
          <w:sz w:val="32"/>
          <w:szCs w:val="30"/>
          <w:u w:val="none"/>
        </w:rPr>
      </w:pPr>
    </w:p>
    <w:p w14:paraId="08359D6A">
      <w:pPr>
        <w:pStyle w:val="18"/>
        <w:numPr>
          <w:ilvl w:val="0"/>
          <w:numId w:val="0"/>
        </w:numPr>
        <w:bidi w:val="0"/>
        <w:ind w:left="420" w:leftChars="200" w:firstLine="321" w:firstLineChars="100"/>
        <w:rPr>
          <w:rFonts w:ascii="楷体_GB2312" w:eastAsia="楷体_GB2312"/>
          <w:b/>
          <w:sz w:val="32"/>
          <w:szCs w:val="30"/>
          <w:u w:val="none"/>
        </w:rPr>
      </w:pPr>
      <w:r>
        <w:rPr>
          <w:rFonts w:hint="eastAsia" w:ascii="楷体_GB2312" w:eastAsia="楷体_GB2312"/>
          <w:b/>
          <w:sz w:val="32"/>
          <w:szCs w:val="30"/>
          <w:u w:val="none"/>
        </w:rPr>
        <w:t>一、</w:t>
      </w:r>
      <w:r>
        <w:rPr>
          <w:rFonts w:hint="eastAsia" w:ascii="楷体_GB2312" w:eastAsia="楷体_GB2312"/>
          <w:b/>
          <w:sz w:val="32"/>
          <w:szCs w:val="30"/>
          <w:u w:val="none"/>
          <w:lang w:eastAsia="zh-CN"/>
        </w:rPr>
        <w:t>2026</w:t>
      </w:r>
      <w:r>
        <w:rPr>
          <w:rFonts w:hint="eastAsia" w:ascii="楷体_GB2312" w:eastAsia="楷体_GB2312"/>
          <w:b/>
          <w:sz w:val="32"/>
          <w:szCs w:val="30"/>
          <w:u w:val="none"/>
        </w:rPr>
        <w:t>年部门预算收支情况说明</w:t>
      </w:r>
    </w:p>
    <w:p w14:paraId="1C896020">
      <w:pPr>
        <w:pStyle w:val="20"/>
        <w:numPr>
          <w:ilvl w:val="0"/>
          <w:numId w:val="0"/>
        </w:numPr>
        <w:bidi w:val="0"/>
        <w:ind w:left="420" w:leftChars="200"/>
        <w:rPr>
          <w:rFonts w:hint="eastAsia"/>
          <w:u w:val="none"/>
        </w:rPr>
      </w:pPr>
      <w:r>
        <w:rPr>
          <w:rFonts w:hint="eastAsia"/>
          <w:u w:val="none"/>
        </w:rPr>
        <w:t xml:space="preserve"> </w:t>
      </w:r>
      <w:r>
        <w:rPr>
          <w:rFonts w:hint="eastAsia"/>
          <w:u w:val="none"/>
          <w:lang w:eastAsia="zh-CN"/>
        </w:rPr>
        <w:t>（一）</w:t>
      </w:r>
      <w:r>
        <w:rPr>
          <w:rFonts w:hint="eastAsia"/>
          <w:u w:val="none"/>
        </w:rPr>
        <w:t>收入预算情况</w:t>
      </w:r>
    </w:p>
    <w:p w14:paraId="6686340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eastAsia="zh-CN"/>
        </w:rPr>
        <w:t>2026年兴国县退役军人事务局收入预算总额为4928.49万元，较上年预算安排增加</w:t>
      </w:r>
      <w:r>
        <w:rPr>
          <w:rFonts w:hint="eastAsia" w:ascii="仿宋" w:hAnsi="仿宋" w:eastAsia="仿宋" w:cs="仿宋"/>
          <w:b w:val="0"/>
          <w:bCs w:val="0"/>
          <w:color w:val="auto"/>
          <w:sz w:val="32"/>
          <w:szCs w:val="32"/>
          <w:u w:val="none"/>
          <w:lang w:val="en-US" w:eastAsia="zh-CN"/>
        </w:rPr>
        <w:t>207.96</w:t>
      </w:r>
      <w:r>
        <w:rPr>
          <w:rFonts w:hint="eastAsia" w:ascii="仿宋" w:hAnsi="仿宋" w:eastAsia="仿宋" w:cs="仿宋"/>
          <w:b w:val="0"/>
          <w:bCs w:val="0"/>
          <w:color w:val="auto"/>
          <w:sz w:val="32"/>
          <w:szCs w:val="32"/>
          <w:u w:val="none"/>
          <w:lang w:eastAsia="zh-CN"/>
        </w:rPr>
        <w:t>万元，</w:t>
      </w:r>
      <w:r>
        <w:rPr>
          <w:rFonts w:hint="eastAsia" w:ascii="仿宋" w:hAnsi="仿宋" w:eastAsia="仿宋" w:cs="仿宋"/>
          <w:b w:val="0"/>
          <w:bCs w:val="0"/>
          <w:color w:val="auto"/>
          <w:sz w:val="32"/>
          <w:szCs w:val="32"/>
          <w:u w:val="none"/>
          <w:lang w:val="en-US" w:eastAsia="zh-CN"/>
        </w:rPr>
        <w:t>增长了4%，</w:t>
      </w:r>
      <w:r>
        <w:rPr>
          <w:rFonts w:hint="eastAsia" w:ascii="仿宋" w:hAnsi="仿宋" w:eastAsia="仿宋" w:cs="仿宋"/>
          <w:b w:val="0"/>
          <w:bCs w:val="0"/>
          <w:color w:val="auto"/>
          <w:sz w:val="32"/>
          <w:szCs w:val="32"/>
          <w:u w:val="none"/>
          <w:lang w:eastAsia="zh-CN"/>
        </w:rPr>
        <w:t>增减变化主要原因是：</w:t>
      </w:r>
      <w:r>
        <w:rPr>
          <w:rFonts w:hint="eastAsia" w:ascii="仿宋" w:hAnsi="仿宋" w:eastAsia="仿宋" w:cs="仿宋"/>
          <w:b w:val="0"/>
          <w:bCs w:val="0"/>
          <w:color w:val="auto"/>
          <w:sz w:val="32"/>
          <w:szCs w:val="32"/>
          <w:u w:val="none"/>
          <w:lang w:val="en-US" w:eastAsia="zh-CN"/>
        </w:rPr>
        <w:t>义务兵家庭优待金按要求增长7.5%，人员增加，工资正常晋级晋档，上年结转增加。</w:t>
      </w:r>
    </w:p>
    <w:p w14:paraId="565AF07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val="0"/>
          <w:bCs w:val="0"/>
          <w:color w:val="auto"/>
          <w:sz w:val="32"/>
          <w:szCs w:val="32"/>
          <w:u w:val="none"/>
          <w:lang w:eastAsia="zh-CN"/>
        </w:rPr>
      </w:pPr>
      <w:r>
        <w:rPr>
          <w:rFonts w:hint="eastAsia" w:ascii="仿宋" w:hAnsi="仿宋" w:eastAsia="仿宋" w:cs="仿宋"/>
          <w:b w:val="0"/>
          <w:bCs w:val="0"/>
          <w:color w:val="auto"/>
          <w:sz w:val="32"/>
          <w:szCs w:val="32"/>
          <w:u w:val="none"/>
          <w:lang w:eastAsia="zh-CN"/>
        </w:rPr>
        <w:t>本年收入合计4046.87万元，较上年预算安排减少</w:t>
      </w:r>
      <w:r>
        <w:rPr>
          <w:rFonts w:hint="eastAsia" w:ascii="仿宋" w:hAnsi="仿宋" w:eastAsia="仿宋" w:cs="仿宋"/>
          <w:b w:val="0"/>
          <w:bCs w:val="0"/>
          <w:color w:val="auto"/>
          <w:sz w:val="32"/>
          <w:szCs w:val="32"/>
          <w:u w:val="none"/>
          <w:lang w:val="en-US" w:eastAsia="zh-CN"/>
        </w:rPr>
        <w:t>203.66</w:t>
      </w:r>
      <w:r>
        <w:rPr>
          <w:rFonts w:hint="eastAsia" w:ascii="仿宋" w:hAnsi="仿宋" w:eastAsia="仿宋" w:cs="仿宋"/>
          <w:b w:val="0"/>
          <w:bCs w:val="0"/>
          <w:color w:val="auto"/>
          <w:sz w:val="32"/>
          <w:szCs w:val="32"/>
          <w:u w:val="none"/>
          <w:lang w:eastAsia="zh-CN"/>
        </w:rPr>
        <w:t>万元；包括：财政拨款收入3946.87万元，较上年预算安排减少</w:t>
      </w:r>
      <w:r>
        <w:rPr>
          <w:rFonts w:hint="eastAsia" w:ascii="仿宋" w:hAnsi="仿宋" w:eastAsia="仿宋" w:cs="仿宋"/>
          <w:b w:val="0"/>
          <w:bCs w:val="0"/>
          <w:color w:val="auto"/>
          <w:sz w:val="32"/>
          <w:szCs w:val="32"/>
          <w:u w:val="none"/>
          <w:lang w:val="en-US" w:eastAsia="zh-CN"/>
        </w:rPr>
        <w:t>153.66</w:t>
      </w:r>
      <w:r>
        <w:rPr>
          <w:rFonts w:hint="eastAsia" w:ascii="仿宋" w:hAnsi="仿宋" w:eastAsia="仿宋" w:cs="仿宋"/>
          <w:b w:val="0"/>
          <w:bCs w:val="0"/>
          <w:color w:val="auto"/>
          <w:sz w:val="32"/>
          <w:szCs w:val="32"/>
          <w:u w:val="none"/>
          <w:lang w:eastAsia="zh-CN"/>
        </w:rPr>
        <w:t>万元；其他收入100.00万元，较上年预算安排减少</w:t>
      </w:r>
      <w:r>
        <w:rPr>
          <w:rFonts w:hint="eastAsia" w:ascii="仿宋" w:hAnsi="仿宋" w:eastAsia="仿宋" w:cs="仿宋"/>
          <w:b w:val="0"/>
          <w:bCs w:val="0"/>
          <w:color w:val="auto"/>
          <w:sz w:val="32"/>
          <w:szCs w:val="32"/>
          <w:u w:val="none"/>
          <w:lang w:val="en-US" w:eastAsia="zh-CN"/>
        </w:rPr>
        <w:t>50</w:t>
      </w:r>
      <w:r>
        <w:rPr>
          <w:rFonts w:hint="eastAsia" w:ascii="仿宋" w:hAnsi="仿宋" w:eastAsia="仿宋" w:cs="仿宋"/>
          <w:b w:val="0"/>
          <w:bCs w:val="0"/>
          <w:color w:val="auto"/>
          <w:sz w:val="32"/>
          <w:szCs w:val="32"/>
          <w:u w:val="none"/>
          <w:lang w:eastAsia="zh-CN"/>
        </w:rPr>
        <w:t>万元。上年结转881.62万元，较上年预算安排增加</w:t>
      </w:r>
      <w:r>
        <w:rPr>
          <w:rFonts w:hint="eastAsia" w:ascii="仿宋" w:hAnsi="仿宋" w:eastAsia="仿宋" w:cs="仿宋"/>
          <w:b w:val="0"/>
          <w:bCs w:val="0"/>
          <w:color w:val="auto"/>
          <w:sz w:val="32"/>
          <w:szCs w:val="32"/>
          <w:u w:val="none"/>
          <w:lang w:val="en-US" w:eastAsia="zh-CN"/>
        </w:rPr>
        <w:t>411.62</w:t>
      </w:r>
      <w:r>
        <w:rPr>
          <w:rFonts w:hint="eastAsia" w:ascii="仿宋" w:hAnsi="仿宋" w:eastAsia="仿宋" w:cs="仿宋"/>
          <w:b w:val="0"/>
          <w:bCs w:val="0"/>
          <w:color w:val="auto"/>
          <w:sz w:val="32"/>
          <w:szCs w:val="32"/>
          <w:u w:val="none"/>
          <w:lang w:eastAsia="zh-CN"/>
        </w:rPr>
        <w:t>万元。</w:t>
      </w:r>
    </w:p>
    <w:p w14:paraId="6F403EC2">
      <w:pPr>
        <w:pStyle w:val="20"/>
        <w:numPr>
          <w:ilvl w:val="0"/>
          <w:numId w:val="0"/>
        </w:numPr>
        <w:bidi w:val="0"/>
        <w:ind w:left="420" w:leftChars="200"/>
        <w:rPr>
          <w:rFonts w:hint="eastAsia"/>
          <w:u w:val="none"/>
        </w:rPr>
      </w:pPr>
      <w:r>
        <w:rPr>
          <w:rFonts w:hint="eastAsia"/>
          <w:u w:val="none"/>
        </w:rPr>
        <w:t xml:space="preserve"> </w:t>
      </w:r>
      <w:r>
        <w:rPr>
          <w:rFonts w:hint="eastAsia"/>
          <w:u w:val="none"/>
          <w:lang w:eastAsia="zh-CN"/>
        </w:rPr>
        <w:t>（二）</w:t>
      </w:r>
      <w:r>
        <w:rPr>
          <w:rFonts w:hint="eastAsia"/>
          <w:u w:val="none"/>
          <w:lang w:val="en-US" w:eastAsia="zh-CN"/>
        </w:rPr>
        <w:t>支出预算情况</w:t>
      </w:r>
    </w:p>
    <w:p w14:paraId="56AB5B29">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兴国县退役军人事务局</w:t>
      </w:r>
      <w:r>
        <w:rPr>
          <w:rFonts w:hint="eastAsia"/>
          <w:u w:val="none"/>
        </w:rPr>
        <w:t>支出预算总额为4928.49万元</w:t>
      </w:r>
      <w:r>
        <w:rPr>
          <w:rFonts w:hint="eastAsia"/>
          <w:u w:val="none"/>
          <w:lang w:eastAsia="zh-CN"/>
        </w:rPr>
        <w:t>，</w:t>
      </w:r>
      <w:r>
        <w:rPr>
          <w:rFonts w:hint="eastAsia"/>
          <w:u w:val="none"/>
        </w:rPr>
        <w:t>较上年预算安排</w:t>
      </w:r>
      <w:r>
        <w:rPr>
          <w:rFonts w:hint="eastAsia" w:ascii="仿宋" w:hAnsi="仿宋" w:eastAsia="仿宋" w:cs="仿宋"/>
          <w:b w:val="0"/>
          <w:bCs w:val="0"/>
          <w:color w:val="auto"/>
          <w:sz w:val="32"/>
          <w:szCs w:val="32"/>
          <w:u w:val="none"/>
          <w:lang w:eastAsia="zh-CN"/>
        </w:rPr>
        <w:t>增加</w:t>
      </w:r>
      <w:r>
        <w:rPr>
          <w:rFonts w:hint="eastAsia" w:ascii="仿宋" w:hAnsi="仿宋" w:eastAsia="仿宋" w:cs="仿宋"/>
          <w:b w:val="0"/>
          <w:bCs w:val="0"/>
          <w:color w:val="auto"/>
          <w:sz w:val="32"/>
          <w:szCs w:val="32"/>
          <w:u w:val="none"/>
          <w:lang w:val="en-US" w:eastAsia="zh-CN"/>
        </w:rPr>
        <w:t>207.96</w:t>
      </w:r>
      <w:r>
        <w:rPr>
          <w:rFonts w:hint="eastAsia"/>
          <w:u w:val="none"/>
        </w:rPr>
        <w:t>万元</w:t>
      </w:r>
      <w:r>
        <w:rPr>
          <w:rFonts w:hint="eastAsia"/>
          <w:u w:val="none"/>
          <w:lang w:eastAsia="zh-CN"/>
        </w:rPr>
        <w:t>，</w:t>
      </w:r>
      <w:r>
        <w:rPr>
          <w:rFonts w:hint="eastAsia" w:ascii="仿宋" w:hAnsi="仿宋" w:eastAsia="仿宋" w:cs="仿宋"/>
          <w:b w:val="0"/>
          <w:bCs w:val="0"/>
          <w:color w:val="auto"/>
          <w:sz w:val="32"/>
          <w:szCs w:val="32"/>
          <w:u w:val="none"/>
          <w:lang w:val="en-US" w:eastAsia="zh-CN"/>
        </w:rPr>
        <w:t>增长了4%</w:t>
      </w:r>
      <w:r>
        <w:rPr>
          <w:rFonts w:hint="eastAsia"/>
          <w:u w:val="none"/>
        </w:rPr>
        <w:t>。</w:t>
      </w:r>
      <w:r>
        <w:rPr>
          <w:rFonts w:hint="eastAsia" w:ascii="仿宋" w:hAnsi="仿宋" w:eastAsia="仿宋" w:cs="仿宋"/>
          <w:b w:val="0"/>
          <w:bCs w:val="0"/>
          <w:color w:val="auto"/>
          <w:sz w:val="32"/>
          <w:szCs w:val="32"/>
          <w:u w:val="none"/>
          <w:lang w:eastAsia="zh-CN"/>
        </w:rPr>
        <w:t>增减变化主要原因是：</w:t>
      </w:r>
      <w:r>
        <w:rPr>
          <w:rFonts w:hint="eastAsia" w:ascii="仿宋" w:hAnsi="仿宋" w:eastAsia="仿宋" w:cs="仿宋"/>
          <w:b w:val="0"/>
          <w:bCs w:val="0"/>
          <w:color w:val="auto"/>
          <w:sz w:val="32"/>
          <w:szCs w:val="32"/>
          <w:u w:val="none"/>
          <w:lang w:val="en-US" w:eastAsia="zh-CN"/>
        </w:rPr>
        <w:t>义务兵家庭优待金按要求增长7.5%，人员增加，工资正常晋级晋档，上年结转增加。</w:t>
      </w:r>
      <w:r>
        <w:rPr>
          <w:rFonts w:hint="eastAsia"/>
          <w:u w:val="none"/>
        </w:rPr>
        <w:t xml:space="preserve"> </w:t>
      </w:r>
    </w:p>
    <w:p w14:paraId="52C6BE35">
      <w:pPr>
        <w:pStyle w:val="19"/>
        <w:bidi w:val="0"/>
        <w:rPr>
          <w:rFonts w:hint="eastAsia"/>
          <w:u w:val="none"/>
        </w:rPr>
      </w:pPr>
      <w:r>
        <w:rPr>
          <w:rFonts w:hint="eastAsia"/>
          <w:u w:val="none"/>
        </w:rPr>
        <w:t>按支出项目类别划分：基本支出581.69万元</w:t>
      </w:r>
      <w:r>
        <w:rPr>
          <w:rFonts w:hint="eastAsia"/>
          <w:u w:val="none"/>
          <w:lang w:eastAsia="zh-CN"/>
        </w:rPr>
        <w:t>，</w:t>
      </w:r>
      <w:r>
        <w:rPr>
          <w:rFonts w:hint="eastAsia"/>
          <w:u w:val="none"/>
        </w:rPr>
        <w:t>较上年预算安排增加</w:t>
      </w:r>
      <w:r>
        <w:rPr>
          <w:rFonts w:hint="eastAsia"/>
          <w:u w:val="none"/>
          <w:lang w:val="en-US" w:eastAsia="zh-CN"/>
        </w:rPr>
        <w:t>68.66</w:t>
      </w:r>
      <w:r>
        <w:rPr>
          <w:rFonts w:hint="eastAsia"/>
          <w:u w:val="none"/>
        </w:rPr>
        <w:t>万元</w:t>
      </w:r>
      <w:r>
        <w:rPr>
          <w:rFonts w:hint="eastAsia"/>
          <w:u w:val="none"/>
          <w:lang w:eastAsia="zh-CN"/>
        </w:rPr>
        <w:t>；</w:t>
      </w:r>
      <w:r>
        <w:rPr>
          <w:rFonts w:hint="eastAsia"/>
          <w:u w:val="none"/>
        </w:rPr>
        <w:t>项目支出4346.80万元</w:t>
      </w:r>
      <w:r>
        <w:rPr>
          <w:rFonts w:hint="eastAsia"/>
          <w:u w:val="none"/>
          <w:lang w:eastAsia="zh-CN"/>
        </w:rPr>
        <w:t>，</w:t>
      </w:r>
      <w:r>
        <w:rPr>
          <w:rFonts w:hint="eastAsia"/>
          <w:u w:val="none"/>
        </w:rPr>
        <w:t>较上年预算安排增加</w:t>
      </w:r>
      <w:r>
        <w:rPr>
          <w:rFonts w:hint="eastAsia"/>
          <w:u w:val="none"/>
          <w:lang w:val="en-US" w:eastAsia="zh-CN"/>
        </w:rPr>
        <w:t>139.3</w:t>
      </w:r>
      <w:r>
        <w:rPr>
          <w:rFonts w:hint="eastAsia"/>
          <w:u w:val="none"/>
        </w:rPr>
        <w:t>万元。</w:t>
      </w:r>
    </w:p>
    <w:p w14:paraId="5A10A34D">
      <w:pPr>
        <w:pStyle w:val="19"/>
        <w:bidi w:val="0"/>
        <w:rPr>
          <w:rFonts w:hint="eastAsia"/>
          <w:u w:val="none"/>
        </w:rPr>
      </w:pPr>
      <w:r>
        <w:rPr>
          <w:rFonts w:hint="eastAsia"/>
          <w:u w:val="none"/>
        </w:rPr>
        <w:t>按支出功能科目划分：文化旅游体育与传媒支出1.19万元，较上年预算安排增加</w:t>
      </w:r>
      <w:r>
        <w:rPr>
          <w:rFonts w:hint="eastAsia"/>
          <w:u w:val="none"/>
          <w:lang w:val="en-US" w:eastAsia="zh-CN"/>
        </w:rPr>
        <w:t>1.19</w:t>
      </w:r>
      <w:r>
        <w:rPr>
          <w:rFonts w:hint="eastAsia"/>
          <w:u w:val="none"/>
        </w:rPr>
        <w:t>万元；社会保障和就业支出3594.95万元，较上年预算安排增加</w:t>
      </w:r>
      <w:r>
        <w:rPr>
          <w:rFonts w:hint="eastAsia"/>
          <w:u w:val="none"/>
          <w:lang w:val="en-US" w:eastAsia="zh-CN"/>
        </w:rPr>
        <w:t>87.86</w:t>
      </w:r>
      <w:r>
        <w:rPr>
          <w:rFonts w:hint="eastAsia"/>
          <w:u w:val="none"/>
        </w:rPr>
        <w:t>万元；卫生健康支出1184.29万元，较上年预算安排增加</w:t>
      </w:r>
      <w:r>
        <w:rPr>
          <w:rFonts w:hint="eastAsia"/>
          <w:u w:val="none"/>
          <w:lang w:val="en-US" w:eastAsia="zh-CN"/>
        </w:rPr>
        <w:t>165.95</w:t>
      </w:r>
      <w:r>
        <w:rPr>
          <w:rFonts w:hint="eastAsia"/>
          <w:u w:val="none"/>
        </w:rPr>
        <w:t>万元；住房保障支出48.06万元，较上年预算安排增加</w:t>
      </w:r>
      <w:r>
        <w:rPr>
          <w:rFonts w:hint="eastAsia"/>
          <w:u w:val="none"/>
          <w:lang w:val="en-US" w:eastAsia="zh-CN"/>
        </w:rPr>
        <w:t>2.96</w:t>
      </w:r>
      <w:r>
        <w:rPr>
          <w:rFonts w:hint="eastAsia"/>
          <w:u w:val="none"/>
        </w:rPr>
        <w:t>万元；其他支出100.00万元，较上年预算安排减少</w:t>
      </w:r>
      <w:r>
        <w:rPr>
          <w:rFonts w:hint="eastAsia"/>
          <w:u w:val="none"/>
          <w:lang w:val="en-US" w:eastAsia="zh-CN"/>
        </w:rPr>
        <w:t>50</w:t>
      </w:r>
      <w:r>
        <w:rPr>
          <w:rFonts w:hint="eastAsia"/>
          <w:u w:val="none"/>
        </w:rPr>
        <w:t>万元。</w:t>
      </w:r>
    </w:p>
    <w:p w14:paraId="0703AB2E">
      <w:pPr>
        <w:pStyle w:val="19"/>
        <w:bidi w:val="0"/>
        <w:rPr>
          <w:rFonts w:hint="eastAsia"/>
          <w:u w:val="none"/>
        </w:rPr>
      </w:pPr>
      <w:r>
        <w:rPr>
          <w:rFonts w:hint="eastAsia"/>
          <w:u w:val="none"/>
        </w:rPr>
        <w:t>按支出经济分类划分：工资福利支出571.15万元，较上年预算安排增加</w:t>
      </w:r>
      <w:r>
        <w:rPr>
          <w:rFonts w:hint="eastAsia"/>
          <w:u w:val="none"/>
          <w:lang w:val="en-US" w:eastAsia="zh-CN"/>
        </w:rPr>
        <w:t>99.38</w:t>
      </w:r>
      <w:r>
        <w:rPr>
          <w:rFonts w:hint="eastAsia"/>
          <w:u w:val="none"/>
        </w:rPr>
        <w:t>万元；商品和服务支出460.11万元，较上年预算安排增加</w:t>
      </w:r>
      <w:r>
        <w:rPr>
          <w:rFonts w:hint="eastAsia"/>
          <w:u w:val="none"/>
          <w:lang w:val="en-US" w:eastAsia="zh-CN"/>
        </w:rPr>
        <w:t>226.69</w:t>
      </w:r>
      <w:r>
        <w:rPr>
          <w:rFonts w:hint="eastAsia"/>
          <w:u w:val="none"/>
        </w:rPr>
        <w:t>万元；对个人和家庭的补助3893.66万元，较上年预算安排增加</w:t>
      </w:r>
      <w:r>
        <w:rPr>
          <w:rFonts w:hint="eastAsia"/>
          <w:u w:val="none"/>
          <w:lang w:val="en-US" w:eastAsia="zh-CN"/>
        </w:rPr>
        <w:t>38.4</w:t>
      </w:r>
      <w:r>
        <w:rPr>
          <w:rFonts w:hint="eastAsia"/>
          <w:u w:val="none"/>
        </w:rPr>
        <w:t>万元；资本性支出2.45万元，较上年预算安排减少</w:t>
      </w:r>
      <w:r>
        <w:rPr>
          <w:rFonts w:hint="eastAsia"/>
          <w:u w:val="none"/>
          <w:lang w:val="en-US" w:eastAsia="zh-CN"/>
        </w:rPr>
        <w:t>7.63</w:t>
      </w:r>
      <w:r>
        <w:rPr>
          <w:rFonts w:hint="eastAsia"/>
          <w:u w:val="none"/>
        </w:rPr>
        <w:t>万元；其他支出</w:t>
      </w:r>
      <w:r>
        <w:rPr>
          <w:rFonts w:hint="eastAsia"/>
          <w:u w:val="none"/>
          <w:lang w:val="en-US" w:eastAsia="zh-CN"/>
        </w:rPr>
        <w:t>1.12</w:t>
      </w:r>
      <w:r>
        <w:rPr>
          <w:rFonts w:hint="eastAsia"/>
          <w:u w:val="none"/>
        </w:rPr>
        <w:t>万元，较上年预算安排</w:t>
      </w:r>
      <w:r>
        <w:rPr>
          <w:rFonts w:hint="eastAsia"/>
          <w:u w:val="none"/>
          <w:lang w:val="en-US" w:eastAsia="zh-CN"/>
        </w:rPr>
        <w:t>减少148.88</w:t>
      </w:r>
      <w:r>
        <w:rPr>
          <w:rFonts w:hint="eastAsia"/>
          <w:u w:val="none"/>
        </w:rPr>
        <w:t>万元。</w:t>
      </w:r>
    </w:p>
    <w:p w14:paraId="0BA6FDD2">
      <w:pPr>
        <w:pStyle w:val="20"/>
        <w:numPr>
          <w:ilvl w:val="0"/>
          <w:numId w:val="0"/>
        </w:numPr>
        <w:bidi w:val="0"/>
        <w:ind w:left="420" w:leftChars="200"/>
        <w:rPr>
          <w:rFonts w:hint="eastAsia"/>
          <w:u w:val="none"/>
          <w:lang w:val="en-US" w:eastAsia="zh-CN"/>
        </w:rPr>
      </w:pPr>
      <w:r>
        <w:rPr>
          <w:rFonts w:hint="eastAsia"/>
          <w:u w:val="none"/>
          <w:lang w:val="en-US" w:eastAsia="zh-CN"/>
        </w:rPr>
        <w:t xml:space="preserve"> （三）财政拨款支出情况</w:t>
      </w:r>
    </w:p>
    <w:p w14:paraId="66B558DC">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兴国县退役军人事务局</w:t>
      </w:r>
      <w:r>
        <w:rPr>
          <w:rFonts w:hint="eastAsia"/>
          <w:u w:val="none"/>
        </w:rPr>
        <w:t>财政拨款支出预算总额4828.49万元</w:t>
      </w:r>
      <w:r>
        <w:rPr>
          <w:rFonts w:hint="eastAsia"/>
          <w:u w:val="none"/>
          <w:lang w:eastAsia="zh-CN"/>
        </w:rPr>
        <w:t>，</w:t>
      </w:r>
      <w:r>
        <w:rPr>
          <w:rFonts w:hint="eastAsia"/>
          <w:u w:val="none"/>
        </w:rPr>
        <w:t>较上年预算安排增加</w:t>
      </w:r>
      <w:r>
        <w:rPr>
          <w:rFonts w:hint="eastAsia"/>
          <w:u w:val="none"/>
          <w:lang w:val="en-US" w:eastAsia="zh-CN"/>
        </w:rPr>
        <w:t>257.96</w:t>
      </w:r>
      <w:r>
        <w:rPr>
          <w:rFonts w:hint="eastAsia"/>
          <w:u w:val="none"/>
        </w:rPr>
        <w:t>万元</w:t>
      </w:r>
      <w:r>
        <w:rPr>
          <w:rFonts w:hint="eastAsia"/>
          <w:u w:val="none"/>
          <w:lang w:eastAsia="zh-CN"/>
        </w:rPr>
        <w:t>，</w:t>
      </w:r>
      <w:r>
        <w:rPr>
          <w:rFonts w:hint="eastAsia"/>
          <w:u w:val="none"/>
          <w:lang w:val="en-US" w:eastAsia="zh-CN"/>
        </w:rPr>
        <w:t>增长了6%</w:t>
      </w:r>
      <w:r>
        <w:rPr>
          <w:rFonts w:hint="eastAsia"/>
          <w:u w:val="none"/>
        </w:rPr>
        <w:t>。</w:t>
      </w:r>
      <w:r>
        <w:rPr>
          <w:rFonts w:hint="eastAsia" w:ascii="仿宋" w:hAnsi="仿宋" w:eastAsia="仿宋" w:cs="仿宋"/>
          <w:b w:val="0"/>
          <w:bCs w:val="0"/>
          <w:color w:val="auto"/>
          <w:sz w:val="32"/>
          <w:szCs w:val="32"/>
          <w:u w:val="none"/>
          <w:lang w:eastAsia="zh-CN"/>
        </w:rPr>
        <w:t>增减变化主要原因是：</w:t>
      </w:r>
      <w:r>
        <w:rPr>
          <w:rFonts w:hint="eastAsia" w:ascii="仿宋" w:hAnsi="仿宋" w:eastAsia="仿宋" w:cs="仿宋"/>
          <w:b w:val="0"/>
          <w:bCs w:val="0"/>
          <w:color w:val="auto"/>
          <w:sz w:val="32"/>
          <w:szCs w:val="32"/>
          <w:u w:val="none"/>
          <w:lang w:val="en-US" w:eastAsia="zh-CN"/>
        </w:rPr>
        <w:t>义务兵家庭优待金按要求增长7.5%，人员增加，工资正常晋级晋档，上年结转增加。</w:t>
      </w:r>
      <w:r>
        <w:rPr>
          <w:rFonts w:hint="eastAsia"/>
          <w:u w:val="none"/>
        </w:rPr>
        <w:t xml:space="preserve"> </w:t>
      </w:r>
    </w:p>
    <w:p w14:paraId="37D8614C">
      <w:pPr>
        <w:pStyle w:val="19"/>
        <w:bidi w:val="0"/>
        <w:rPr>
          <w:rFonts w:hint="eastAsia"/>
          <w:u w:val="none"/>
        </w:rPr>
      </w:pPr>
      <w:r>
        <w:rPr>
          <w:rFonts w:hint="eastAsia"/>
          <w:u w:val="none"/>
        </w:rPr>
        <w:t>按支出功能科目划分：文化旅游体育与传媒支出1.19万元，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加1.19</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社会保障和就业支出3594.95万元，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加87.86</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卫生健康支出1184.29万元，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加165.95</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住房保障支出48.06万元</w:t>
      </w:r>
      <w:r>
        <w:rPr>
          <w:rFonts w:hint="eastAsia"/>
          <w:u w:val="none"/>
          <w:lang w:eastAsia="zh-CN"/>
        </w:rPr>
        <w:t>，</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加2.96</w:t>
      </w:r>
      <w:r>
        <w:rPr>
          <w:rFonts w:hint="eastAsia" w:ascii="仿宋" w:hAnsi="仿宋" w:eastAsia="仿宋" w:cs="仿宋"/>
          <w:b w:val="0"/>
          <w:bCs w:val="0"/>
          <w:color w:val="auto"/>
          <w:spacing w:val="10"/>
          <w:sz w:val="30"/>
          <w:szCs w:val="30"/>
          <w:u w:val="none"/>
        </w:rPr>
        <w:t>万元</w:t>
      </w:r>
      <w:r>
        <w:rPr>
          <w:rFonts w:hint="eastAsia"/>
          <w:u w:val="none"/>
        </w:rPr>
        <w:t>。</w:t>
      </w:r>
    </w:p>
    <w:p w14:paraId="53F59826">
      <w:pPr>
        <w:pStyle w:val="19"/>
        <w:bidi w:val="0"/>
        <w:rPr>
          <w:rFonts w:hint="eastAsia"/>
          <w:u w:val="none"/>
        </w:rPr>
      </w:pPr>
      <w:r>
        <w:rPr>
          <w:rFonts w:hint="eastAsia"/>
          <w:u w:val="none"/>
        </w:rPr>
        <w:t>按支出项目类别划分：基本支出581.69万元</w:t>
      </w:r>
      <w:r>
        <w:rPr>
          <w:rFonts w:hint="eastAsia"/>
          <w:u w:val="none"/>
          <w:lang w:eastAsia="zh-CN"/>
        </w:rPr>
        <w:t>，</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加68.66</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项目支出4246.80万元</w:t>
      </w:r>
      <w:r>
        <w:rPr>
          <w:rFonts w:hint="eastAsia"/>
          <w:u w:val="none"/>
          <w:lang w:eastAsia="zh-CN"/>
        </w:rPr>
        <w:t>，</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加189.3</w:t>
      </w:r>
      <w:r>
        <w:rPr>
          <w:rFonts w:hint="eastAsia" w:ascii="仿宋" w:hAnsi="仿宋" w:eastAsia="仿宋" w:cs="仿宋"/>
          <w:b w:val="0"/>
          <w:bCs w:val="0"/>
          <w:color w:val="auto"/>
          <w:spacing w:val="10"/>
          <w:sz w:val="30"/>
          <w:szCs w:val="30"/>
          <w:u w:val="none"/>
        </w:rPr>
        <w:t>万元</w:t>
      </w:r>
      <w:r>
        <w:rPr>
          <w:rFonts w:hint="eastAsia"/>
          <w:u w:val="none"/>
        </w:rPr>
        <w:t>。</w:t>
      </w:r>
    </w:p>
    <w:p w14:paraId="2902EF3C">
      <w:pPr>
        <w:pStyle w:val="19"/>
        <w:bidi w:val="0"/>
        <w:rPr>
          <w:rFonts w:hint="eastAsia"/>
          <w:u w:val="none"/>
        </w:rPr>
      </w:pPr>
      <w:r>
        <w:rPr>
          <w:rFonts w:hint="eastAsia"/>
          <w:u w:val="none"/>
        </w:rPr>
        <w:t>按支</w:t>
      </w:r>
      <w:r>
        <w:rPr>
          <w:rFonts w:hint="eastAsia"/>
          <w:u w:val="none"/>
          <w:lang w:val="en-US" w:eastAsia="zh-CN"/>
        </w:rPr>
        <w:t>出经济分类</w:t>
      </w:r>
      <w:r>
        <w:rPr>
          <w:rFonts w:hint="eastAsia"/>
          <w:u w:val="none"/>
        </w:rPr>
        <w:t>划分：工资福利支出571.15万元，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加99.38</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商品和服务支出360.11万元，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加126.69</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对个人和家庭的补助3893.66万元，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加38.4</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资本性支出2.45万元，</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pacing w:val="10"/>
          <w:sz w:val="30"/>
          <w:szCs w:val="30"/>
          <w:u w:val="none"/>
          <w:lang w:val="en-US" w:eastAsia="zh-CN"/>
        </w:rPr>
        <w:t>减少7.63</w:t>
      </w:r>
      <w:r>
        <w:rPr>
          <w:rFonts w:hint="eastAsia" w:ascii="仿宋" w:hAnsi="仿宋" w:eastAsia="仿宋" w:cs="仿宋"/>
          <w:b w:val="0"/>
          <w:bCs w:val="0"/>
          <w:color w:val="auto"/>
          <w:spacing w:val="10"/>
          <w:sz w:val="30"/>
          <w:szCs w:val="30"/>
          <w:u w:val="none"/>
        </w:rPr>
        <w:t>万元</w:t>
      </w:r>
      <w:r>
        <w:rPr>
          <w:rFonts w:hint="eastAsia" w:ascii="仿宋" w:hAnsi="仿宋" w:eastAsia="仿宋" w:cs="仿宋"/>
          <w:b w:val="0"/>
          <w:bCs w:val="0"/>
          <w:color w:val="auto"/>
          <w:spacing w:val="10"/>
          <w:sz w:val="30"/>
          <w:szCs w:val="30"/>
          <w:u w:val="none"/>
          <w:lang w:eastAsia="zh-CN"/>
        </w:rPr>
        <w:t>；</w:t>
      </w:r>
      <w:r>
        <w:rPr>
          <w:rFonts w:hint="eastAsia"/>
          <w:u w:val="none"/>
        </w:rPr>
        <w:t>其他支出1.12万元</w:t>
      </w:r>
      <w:r>
        <w:rPr>
          <w:rFonts w:hint="eastAsia"/>
          <w:u w:val="none"/>
          <w:lang w:eastAsia="zh-CN"/>
        </w:rPr>
        <w:t>，</w:t>
      </w:r>
      <w:r>
        <w:rPr>
          <w:rFonts w:hint="eastAsia" w:ascii="仿宋" w:hAnsi="仿宋" w:eastAsia="仿宋" w:cs="仿宋"/>
          <w:b w:val="0"/>
          <w:bCs w:val="0"/>
          <w:color w:val="auto"/>
          <w:spacing w:val="5"/>
          <w:sz w:val="30"/>
          <w:szCs w:val="30"/>
          <w:u w:val="none"/>
        </w:rPr>
        <w:t>较</w:t>
      </w:r>
      <w:r>
        <w:rPr>
          <w:rFonts w:hint="eastAsia" w:ascii="仿宋" w:hAnsi="仿宋" w:eastAsia="仿宋" w:cs="仿宋"/>
          <w:b w:val="0"/>
          <w:bCs w:val="0"/>
          <w:color w:val="auto"/>
          <w:spacing w:val="10"/>
          <w:sz w:val="30"/>
          <w:szCs w:val="30"/>
          <w:u w:val="none"/>
        </w:rPr>
        <w:t>上年预算安排</w:t>
      </w:r>
      <w:r>
        <w:rPr>
          <w:rFonts w:hint="eastAsia" w:ascii="仿宋" w:hAnsi="仿宋" w:eastAsia="仿宋" w:cs="仿宋"/>
          <w:b w:val="0"/>
          <w:bCs w:val="0"/>
          <w:color w:val="auto"/>
          <w:sz w:val="32"/>
          <w:szCs w:val="32"/>
          <w:u w:val="none"/>
        </w:rPr>
        <w:t>增</w:t>
      </w:r>
      <w:r>
        <w:rPr>
          <w:rFonts w:hint="eastAsia" w:ascii="仿宋" w:hAnsi="仿宋" w:eastAsia="仿宋" w:cs="仿宋"/>
          <w:b w:val="0"/>
          <w:bCs w:val="0"/>
          <w:color w:val="auto"/>
          <w:sz w:val="32"/>
          <w:szCs w:val="32"/>
          <w:u w:val="none"/>
          <w:lang w:val="en-US" w:eastAsia="zh-CN"/>
        </w:rPr>
        <w:t>加1.12</w:t>
      </w:r>
      <w:r>
        <w:rPr>
          <w:rFonts w:hint="eastAsia" w:ascii="仿宋" w:hAnsi="仿宋" w:eastAsia="仿宋" w:cs="仿宋"/>
          <w:b w:val="0"/>
          <w:bCs w:val="0"/>
          <w:color w:val="auto"/>
          <w:spacing w:val="10"/>
          <w:sz w:val="30"/>
          <w:szCs w:val="30"/>
          <w:u w:val="none"/>
        </w:rPr>
        <w:t>万元</w:t>
      </w:r>
      <w:r>
        <w:rPr>
          <w:rFonts w:hint="eastAsia"/>
          <w:u w:val="none"/>
        </w:rPr>
        <w:t>。</w:t>
      </w:r>
    </w:p>
    <w:p w14:paraId="19B5FC88">
      <w:pPr>
        <w:pStyle w:val="20"/>
        <w:numPr>
          <w:ilvl w:val="0"/>
          <w:numId w:val="0"/>
        </w:numPr>
        <w:bidi w:val="0"/>
        <w:ind w:firstLine="643" w:firstLineChars="200"/>
        <w:rPr>
          <w:rFonts w:hint="eastAsia"/>
          <w:u w:val="none"/>
          <w:lang w:val="en-US" w:eastAsia="zh-CN"/>
        </w:rPr>
      </w:pPr>
      <w:r>
        <w:rPr>
          <w:rFonts w:hint="eastAsia"/>
          <w:u w:val="none"/>
          <w:lang w:eastAsia="zh-CN"/>
        </w:rPr>
        <w:t>（四）</w:t>
      </w:r>
      <w:r>
        <w:rPr>
          <w:rFonts w:hint="eastAsia"/>
          <w:u w:val="none"/>
          <w:lang w:val="en-US" w:eastAsia="zh-CN"/>
        </w:rPr>
        <w:t>政府性基金情况</w:t>
      </w:r>
    </w:p>
    <w:p w14:paraId="11CE616D">
      <w:pPr>
        <w:pStyle w:val="19"/>
        <w:bidi w:val="0"/>
        <w:rPr>
          <w:rFonts w:hint="eastAsia" w:eastAsia="仿宋_GB2312"/>
          <w:u w:val="none"/>
          <w:lang w:eastAsia="zh-CN"/>
        </w:rPr>
      </w:pPr>
      <w:r>
        <w:rPr>
          <w:rFonts w:hint="eastAsia"/>
          <w:u w:val="none"/>
          <w:lang w:eastAsia="zh-CN"/>
        </w:rPr>
        <w:t>2026</w:t>
      </w:r>
      <w:r>
        <w:rPr>
          <w:rFonts w:hint="eastAsia"/>
          <w:u w:val="none"/>
        </w:rPr>
        <w:t>年本部门没有使用政府性基金预算拨款安排的支出</w:t>
      </w:r>
      <w:r>
        <w:rPr>
          <w:rFonts w:hint="eastAsia"/>
          <w:u w:val="none"/>
          <w:lang w:eastAsia="zh-CN"/>
        </w:rPr>
        <w:t>。</w:t>
      </w:r>
    </w:p>
    <w:p w14:paraId="2EFE6B61">
      <w:pPr>
        <w:pStyle w:val="20"/>
        <w:numPr>
          <w:ilvl w:val="0"/>
          <w:numId w:val="0"/>
        </w:numPr>
        <w:bidi w:val="0"/>
        <w:ind w:firstLine="643" w:firstLineChars="200"/>
        <w:rPr>
          <w:rFonts w:hint="eastAsia"/>
          <w:u w:val="none"/>
          <w:lang w:val="en-US" w:eastAsia="zh-CN"/>
        </w:rPr>
      </w:pPr>
      <w:r>
        <w:rPr>
          <w:rFonts w:hint="eastAsia"/>
          <w:u w:val="none"/>
          <w:lang w:val="en-US" w:eastAsia="zh-CN"/>
        </w:rPr>
        <w:t>（五）国有资本经营情况</w:t>
      </w:r>
    </w:p>
    <w:p w14:paraId="0FE4FF20">
      <w:pPr>
        <w:pStyle w:val="19"/>
        <w:bidi w:val="0"/>
        <w:rPr>
          <w:rFonts w:hint="eastAsia" w:eastAsia="仿宋_GB2312"/>
          <w:u w:val="none"/>
          <w:lang w:eastAsia="zh-CN"/>
        </w:rPr>
      </w:pPr>
      <w:r>
        <w:rPr>
          <w:rFonts w:hint="eastAsia"/>
          <w:u w:val="none"/>
          <w:lang w:eastAsia="zh-CN"/>
        </w:rPr>
        <w:t>2026</w:t>
      </w:r>
      <w:r>
        <w:rPr>
          <w:rFonts w:hint="eastAsia"/>
          <w:u w:val="none"/>
        </w:rPr>
        <w:t>年本部门没有使用国有资本经营预算拨款安排的支出</w:t>
      </w:r>
      <w:r>
        <w:rPr>
          <w:rFonts w:hint="eastAsia"/>
          <w:u w:val="none"/>
          <w:lang w:eastAsia="zh-CN"/>
        </w:rPr>
        <w:t>。</w:t>
      </w:r>
    </w:p>
    <w:p w14:paraId="35911908">
      <w:pPr>
        <w:pStyle w:val="20"/>
        <w:numPr>
          <w:ilvl w:val="0"/>
          <w:numId w:val="0"/>
        </w:numPr>
        <w:bidi w:val="0"/>
        <w:ind w:firstLine="643" w:firstLineChars="200"/>
        <w:rPr>
          <w:rFonts w:hint="eastAsia"/>
          <w:u w:val="none"/>
          <w:lang w:val="en-US" w:eastAsia="zh-CN"/>
        </w:rPr>
      </w:pPr>
      <w:r>
        <w:rPr>
          <w:rFonts w:hint="eastAsia"/>
          <w:u w:val="none"/>
          <w:lang w:val="en-US" w:eastAsia="zh-CN"/>
        </w:rPr>
        <w:t>（六）机关运行经费等重要事项的说明</w:t>
      </w:r>
    </w:p>
    <w:p w14:paraId="12FA3A13">
      <w:pPr>
        <w:pStyle w:val="19"/>
        <w:bidi w:val="0"/>
        <w:rPr>
          <w:rFonts w:hint="eastAsia"/>
          <w:u w:val="none"/>
        </w:rPr>
      </w:pPr>
      <w:r>
        <w:rPr>
          <w:rFonts w:hint="eastAsia"/>
          <w:u w:val="none"/>
          <w:lang w:eastAsia="zh-CN"/>
        </w:rPr>
        <w:t>2026</w:t>
      </w:r>
      <w:r>
        <w:rPr>
          <w:rFonts w:hint="eastAsia"/>
          <w:u w:val="none"/>
        </w:rPr>
        <w:t>年部门机关运行费预算</w:t>
      </w:r>
      <w:r>
        <w:rPr>
          <w:rFonts w:hint="eastAsia"/>
          <w:u w:val="none"/>
          <w:lang w:val="en-US" w:eastAsia="zh-CN"/>
        </w:rPr>
        <w:t>38.25</w:t>
      </w:r>
      <w:r>
        <w:rPr>
          <w:rFonts w:hint="eastAsia"/>
          <w:u w:val="none"/>
        </w:rPr>
        <w:t>万元，比2025年预算增加</w:t>
      </w:r>
      <w:r>
        <w:rPr>
          <w:rFonts w:hint="eastAsia"/>
          <w:u w:val="none"/>
          <w:lang w:val="en-US" w:eastAsia="zh-CN"/>
        </w:rPr>
        <w:t>8.15</w:t>
      </w:r>
      <w:r>
        <w:rPr>
          <w:rFonts w:hint="eastAsia"/>
          <w:u w:val="none"/>
        </w:rPr>
        <w:t>万元，增长</w:t>
      </w:r>
      <w:r>
        <w:rPr>
          <w:rFonts w:hint="eastAsia"/>
          <w:u w:val="none"/>
          <w:lang w:val="en-US" w:eastAsia="zh-CN"/>
        </w:rPr>
        <w:t>27</w:t>
      </w:r>
      <w:r>
        <w:rPr>
          <w:rFonts w:hint="eastAsia"/>
          <w:u w:val="none"/>
        </w:rPr>
        <w:t>%</w:t>
      </w:r>
      <w:r>
        <w:rPr>
          <w:rFonts w:hint="eastAsia"/>
          <w:u w:val="none"/>
          <w:lang w:eastAsia="zh-CN"/>
        </w:rPr>
        <w:t>，</w:t>
      </w:r>
      <w:r>
        <w:rPr>
          <w:rFonts w:hint="eastAsia"/>
          <w:u w:val="none"/>
          <w:lang w:val="en-US" w:eastAsia="zh-CN"/>
        </w:rPr>
        <w:t>增减变化的主要原因是：人员增加，相应费用增加</w:t>
      </w:r>
      <w:r>
        <w:rPr>
          <w:rFonts w:hint="eastAsia"/>
          <w:u w:val="none"/>
        </w:rPr>
        <w:t>。</w:t>
      </w:r>
    </w:p>
    <w:p w14:paraId="18E09E0F">
      <w:pPr>
        <w:pStyle w:val="20"/>
        <w:numPr>
          <w:ilvl w:val="0"/>
          <w:numId w:val="0"/>
        </w:numPr>
        <w:bidi w:val="0"/>
        <w:ind w:firstLine="643" w:firstLineChars="200"/>
        <w:rPr>
          <w:rFonts w:hint="eastAsia"/>
          <w:u w:val="none"/>
          <w:lang w:val="en-US" w:eastAsia="zh-CN"/>
        </w:rPr>
      </w:pPr>
      <w:r>
        <w:rPr>
          <w:rFonts w:hint="eastAsia"/>
          <w:u w:val="none"/>
          <w:lang w:val="en-US" w:eastAsia="zh-CN"/>
        </w:rPr>
        <w:t>（七）政府采购情况</w:t>
      </w:r>
    </w:p>
    <w:p w14:paraId="76B76ACA">
      <w:pPr>
        <w:pStyle w:val="19"/>
        <w:bidi w:val="0"/>
        <w:rPr>
          <w:rFonts w:hint="eastAsia"/>
          <w:u w:val="none"/>
          <w:lang w:eastAsia="zh-CN"/>
        </w:rPr>
      </w:pPr>
      <w:r>
        <w:rPr>
          <w:rFonts w:hint="eastAsia"/>
          <w:u w:val="none"/>
          <w:lang w:eastAsia="zh-CN"/>
        </w:rPr>
        <w:t>2026年部门所属各单位政府采购总额 22.55</w:t>
      </w:r>
      <w:r>
        <w:rPr>
          <w:rFonts w:hint="eastAsia"/>
          <w:u w:val="none"/>
          <w:lang w:val="en-US" w:eastAsia="zh-CN"/>
        </w:rPr>
        <w:t xml:space="preserve"> </w:t>
      </w:r>
      <w:r>
        <w:rPr>
          <w:rFonts w:hint="eastAsia"/>
          <w:u w:val="none"/>
          <w:lang w:eastAsia="zh-CN"/>
        </w:rPr>
        <w:t>万元，其中： 政府采购货物预算  3.95 万元， 政府采购工程预算 0.00</w:t>
      </w:r>
      <w:r>
        <w:rPr>
          <w:rFonts w:hint="eastAsia"/>
          <w:u w:val="none"/>
          <w:lang w:val="en-US" w:eastAsia="zh-CN"/>
        </w:rPr>
        <w:t xml:space="preserve"> </w:t>
      </w:r>
      <w:r>
        <w:rPr>
          <w:rFonts w:hint="eastAsia"/>
          <w:u w:val="none"/>
          <w:lang w:eastAsia="zh-CN"/>
        </w:rPr>
        <w:t>万元， 政府采购服务预算 18.60 万元。</w:t>
      </w:r>
    </w:p>
    <w:p w14:paraId="0828B78A">
      <w:pPr>
        <w:pStyle w:val="20"/>
        <w:numPr>
          <w:ilvl w:val="0"/>
          <w:numId w:val="0"/>
        </w:numPr>
        <w:bidi w:val="0"/>
        <w:ind w:firstLine="643" w:firstLineChars="200"/>
        <w:rPr>
          <w:rFonts w:hint="eastAsia"/>
          <w:u w:val="none"/>
          <w:lang w:val="en-US" w:eastAsia="zh-CN"/>
        </w:rPr>
      </w:pPr>
      <w:r>
        <w:rPr>
          <w:rFonts w:hint="eastAsia"/>
          <w:u w:val="none"/>
          <w:lang w:val="en-US" w:eastAsia="zh-CN"/>
        </w:rPr>
        <w:t>（八）国有资产占有使用情况</w:t>
      </w:r>
    </w:p>
    <w:p w14:paraId="4F70924F">
      <w:pPr>
        <w:pStyle w:val="19"/>
        <w:bidi w:val="0"/>
        <w:rPr>
          <w:rFonts w:hint="eastAsia"/>
          <w:u w:val="none"/>
          <w:lang w:eastAsia="zh-CN"/>
        </w:rPr>
      </w:pPr>
      <w:r>
        <w:rPr>
          <w:rFonts w:hint="eastAsia"/>
          <w:u w:val="none"/>
          <w:lang w:eastAsia="zh-CN"/>
        </w:rPr>
        <w:t>截至2025年7月31日， 部门共有车辆</w:t>
      </w:r>
      <w:r>
        <w:rPr>
          <w:rFonts w:hint="eastAsia"/>
          <w:u w:val="none"/>
          <w:lang w:val="en-US" w:eastAsia="zh-CN"/>
        </w:rPr>
        <w:t>1</w:t>
      </w:r>
      <w:r>
        <w:rPr>
          <w:rFonts w:hint="eastAsia"/>
          <w:u w:val="none"/>
          <w:lang w:eastAsia="zh-CN"/>
        </w:rPr>
        <w:t>辆，其中：一般公务用车实有数</w:t>
      </w:r>
      <w:r>
        <w:rPr>
          <w:rFonts w:hint="eastAsia"/>
          <w:u w:val="none"/>
          <w:lang w:val="en-US" w:eastAsia="zh-CN"/>
        </w:rPr>
        <w:t>1</w:t>
      </w:r>
      <w:r>
        <w:rPr>
          <w:rFonts w:hint="eastAsia"/>
          <w:u w:val="none"/>
          <w:lang w:eastAsia="zh-CN"/>
        </w:rPr>
        <w:t>辆。</w:t>
      </w:r>
    </w:p>
    <w:p w14:paraId="77F94933">
      <w:pPr>
        <w:pStyle w:val="19"/>
        <w:bidi w:val="0"/>
        <w:rPr>
          <w:rFonts w:hint="eastAsia"/>
          <w:u w:val="none"/>
          <w:lang w:eastAsia="zh-CN"/>
        </w:rPr>
      </w:pPr>
      <w:r>
        <w:rPr>
          <w:rFonts w:hint="eastAsia"/>
          <w:u w:val="none"/>
          <w:lang w:eastAsia="zh-CN"/>
        </w:rPr>
        <w:t>2026年部门预算安排购置车辆</w:t>
      </w:r>
      <w:r>
        <w:rPr>
          <w:rFonts w:hint="eastAsia"/>
          <w:u w:val="none"/>
          <w:lang w:val="en-US" w:eastAsia="zh-CN"/>
        </w:rPr>
        <w:t>0</w:t>
      </w:r>
      <w:r>
        <w:rPr>
          <w:rFonts w:hint="eastAsia"/>
          <w:u w:val="none"/>
          <w:lang w:eastAsia="zh-CN"/>
        </w:rPr>
        <w:t>辆，安排购置单位价值200万元以上大型设备具体为</w:t>
      </w:r>
      <w:r>
        <w:rPr>
          <w:rFonts w:hint="eastAsia"/>
          <w:u w:val="none"/>
          <w:lang w:val="en-US" w:eastAsia="zh-CN"/>
        </w:rPr>
        <w:t>无</w:t>
      </w:r>
      <w:r>
        <w:rPr>
          <w:rFonts w:hint="eastAsia"/>
          <w:u w:val="none"/>
          <w:lang w:eastAsia="zh-CN"/>
        </w:rPr>
        <w:t>。</w:t>
      </w:r>
    </w:p>
    <w:p w14:paraId="559E80CF">
      <w:pPr>
        <w:pStyle w:val="20"/>
        <w:numPr>
          <w:ilvl w:val="0"/>
          <w:numId w:val="0"/>
        </w:numPr>
        <w:bidi w:val="0"/>
        <w:ind w:firstLine="643" w:firstLineChars="200"/>
        <w:rPr>
          <w:rFonts w:hint="eastAsia"/>
          <w:u w:val="none"/>
          <w:lang w:val="en-US" w:eastAsia="zh-CN"/>
        </w:rPr>
      </w:pPr>
      <w:r>
        <w:rPr>
          <w:rFonts w:hint="eastAsia"/>
          <w:u w:val="none"/>
          <w:lang w:val="en-US" w:eastAsia="zh-CN"/>
        </w:rPr>
        <w:t>（九）</w:t>
      </w:r>
      <w:r>
        <w:rPr>
          <w:rFonts w:ascii="华文楷体" w:hAnsi="华文楷体" w:eastAsia="华文楷体"/>
          <w:b/>
          <w:sz w:val="30"/>
          <w:szCs w:val="30"/>
        </w:rPr>
        <w:t>义务兵</w:t>
      </w:r>
      <w:r>
        <w:rPr>
          <w:rFonts w:hint="eastAsia" w:ascii="华文楷体" w:hAnsi="华文楷体" w:eastAsia="华文楷体"/>
          <w:b/>
          <w:sz w:val="30"/>
          <w:szCs w:val="30"/>
          <w:lang w:val="en-US" w:eastAsia="zh-CN"/>
        </w:rPr>
        <w:t>家庭</w:t>
      </w:r>
      <w:r>
        <w:rPr>
          <w:rFonts w:ascii="华文楷体" w:hAnsi="华文楷体" w:eastAsia="华文楷体"/>
          <w:b/>
          <w:sz w:val="30"/>
          <w:szCs w:val="30"/>
        </w:rPr>
        <w:t>优待金</w:t>
      </w:r>
      <w:r>
        <w:rPr>
          <w:rFonts w:hint="eastAsia"/>
          <w:u w:val="none"/>
          <w:lang w:val="en-US" w:eastAsia="zh-CN"/>
        </w:rPr>
        <w:t>项目情况说明</w:t>
      </w:r>
    </w:p>
    <w:p w14:paraId="2E31F952">
      <w:pPr>
        <w:pStyle w:val="19"/>
        <w:bidi w:val="0"/>
        <w:rPr>
          <w:rFonts w:hint="eastAsia"/>
          <w:u w:val="none"/>
          <w:lang w:eastAsia="zh-CN"/>
        </w:rPr>
      </w:pPr>
      <w:r>
        <w:rPr>
          <w:rFonts w:hint="eastAsia" w:ascii="Adobe 仿宋 Std R" w:hAnsi="Adobe 仿宋 Std R" w:eastAsia="Adobe 仿宋 Std R"/>
          <w:sz w:val="32"/>
          <w:szCs w:val="32"/>
          <w:u w:val="none"/>
        </w:rPr>
        <w:t xml:space="preserve"> </w:t>
      </w:r>
      <w:r>
        <w:rPr>
          <w:rFonts w:hint="eastAsia"/>
          <w:u w:val="none"/>
          <w:lang w:eastAsia="zh-CN"/>
        </w:rPr>
        <w:t xml:space="preserve">  1）项目概述：发放义务兵</w:t>
      </w:r>
      <w:r>
        <w:rPr>
          <w:rFonts w:hint="eastAsia"/>
          <w:u w:val="none"/>
          <w:lang w:val="en-US" w:eastAsia="zh-CN"/>
        </w:rPr>
        <w:t>家庭</w:t>
      </w:r>
      <w:r>
        <w:rPr>
          <w:rFonts w:hint="eastAsia"/>
          <w:u w:val="none"/>
          <w:lang w:eastAsia="zh-CN"/>
        </w:rPr>
        <w:t>优待金</w:t>
      </w:r>
    </w:p>
    <w:p w14:paraId="35B9DAFE">
      <w:pPr>
        <w:pStyle w:val="19"/>
        <w:bidi w:val="0"/>
        <w:rPr>
          <w:rFonts w:hint="eastAsia"/>
          <w:u w:val="none"/>
          <w:lang w:eastAsia="zh-CN"/>
        </w:rPr>
      </w:pPr>
      <w:r>
        <w:rPr>
          <w:rFonts w:hint="eastAsia"/>
          <w:u w:val="none"/>
          <w:lang w:eastAsia="zh-CN"/>
        </w:rPr>
        <w:t xml:space="preserve">   2）立项依据：《军人抚恤优待条例》《江西省军人抚恤优待办法》</w:t>
      </w:r>
    </w:p>
    <w:p w14:paraId="67DBF8AA">
      <w:pPr>
        <w:pStyle w:val="19"/>
        <w:bidi w:val="0"/>
        <w:rPr>
          <w:rFonts w:hint="eastAsia"/>
          <w:u w:val="none"/>
          <w:lang w:eastAsia="zh-CN"/>
        </w:rPr>
      </w:pPr>
      <w:r>
        <w:rPr>
          <w:rFonts w:hint="eastAsia"/>
          <w:u w:val="none"/>
          <w:lang w:eastAsia="zh-CN"/>
        </w:rPr>
        <w:t xml:space="preserve">   3）实施主体：兴国县退役军人事务局</w:t>
      </w:r>
    </w:p>
    <w:p w14:paraId="007527AB">
      <w:pPr>
        <w:pStyle w:val="19"/>
        <w:bidi w:val="0"/>
        <w:rPr>
          <w:rFonts w:hint="default"/>
          <w:u w:val="none"/>
          <w:lang w:val="en-US" w:eastAsia="zh-CN"/>
        </w:rPr>
      </w:pPr>
      <w:r>
        <w:rPr>
          <w:rFonts w:hint="eastAsia"/>
          <w:u w:val="none"/>
          <w:lang w:eastAsia="zh-CN"/>
        </w:rPr>
        <w:t xml:space="preserve">   4）实施方案</w:t>
      </w:r>
      <w:r>
        <w:rPr>
          <w:rFonts w:hint="eastAsia"/>
          <w:u w:val="none"/>
          <w:lang w:val="en-US" w:eastAsia="zh-CN"/>
        </w:rPr>
        <w:t>：按时间节点及时拨付，坚持科学管理，严格按照规定的范围、标准和程序使用，确保资金使用安全、规范、高效。</w:t>
      </w:r>
    </w:p>
    <w:p w14:paraId="278A137C">
      <w:pPr>
        <w:pStyle w:val="19"/>
        <w:bidi w:val="0"/>
        <w:rPr>
          <w:rFonts w:hint="eastAsia"/>
          <w:u w:val="none"/>
          <w:lang w:eastAsia="zh-CN"/>
        </w:rPr>
      </w:pPr>
      <w:r>
        <w:rPr>
          <w:rFonts w:hint="eastAsia"/>
          <w:u w:val="none"/>
          <w:lang w:eastAsia="zh-CN"/>
        </w:rPr>
        <w:t xml:space="preserve">   5）实施周期：202</w:t>
      </w:r>
      <w:r>
        <w:rPr>
          <w:rFonts w:hint="eastAsia"/>
          <w:u w:val="none"/>
          <w:lang w:val="en-US" w:eastAsia="zh-CN"/>
        </w:rPr>
        <w:t>6</w:t>
      </w:r>
      <w:r>
        <w:rPr>
          <w:rFonts w:hint="eastAsia"/>
          <w:u w:val="none"/>
          <w:lang w:eastAsia="zh-CN"/>
        </w:rPr>
        <w:t>.1.1-202</w:t>
      </w:r>
      <w:r>
        <w:rPr>
          <w:rFonts w:hint="eastAsia"/>
          <w:u w:val="none"/>
          <w:lang w:val="en-US" w:eastAsia="zh-CN"/>
        </w:rPr>
        <w:t>6</w:t>
      </w:r>
      <w:r>
        <w:rPr>
          <w:rFonts w:hint="eastAsia"/>
          <w:u w:val="none"/>
          <w:lang w:eastAsia="zh-CN"/>
        </w:rPr>
        <w:t>.12.31</w:t>
      </w:r>
    </w:p>
    <w:p w14:paraId="70CAE642">
      <w:pPr>
        <w:pStyle w:val="19"/>
        <w:bidi w:val="0"/>
        <w:rPr>
          <w:rFonts w:hint="default"/>
          <w:u w:val="none"/>
          <w:lang w:val="en-US" w:eastAsia="zh-CN"/>
        </w:rPr>
      </w:pPr>
      <w:r>
        <w:rPr>
          <w:rFonts w:hint="eastAsia"/>
          <w:u w:val="none"/>
          <w:lang w:eastAsia="zh-CN"/>
        </w:rPr>
        <w:t xml:space="preserve">   6）年度预算安排：</w:t>
      </w:r>
      <w:r>
        <w:rPr>
          <w:rFonts w:hint="eastAsia"/>
          <w:u w:val="none"/>
          <w:lang w:val="en-US" w:eastAsia="zh-CN"/>
        </w:rPr>
        <w:t>849.6万元</w:t>
      </w:r>
    </w:p>
    <w:p w14:paraId="475CB265">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二、</w:t>
      </w:r>
      <w:r>
        <w:rPr>
          <w:rFonts w:hint="eastAsia" w:ascii="楷体_GB2312" w:eastAsia="楷体_GB2312"/>
          <w:b/>
          <w:sz w:val="32"/>
          <w:szCs w:val="30"/>
          <w:u w:val="none"/>
          <w:lang w:eastAsia="zh-CN"/>
        </w:rPr>
        <w:t>2026</w:t>
      </w:r>
      <w:r>
        <w:rPr>
          <w:rFonts w:hint="eastAsia" w:ascii="楷体_GB2312" w:eastAsia="楷体_GB2312"/>
          <w:b/>
          <w:sz w:val="32"/>
          <w:szCs w:val="30"/>
          <w:u w:val="none"/>
        </w:rPr>
        <w:t>年财政拨款“三公”经费预算情况说明</w:t>
      </w:r>
    </w:p>
    <w:p w14:paraId="004A9DC7">
      <w:pPr>
        <w:pStyle w:val="19"/>
        <w:bidi w:val="0"/>
        <w:rPr>
          <w:rFonts w:hint="eastAsia"/>
          <w:u w:val="none"/>
          <w:lang w:eastAsia="zh-CN"/>
        </w:rPr>
      </w:pPr>
      <w:r>
        <w:rPr>
          <w:rFonts w:hint="eastAsia"/>
          <w:u w:val="none"/>
          <w:lang w:eastAsia="zh-CN"/>
        </w:rPr>
        <w:t>2026年兴国县退役军人事务局财政拨款“三公”经费安排14.00万元，其中：</w:t>
      </w:r>
    </w:p>
    <w:p w14:paraId="2C493BC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与上年安排保持一致</w:t>
      </w:r>
      <w:r>
        <w:rPr>
          <w:rFonts w:hint="eastAsia" w:ascii="仿宋" w:hAnsi="仿宋" w:eastAsia="仿宋" w:cs="仿宋"/>
          <w:color w:val="auto"/>
          <w:sz w:val="32"/>
          <w:szCs w:val="32"/>
          <w:u w:val="none"/>
        </w:rPr>
        <w:t>。</w:t>
      </w:r>
    </w:p>
    <w:p w14:paraId="01F9CFF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公务接待10.00万元，比上年减少7万元，主要原因是：厉行节约，按要求压缩开支。</w:t>
      </w:r>
    </w:p>
    <w:p w14:paraId="6383A618">
      <w:pPr>
        <w:pStyle w:val="19"/>
        <w:bidi w:val="0"/>
        <w:rPr>
          <w:rFonts w:hint="eastAsia"/>
          <w:u w:val="none"/>
          <w:lang w:eastAsia="zh-CN"/>
        </w:rPr>
      </w:pPr>
      <w:r>
        <w:rPr>
          <w:rFonts w:hint="eastAsia"/>
          <w:u w:val="none"/>
          <w:lang w:eastAsia="zh-CN"/>
        </w:rPr>
        <w:t>公务用车运行4.00万元，比上年增（减）</w:t>
      </w:r>
      <w:r>
        <w:rPr>
          <w:rFonts w:hint="eastAsia"/>
          <w:u w:val="none"/>
          <w:lang w:val="en-US" w:eastAsia="zh-CN"/>
        </w:rPr>
        <w:t>0</w:t>
      </w:r>
      <w:r>
        <w:rPr>
          <w:rFonts w:hint="eastAsia"/>
          <w:u w:val="none"/>
          <w:lang w:eastAsia="zh-CN"/>
        </w:rPr>
        <w:t>万元，主要原因是</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与上年安排保持一致</w:t>
      </w:r>
      <w:r>
        <w:rPr>
          <w:rFonts w:hint="eastAsia" w:ascii="仿宋" w:hAnsi="仿宋" w:eastAsia="仿宋" w:cs="仿宋"/>
          <w:color w:val="auto"/>
          <w:sz w:val="32"/>
          <w:szCs w:val="32"/>
          <w:u w:val="none"/>
        </w:rPr>
        <w:t>。</w:t>
      </w:r>
    </w:p>
    <w:p w14:paraId="35AEECC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与上年安排保持一致</w:t>
      </w:r>
      <w:r>
        <w:rPr>
          <w:rFonts w:hint="eastAsia" w:ascii="仿宋" w:hAnsi="仿宋" w:eastAsia="仿宋" w:cs="仿宋"/>
          <w:color w:val="auto"/>
          <w:sz w:val="32"/>
          <w:szCs w:val="32"/>
          <w:u w:val="none"/>
        </w:rPr>
        <w:t>。</w:t>
      </w:r>
    </w:p>
    <w:p w14:paraId="41395F93">
      <w:pPr>
        <w:pStyle w:val="18"/>
        <w:numPr>
          <w:ilvl w:val="0"/>
          <w:numId w:val="0"/>
        </w:numPr>
        <w:bidi w:val="0"/>
        <w:ind w:left="420" w:leftChars="200"/>
        <w:jc w:val="center"/>
        <w:rPr>
          <w:rFonts w:hint="eastAsia"/>
          <w:u w:val="none"/>
          <w:lang w:val="en-US" w:eastAsia="zh-CN"/>
        </w:rPr>
      </w:pPr>
      <w:r>
        <w:rPr>
          <w:rFonts w:hint="eastAsia"/>
          <w:u w:val="none"/>
          <w:lang w:val="en-US" w:eastAsia="zh-CN"/>
        </w:rPr>
        <w:t>第四部分   名词解释</w:t>
      </w:r>
    </w:p>
    <w:p w14:paraId="46C4CBBE">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一、收入科目</w:t>
      </w:r>
    </w:p>
    <w:p w14:paraId="0535096B">
      <w:pPr>
        <w:pStyle w:val="19"/>
        <w:bidi w:val="0"/>
        <w:rPr>
          <w:rFonts w:hint="eastAsia"/>
          <w:u w:val="none"/>
          <w:lang w:eastAsia="zh-CN"/>
        </w:rPr>
      </w:pPr>
      <w:r>
        <w:rPr>
          <w:rFonts w:hint="eastAsia"/>
          <w:u w:val="none"/>
          <w:lang w:eastAsia="zh-CN"/>
        </w:rPr>
        <w:t>各部门结合实际进行解释。</w:t>
      </w:r>
    </w:p>
    <w:p w14:paraId="3FBC1088">
      <w:pPr>
        <w:pStyle w:val="19"/>
        <w:bidi w:val="0"/>
        <w:rPr>
          <w:rFonts w:hint="eastAsia"/>
          <w:u w:val="none"/>
          <w:lang w:eastAsia="zh-CN"/>
        </w:rPr>
      </w:pPr>
      <w:r>
        <w:rPr>
          <w:rFonts w:hint="eastAsia"/>
          <w:u w:val="none"/>
          <w:lang w:eastAsia="zh-CN"/>
        </w:rPr>
        <w:t>（</w:t>
      </w:r>
      <w:r>
        <w:rPr>
          <w:rFonts w:hint="eastAsia"/>
          <w:u w:val="none"/>
          <w:lang w:val="en-US" w:eastAsia="zh-CN"/>
        </w:rPr>
        <w:t>一</w:t>
      </w:r>
      <w:r>
        <w:rPr>
          <w:rFonts w:hint="eastAsia"/>
          <w:u w:val="none"/>
          <w:lang w:eastAsia="zh-CN"/>
        </w:rPr>
        <w:t>）财政拨款：指省级财政当年拨付的资金。</w:t>
      </w:r>
    </w:p>
    <w:p w14:paraId="13A66C01">
      <w:pPr>
        <w:pStyle w:val="19"/>
        <w:bidi w:val="0"/>
        <w:rPr>
          <w:rFonts w:hint="eastAsia"/>
          <w:u w:val="none"/>
          <w:lang w:eastAsia="zh-CN"/>
        </w:rPr>
      </w:pPr>
      <w:r>
        <w:rPr>
          <w:rFonts w:hint="eastAsia"/>
          <w:u w:val="none"/>
          <w:lang w:eastAsia="zh-CN"/>
        </w:rPr>
        <w:t>（</w:t>
      </w:r>
      <w:r>
        <w:rPr>
          <w:rFonts w:hint="eastAsia"/>
          <w:u w:val="none"/>
          <w:lang w:val="en-US" w:eastAsia="zh-CN"/>
        </w:rPr>
        <w:t>二</w:t>
      </w:r>
      <w:r>
        <w:rPr>
          <w:rFonts w:hint="eastAsia"/>
          <w:u w:val="none"/>
          <w:lang w:eastAsia="zh-CN"/>
        </w:rPr>
        <w:t>）教育收费资金收入：指实行专项管理的高中以上学费、住宿费，高校委托培养费，函大、电大、夜大及短训班培训费等教育收费取得的收入。</w:t>
      </w:r>
    </w:p>
    <w:p w14:paraId="3A0F2CE9">
      <w:pPr>
        <w:pStyle w:val="19"/>
        <w:bidi w:val="0"/>
        <w:rPr>
          <w:rFonts w:hint="eastAsia"/>
          <w:u w:val="none"/>
          <w:lang w:eastAsia="zh-CN"/>
        </w:rPr>
      </w:pPr>
      <w:r>
        <w:rPr>
          <w:rFonts w:hint="eastAsia"/>
          <w:u w:val="none"/>
          <w:lang w:eastAsia="zh-CN"/>
        </w:rPr>
        <w:t>（三）事业收入：指事业单位开展专业业务活动及辅助活动取得的收入。</w:t>
      </w:r>
    </w:p>
    <w:p w14:paraId="3982D386">
      <w:pPr>
        <w:pStyle w:val="19"/>
        <w:bidi w:val="0"/>
        <w:rPr>
          <w:rFonts w:hint="eastAsia"/>
          <w:u w:val="none"/>
          <w:lang w:eastAsia="zh-CN"/>
        </w:rPr>
      </w:pPr>
      <w:r>
        <w:rPr>
          <w:rFonts w:hint="eastAsia"/>
          <w:u w:val="none"/>
          <w:lang w:eastAsia="zh-CN"/>
        </w:rPr>
        <w:t>（四）事业单位经营收入：指事业单位在专业业务活动及辅助活动之外开展非独立核算经营活动取得的收入。</w:t>
      </w:r>
    </w:p>
    <w:p w14:paraId="719BFC52">
      <w:pPr>
        <w:pStyle w:val="19"/>
        <w:bidi w:val="0"/>
        <w:rPr>
          <w:rFonts w:hint="eastAsia"/>
          <w:u w:val="none"/>
          <w:lang w:eastAsia="zh-CN"/>
        </w:rPr>
      </w:pPr>
      <w:r>
        <w:rPr>
          <w:rFonts w:hint="eastAsia"/>
          <w:u w:val="none"/>
          <w:lang w:eastAsia="zh-CN"/>
        </w:rPr>
        <w:t>（五）附属单位上缴收入：指事业单位附属的独立核算单位按规定标准或比例缴纳的各项收入。包括附属的事业单位上缴的收入和附属的企业上缴的利润等。</w:t>
      </w:r>
    </w:p>
    <w:p w14:paraId="7AA25925">
      <w:pPr>
        <w:pStyle w:val="19"/>
        <w:bidi w:val="0"/>
        <w:rPr>
          <w:rFonts w:hint="eastAsia"/>
          <w:u w:val="none"/>
          <w:lang w:eastAsia="zh-CN"/>
        </w:rPr>
      </w:pPr>
      <w:r>
        <w:rPr>
          <w:rFonts w:hint="eastAsia"/>
          <w:u w:val="none"/>
          <w:lang w:eastAsia="zh-CN"/>
        </w:rPr>
        <w:t>（六）上级补助收入：指事业单位从主管部门和上级单位取得的非财政补助收入。</w:t>
      </w:r>
    </w:p>
    <w:p w14:paraId="0D81A329">
      <w:pPr>
        <w:pStyle w:val="19"/>
        <w:bidi w:val="0"/>
        <w:rPr>
          <w:rFonts w:hint="eastAsia"/>
          <w:u w:val="none"/>
          <w:lang w:eastAsia="zh-CN"/>
        </w:rPr>
      </w:pPr>
      <w:r>
        <w:rPr>
          <w:rFonts w:hint="eastAsia"/>
          <w:u w:val="none"/>
          <w:lang w:eastAsia="zh-CN"/>
        </w:rPr>
        <w:t>（七）其他收入：指除财政拨款、事业收入、事业单位经营收入等以外的各项收入。</w:t>
      </w:r>
    </w:p>
    <w:p w14:paraId="2FAA187C">
      <w:pPr>
        <w:pStyle w:val="19"/>
        <w:bidi w:val="0"/>
        <w:rPr>
          <w:rFonts w:hint="eastAsia"/>
          <w:u w:val="none"/>
          <w:lang w:eastAsia="zh-CN"/>
        </w:rPr>
      </w:pPr>
      <w:r>
        <w:rPr>
          <w:rFonts w:hint="eastAsia"/>
          <w:u w:val="none"/>
          <w:lang w:eastAsia="zh-CN"/>
        </w:rPr>
        <w:t>（八）使用非财政拨款结余：指历年滚存非限定用途的非财政拨款结余弥补本年度收支差额的数额。</w:t>
      </w:r>
    </w:p>
    <w:p w14:paraId="607FA002">
      <w:pPr>
        <w:pStyle w:val="19"/>
        <w:bidi w:val="0"/>
        <w:rPr>
          <w:rFonts w:hint="eastAsia"/>
          <w:u w:val="none"/>
          <w:lang w:eastAsia="zh-CN"/>
        </w:rPr>
      </w:pPr>
      <w:r>
        <w:rPr>
          <w:rFonts w:hint="eastAsia"/>
          <w:u w:val="none"/>
          <w:lang w:eastAsia="zh-CN"/>
        </w:rPr>
        <w:t>（九）上年结转和结余：指以前年度全部结转和结余的资金数，包括当年结转结余资金和历年滚存结转结余资金。</w:t>
      </w:r>
    </w:p>
    <w:p w14:paraId="62B24F73">
      <w:pPr>
        <w:ind w:firstLine="640" w:firstLineChars="200"/>
        <w:rPr>
          <w:rFonts w:ascii="Adobe 仿宋 Std R" w:hAnsi="Adobe 仿宋 Std R" w:eastAsia="Adobe 仿宋 Std R"/>
          <w:sz w:val="32"/>
          <w:szCs w:val="32"/>
          <w:u w:val="none"/>
        </w:rPr>
      </w:pPr>
    </w:p>
    <w:p w14:paraId="457D42CE">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二、支出科目</w:t>
      </w:r>
    </w:p>
    <w:p w14:paraId="53FA0691">
      <w:pPr>
        <w:pStyle w:val="19"/>
        <w:bidi w:val="0"/>
        <w:rPr>
          <w:rFonts w:hint="eastAsia"/>
          <w:u w:val="none"/>
          <w:lang w:eastAsia="zh-CN"/>
        </w:rPr>
      </w:pPr>
      <w:r>
        <w:rPr>
          <w:rFonts w:hint="eastAsia"/>
          <w:u w:val="none"/>
          <w:lang w:eastAsia="zh-CN"/>
        </w:rPr>
        <w:t>对部门预算中涉及的支出功能分类科目（明细到项级），结合部门实际，参照《2026年政府收支分类科目》的规范说明进行解释。</w:t>
      </w:r>
    </w:p>
    <w:p w14:paraId="68234AE2">
      <w:pPr>
        <w:widowControl/>
        <w:spacing w:line="600" w:lineRule="exact"/>
        <w:ind w:firstLine="640" w:firstLineChars="200"/>
        <w:jc w:val="left"/>
        <w:rPr>
          <w:rFonts w:ascii="仿宋_GB2312" w:eastAsia="仿宋_GB2312"/>
          <w:color w:val="000000"/>
          <w:sz w:val="32"/>
          <w:szCs w:val="30"/>
          <w:u w:val="none"/>
        </w:rPr>
      </w:pPr>
    </w:p>
    <w:p w14:paraId="165188F3">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三、相关专业名词</w:t>
      </w:r>
    </w:p>
    <w:p w14:paraId="746539A7">
      <w:pPr>
        <w:pStyle w:val="19"/>
        <w:bidi w:val="0"/>
        <w:ind w:left="0" w:leftChars="0" w:firstLine="640" w:firstLineChars="200"/>
        <w:rPr>
          <w:rFonts w:hint="eastAsia"/>
          <w:u w:val="none"/>
          <w:lang w:eastAsia="zh-CN"/>
        </w:rPr>
      </w:pPr>
      <w:r>
        <w:rPr>
          <w:rFonts w:hint="eastAsia"/>
          <w:u w:val="none"/>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64F2E8D">
      <w:pPr>
        <w:pStyle w:val="19"/>
        <w:bidi w:val="0"/>
        <w:rPr>
          <w:rFonts w:hint="eastAsia"/>
          <w:u w:val="none"/>
          <w:lang w:eastAsia="zh-CN"/>
        </w:rPr>
      </w:pPr>
      <w:r>
        <w:rPr>
          <w:rFonts w:hint="eastAsia"/>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Adobe 仿宋 Std R">
    <w:altName w:val="仿宋"/>
    <w:panose1 w:val="00000000000000000000"/>
    <w:charset w:val="86"/>
    <w:family w:val="auto"/>
    <w:pitch w:val="default"/>
    <w:sig w:usb0="00000000" w:usb1="00000000" w:usb2="00000016" w:usb3="00000000" w:csb0="00060007"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46852">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4OWFmZmMyODliNzg0NmM4MDJlNWQ4ZTg1NzJmYj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4D8709C"/>
    <w:rsid w:val="0548762F"/>
    <w:rsid w:val="056335EC"/>
    <w:rsid w:val="058E403A"/>
    <w:rsid w:val="05A96FBC"/>
    <w:rsid w:val="067A6028"/>
    <w:rsid w:val="069027A8"/>
    <w:rsid w:val="069706E6"/>
    <w:rsid w:val="06B10971"/>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042ABB"/>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161541D"/>
    <w:rsid w:val="118C7F17"/>
    <w:rsid w:val="11A83289"/>
    <w:rsid w:val="11BA18B5"/>
    <w:rsid w:val="12AB25F0"/>
    <w:rsid w:val="12C66037"/>
    <w:rsid w:val="12D71EE1"/>
    <w:rsid w:val="13024677"/>
    <w:rsid w:val="132316DC"/>
    <w:rsid w:val="13257202"/>
    <w:rsid w:val="137A24B0"/>
    <w:rsid w:val="146A26EA"/>
    <w:rsid w:val="14972381"/>
    <w:rsid w:val="14DB226E"/>
    <w:rsid w:val="15017144"/>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958D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BFD2F77"/>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39253E"/>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4D92235"/>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A21C09"/>
    <w:rsid w:val="33B273BE"/>
    <w:rsid w:val="33D60378"/>
    <w:rsid w:val="33EB1F16"/>
    <w:rsid w:val="34024CC3"/>
    <w:rsid w:val="340B6948"/>
    <w:rsid w:val="346F257B"/>
    <w:rsid w:val="34967B08"/>
    <w:rsid w:val="349A316D"/>
    <w:rsid w:val="34B57D75"/>
    <w:rsid w:val="34B63D06"/>
    <w:rsid w:val="34F95019"/>
    <w:rsid w:val="35123632"/>
    <w:rsid w:val="35132F06"/>
    <w:rsid w:val="35192EC2"/>
    <w:rsid w:val="35306BDB"/>
    <w:rsid w:val="35451BB0"/>
    <w:rsid w:val="354E3F3E"/>
    <w:rsid w:val="359B22B4"/>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011FB6"/>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6DD62A8"/>
    <w:rsid w:val="475F022D"/>
    <w:rsid w:val="47704B50"/>
    <w:rsid w:val="48967C7F"/>
    <w:rsid w:val="48BC3499"/>
    <w:rsid w:val="493F20C4"/>
    <w:rsid w:val="49A3337A"/>
    <w:rsid w:val="49BE0F52"/>
    <w:rsid w:val="4A0A0193"/>
    <w:rsid w:val="4A3D4856"/>
    <w:rsid w:val="4A875AD1"/>
    <w:rsid w:val="4A9D48C2"/>
    <w:rsid w:val="4ABB15CA"/>
    <w:rsid w:val="4B0E1D4E"/>
    <w:rsid w:val="4B8A01B9"/>
    <w:rsid w:val="4BCC5D64"/>
    <w:rsid w:val="4BD50ABE"/>
    <w:rsid w:val="4BE40D01"/>
    <w:rsid w:val="4C3347A3"/>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0D7AE9"/>
    <w:rsid w:val="59154BEF"/>
    <w:rsid w:val="591D1B7F"/>
    <w:rsid w:val="592C090B"/>
    <w:rsid w:val="594B1686"/>
    <w:rsid w:val="59B57AB7"/>
    <w:rsid w:val="5A113609"/>
    <w:rsid w:val="5A124512"/>
    <w:rsid w:val="5A3D61AC"/>
    <w:rsid w:val="5AD61C4C"/>
    <w:rsid w:val="5ADF6D37"/>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B721F4"/>
    <w:rsid w:val="6DEA61F3"/>
    <w:rsid w:val="6DFC5FDF"/>
    <w:rsid w:val="6E0D2F46"/>
    <w:rsid w:val="6E2B0BE5"/>
    <w:rsid w:val="6E3D6323"/>
    <w:rsid w:val="6E9E40AE"/>
    <w:rsid w:val="6EA97E5C"/>
    <w:rsid w:val="6ECC5FE7"/>
    <w:rsid w:val="6EDB6140"/>
    <w:rsid w:val="6F92269E"/>
    <w:rsid w:val="6F9E1043"/>
    <w:rsid w:val="6FB14B95"/>
    <w:rsid w:val="6FBB39A3"/>
    <w:rsid w:val="6FD42CB7"/>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12772E"/>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9D51B05"/>
    <w:rsid w:val="7AA535EF"/>
    <w:rsid w:val="7B2B0079"/>
    <w:rsid w:val="7B4C4049"/>
    <w:rsid w:val="7B4C6C5F"/>
    <w:rsid w:val="7B590514"/>
    <w:rsid w:val="7B5F2B22"/>
    <w:rsid w:val="7B6D63A7"/>
    <w:rsid w:val="7B833D31"/>
    <w:rsid w:val="7BAA451C"/>
    <w:rsid w:val="7BAC2D3A"/>
    <w:rsid w:val="7BC71BE8"/>
    <w:rsid w:val="7BCE7F00"/>
    <w:rsid w:val="7BEE3352"/>
    <w:rsid w:val="7C0E12FE"/>
    <w:rsid w:val="7C213CD7"/>
    <w:rsid w:val="7C2F624D"/>
    <w:rsid w:val="7C6A15B3"/>
    <w:rsid w:val="7CFA01CB"/>
    <w:rsid w:val="7D2E5D91"/>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0159285c-b47b-4bfd-bed3-e9b83a10953d</errorID>
      <errorWord>拟定</errorWord>
      <group>L1_Word</group>
      <groupName>字词问题</groupName>
      <ability>L2_Typo</ability>
      <abilityName>字词错误</abilityName>
      <candidateList>
        <item>拟订</item>
      </candidateList>
      <explain>〈动〉草拟：～计划｜～方案。</explain>
      <paraID>1BFDB2DE</paraID>
      <start>3</start>
      <end>5</end>
      <status>modified</status>
      <modifiedWord>拟订</modifiedWord>
      <trackRevisions>false</trackRevisions>
    </reviewItem>
    <reviewItem>
      <errorID>9f32f0e2-5a2b-41f8-9b0a-e109823a5531</errorID>
      <errorWord>*</errorWord>
      <group>L1_Punc</group>
      <groupName>标点问题</groupName>
      <ability>L2_Punc</ability>
      <abilityName>标点符号检查</abilityName>
      <candidateList/>
      <explain/>
      <paraID>19485C82</paraID>
      <start>0</start>
      <end>1</end>
      <status>ignored</status>
      <modifiedWord/>
      <trackRevisions>false</trackRevisions>
    </reviewItem>
    <reviewItem>
      <errorID>9907e91e-5688-4747-b7e5-225ef64cb16f</errorID>
      <errorWord>*</errorWord>
      <group>L1_Punc</group>
      <groupName>标点问题</groupName>
      <ability>L2_Punc</ability>
      <abilityName>标点符号检查</abilityName>
      <candidateList/>
      <explain/>
      <paraID>2DB95CF4</paraID>
      <start>0</start>
      <end>1</end>
      <status>ignored</status>
      <modifiedWord/>
      <trackRevisions>false</trackRevisions>
    </reviewItem>
    <reviewItem>
      <errorID>b9da3e67-ffe2-4566-a766-a864ddd0c3fa</errorID>
      <errorWord>*</errorWord>
      <group>L1_Punc</group>
      <groupName>标点问题</groupName>
      <ability>L2_Punc</ability>
      <abilityName>标点符号检查</abilityName>
      <candidateList/>
      <explain/>
      <paraID>577C4B76</paraID>
      <start>0</start>
      <end>1</end>
      <status>ignored</status>
      <modifiedWord/>
      <trackRevisions>false</trackRevisions>
    </reviewItem>
    <reviewItem>
      <errorID>bd63033d-7eee-4cfd-8825-583718553e35</errorID>
      <errorWord>*</errorWord>
      <group>L1_Punc</group>
      <groupName>标点问题</groupName>
      <ability>L2_Punc</ability>
      <abilityName>标点符号检查</abilityName>
      <candidateList/>
      <explain/>
      <paraID>2790FCA0</paraID>
      <start>0</start>
      <end>1</end>
      <status>ignored</status>
      <modifiedWord/>
      <trackRevisions>false</trackRevisions>
    </reviewItem>
    <reviewItem>
      <errorID>c57d546c-22f5-485c-b5ad-fe67a83dbfdf</errorID>
      <errorWord>*</errorWord>
      <group>L1_Punc</group>
      <groupName>标点问题</groupName>
      <ability>L2_Punc</ability>
      <abilityName>标点符号检查</abilityName>
      <candidateList/>
      <explain/>
      <paraID>75A53BB9</paraID>
      <start>0</start>
      <end>1</end>
      <status>ignored</status>
      <modifiedWord/>
      <trackRevisions>false</trackRevisions>
    </reviewItem>
    <reviewItem>
      <errorID>88a19e75-a58f-45df-b432-3273b3047068</errorID>
      <errorWord>*</errorWord>
      <group>L1_Punc</group>
      <groupName>标点问题</groupName>
      <ability>L2_Punc</ability>
      <abilityName>标点符号检查</abilityName>
      <candidateList/>
      <explain/>
      <paraID>5CCA6135</paraID>
      <start>0</start>
      <end>1</end>
      <status>ignored</status>
      <modifiedWord/>
      <trackRevisions>false</trackRevisions>
    </reviewItem>
    <reviewItem>
      <errorID>9a7f240a-474e-4e3c-b9be-c4bafbf843af</errorID>
      <errorWord>*</errorWord>
      <group>L1_Punc</group>
      <groupName>标点问题</groupName>
      <ability>L2_Punc</ability>
      <abilityName>标点符号检查</abilityName>
      <candidateList/>
      <explain/>
      <paraID>5988E27D</paraID>
      <start>0</start>
      <end>1</end>
      <status>ignored</status>
      <modifiedWord/>
      <trackRevisions>false</trackRevisions>
    </reviewItem>
    <reviewItem>
      <errorID>35f51a47-5978-42e2-885c-adc2313a80f8</errorID>
      <errorWord>*</errorWord>
      <group>L1_Punc</group>
      <groupName>标点问题</groupName>
      <ability>L2_Punc</ability>
      <abilityName>标点符号检查</abilityName>
      <candidateList/>
      <explain/>
      <paraID>5BCBB3A5</paraID>
      <start>0</start>
      <end>1</end>
      <status>ignored</status>
      <modifiedWord/>
      <trackRevisions>false</trackRevisions>
    </reviewItem>
    <reviewItem>
      <errorID>43d055a2-2d8e-41c1-b10e-1123db83dadb</errorID>
      <errorWord>*</errorWord>
      <group>L1_Punc</group>
      <groupName>标点问题</groupName>
      <ability>L2_Punc</ability>
      <abilityName>标点符号检查</abilityName>
      <candidateList/>
      <explain/>
      <paraID>154CA575</paraID>
      <start>0</start>
      <end>1</end>
      <status>ignored</status>
      <modifiedWord/>
      <trackRevisions>false</trackRevisions>
    </reviewItem>
    <reviewItem>
      <errorID>69d6e2d5-aac0-4680-bdc8-b9e8f77bc21c</errorID>
      <errorWord>*</errorWord>
      <group>L1_Punc</group>
      <groupName>标点问题</groupName>
      <ability>L2_Punc</ability>
      <abilityName>标点符号检查</abilityName>
      <candidateList/>
      <explain/>
      <paraID>12F347AD</paraID>
      <start>0</start>
      <end>1</end>
      <status>ignored</status>
      <modifiedWord/>
      <trackRevisions>false</trackRevisions>
    </reviewItem>
    <reviewItem>
      <errorID>aed36e08-d11d-4e49-96ae-91281dc4927b</errorID>
      <errorWord>*</errorWord>
      <group>L1_Punc</group>
      <groupName>标点问题</groupName>
      <ability>L2_Punc</ability>
      <abilityName>标点符号检查</abilityName>
      <candidateList/>
      <explain/>
      <paraID>346DCF39</paraID>
      <start>0</start>
      <end>1</end>
      <status>ignored</status>
      <modifiedWord/>
      <trackRevisions>false</trackRevisions>
    </reviewItem>
  </reviewItems>
  <config/>
</contractReview>
</file>

<file path=customXml/itemProps1.xml><?xml version="1.0" encoding="utf-8"?>
<ds:datastoreItem xmlns:ds="http://schemas.openxmlformats.org/officeDocument/2006/customXml" ds:itemID="{b5043d41-adc1-4a57-b0be-e248c1ec51e1}">
  <ds:schemaRefs/>
</ds:datastoreItem>
</file>

<file path=docProps/app.xml><?xml version="1.0" encoding="utf-8"?>
<Properties xmlns="http://schemas.openxmlformats.org/officeDocument/2006/extended-properties" xmlns:vt="http://schemas.openxmlformats.org/officeDocument/2006/docPropsVTypes">
  <Template>Normal.dotm</Template>
  <Pages>23</Pages>
  <Words>2458</Words>
  <Characters>3361</Characters>
  <Lines>47</Lines>
  <Paragraphs>13</Paragraphs>
  <TotalTime>10</TotalTime>
  <ScaleCrop>false</ScaleCrop>
  <LinksUpToDate>false</LinksUpToDate>
  <CharactersWithSpaces>3401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2026-03-09T09:38:00Z</cp:lastPrinted>
  <dcterms:modified xsi:type="dcterms:W3CDTF">2026-03-12T00:22:54Z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D6A6AB90D77A40E886FA714183735691_13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