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color w:val="auto"/>
          <w:sz w:val="44"/>
          <w:szCs w:val="44"/>
          <w:lang w:val="en-US" w:eastAsia="zh-CN"/>
        </w:rPr>
      </w:pPr>
      <w:bookmarkStart w:id="0" w:name="_GoBack"/>
      <w:bookmarkEnd w:id="0"/>
      <w:r>
        <w:rPr>
          <w:rFonts w:hint="eastAsia" w:ascii="方正小标宋简体" w:hAnsi="方正小标宋简体" w:eastAsia="方正小标宋简体" w:cs="方正小标宋简体"/>
          <w:b w:val="0"/>
          <w:bCs w:val="0"/>
          <w:color w:val="auto"/>
          <w:sz w:val="44"/>
          <w:szCs w:val="44"/>
          <w:lang w:eastAsia="zh-CN"/>
        </w:rPr>
        <w:t>关于《兴国县衔接推进乡村振兴</w:t>
      </w:r>
      <w:r>
        <w:rPr>
          <w:rFonts w:hint="eastAsia" w:ascii="方正小标宋简体" w:hAnsi="方正小标宋简体" w:eastAsia="方正小标宋简体" w:cs="方正小标宋简体"/>
          <w:b w:val="0"/>
          <w:bCs w:val="0"/>
          <w:color w:val="auto"/>
          <w:sz w:val="44"/>
          <w:szCs w:val="44"/>
          <w:lang w:val="en-US" w:eastAsia="zh-CN"/>
        </w:rPr>
        <w:t>补助资金</w:t>
      </w:r>
      <w:r>
        <w:rPr>
          <w:rFonts w:hint="eastAsia" w:ascii="方正小标宋简体" w:hAnsi="方正小标宋简体" w:eastAsia="方正小标宋简体" w:cs="方正小标宋简体"/>
          <w:b w:val="0"/>
          <w:bCs w:val="0"/>
          <w:color w:val="auto"/>
          <w:sz w:val="44"/>
          <w:szCs w:val="44"/>
          <w:lang w:eastAsia="zh-CN"/>
        </w:rPr>
        <w:t>管理办法（讨论稿）》</w:t>
      </w:r>
      <w:r>
        <w:rPr>
          <w:rFonts w:hint="eastAsia" w:ascii="方正小标宋简体" w:hAnsi="方正小标宋简体" w:eastAsia="方正小标宋简体" w:cs="方正小标宋简体"/>
          <w:b w:val="0"/>
          <w:bCs w:val="0"/>
          <w:color w:val="auto"/>
          <w:sz w:val="44"/>
          <w:szCs w:val="44"/>
          <w:lang w:val="en-US" w:eastAsia="zh-CN"/>
        </w:rPr>
        <w:t>的起草说明</w:t>
      </w:r>
    </w:p>
    <w:p>
      <w:pPr>
        <w:jc w:val="center"/>
        <w:rPr>
          <w:rFonts w:hint="default" w:asciiTheme="minorEastAsia" w:hAnsiTheme="minorEastAsia" w:cstheme="minorEastAsia"/>
          <w:b/>
          <w:bCs/>
          <w:color w:val="auto"/>
          <w:sz w:val="36"/>
          <w:szCs w:val="36"/>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val="0"/>
          <w:bCs w:val="0"/>
          <w:color w:val="auto"/>
          <w:sz w:val="32"/>
          <w:szCs w:val="32"/>
          <w:lang w:val="en-US" w:eastAsia="zh-CN"/>
        </w:rPr>
        <w:t>起草背景</w:t>
      </w:r>
    </w:p>
    <w:p>
      <w:pPr>
        <w:ind w:firstLine="640" w:firstLineChars="200"/>
        <w:rPr>
          <w:rFonts w:hint="eastAsia" w:ascii="方正仿宋_GB2312" w:hAnsi="方正仿宋_GB2312" w:eastAsia="方正仿宋_GB2312" w:cs="方正仿宋_GB2312"/>
          <w:b w:val="0"/>
          <w:bCs/>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为深入贯彻《财政部 国家发展改革委 国家民委 生态环境部 住房城乡建设部 交通运输部 水利部 农业农村部 文化和旅游部 国家林草局关于将脱贫县涉农资金统筹整合试点政策优化调整至国家乡村振兴重点帮扶县实施的通知》（财农[2024]1号）文件精神，进一步规范衔接资金管理，提高资金使用效益，根据中央、省、市各级财政衔接资金管理办法，结合我县</w:t>
      </w:r>
      <w:r>
        <w:rPr>
          <w:rFonts w:hint="eastAsia" w:ascii="方正仿宋_GB2312" w:hAnsi="方正仿宋_GB2312" w:eastAsia="方正仿宋_GB2312" w:cs="方正仿宋_GB2312"/>
          <w:b w:val="0"/>
          <w:bCs/>
          <w:color w:val="auto"/>
          <w:sz w:val="32"/>
          <w:szCs w:val="32"/>
          <w:lang w:val="en-US" w:eastAsia="zh-CN"/>
        </w:rPr>
        <w:t>《关于印发&lt;兴国县政府性投资项目预结算评审管理办法(修订)&gt;的通知》（兴府办字〔2025〕25号）、《关</w:t>
      </w:r>
      <w:r>
        <w:rPr>
          <w:rFonts w:hint="eastAsia" w:ascii="方正仿宋_GB2312" w:hAnsi="方正仿宋_GB2312" w:eastAsia="方正仿宋_GB2312" w:cs="方正仿宋_GB2312"/>
          <w:b w:val="0"/>
          <w:bCs w:val="0"/>
          <w:color w:val="auto"/>
          <w:sz w:val="32"/>
          <w:szCs w:val="32"/>
          <w:lang w:val="en-US" w:eastAsia="zh-CN"/>
        </w:rPr>
        <w:t>于印发&lt;兴国县政府投资小额工程建设项目管理办法&gt;（试行）的通知》（兴府办字〔2024〕66号）等文件规定，经充分调研本县实际情况，广泛征求各方意见，县财政局起草</w:t>
      </w:r>
      <w:r>
        <w:rPr>
          <w:rFonts w:hint="eastAsia" w:ascii="方正仿宋_GB2312" w:hAnsi="方正仿宋_GB2312" w:eastAsia="方正仿宋_GB2312" w:cs="方正仿宋_GB2312"/>
          <w:b w:val="0"/>
          <w:bCs/>
          <w:color w:val="auto"/>
          <w:sz w:val="32"/>
          <w:szCs w:val="32"/>
          <w:lang w:val="en-US" w:eastAsia="zh-CN"/>
        </w:rPr>
        <w:t>了本办法。</w:t>
      </w:r>
    </w:p>
    <w:p>
      <w:pPr>
        <w:numPr>
          <w:ilvl w:val="0"/>
          <w:numId w:val="1"/>
        </w:numPr>
        <w:spacing w:line="560" w:lineRule="exact"/>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起草必要性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2" w:firstLineChars="200"/>
        <w:jc w:val="left"/>
        <w:textAlignment w:val="auto"/>
        <w:rPr>
          <w:rFonts w:hint="eastAsia" w:ascii="仿宋_GB2312" w:hAnsi="仿宋_GB2312" w:eastAsia="仿宋_GB2312" w:cs="仿宋_GB2312"/>
          <w:b/>
          <w:bCs w:val="0"/>
          <w:color w:val="auto"/>
          <w:sz w:val="32"/>
          <w:szCs w:val="32"/>
          <w:lang w:eastAsia="zh-CN"/>
        </w:rPr>
      </w:pPr>
      <w:r>
        <w:rPr>
          <w:rFonts w:hint="eastAsia" w:ascii="仿宋_GB2312" w:hAnsi="仿宋_GB2312" w:eastAsia="仿宋_GB2312" w:cs="仿宋_GB2312"/>
          <w:b/>
          <w:bCs w:val="0"/>
          <w:color w:val="auto"/>
          <w:sz w:val="32"/>
          <w:szCs w:val="32"/>
          <w:lang w:val="en-US" w:eastAsia="zh-CN"/>
        </w:rPr>
        <w:t>（一）</w:t>
      </w:r>
      <w:r>
        <w:rPr>
          <w:rFonts w:hint="eastAsia" w:ascii="仿宋_GB2312" w:hAnsi="仿宋_GB2312" w:eastAsia="仿宋_GB2312" w:cs="仿宋_GB2312"/>
          <w:b/>
          <w:bCs w:val="0"/>
          <w:color w:val="auto"/>
          <w:sz w:val="32"/>
          <w:szCs w:val="32"/>
        </w:rPr>
        <w:t>适应国家政策调整，确保资金管理合规</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jc w:val="lef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Cs/>
          <w:color w:val="auto"/>
          <w:sz w:val="32"/>
          <w:szCs w:val="32"/>
        </w:rPr>
        <w:t>根据《财政部 国家发展改革委 国家民委 生态环</w:t>
      </w:r>
      <w:r>
        <w:rPr>
          <w:rFonts w:hint="eastAsia" w:ascii="方正仿宋_GB2312" w:hAnsi="方正仿宋_GB2312" w:eastAsia="方正仿宋_GB2312" w:cs="方正仿宋_GB2312"/>
          <w:color w:val="auto"/>
          <w:sz w:val="32"/>
          <w:szCs w:val="32"/>
        </w:rPr>
        <w:t>境部 住房城乡建设部 交通运输部 水利部 农业农村部 文化和旅游部 国家林草局关于将脱贫县涉农资金统筹整合试点政策优化调整至国家乡村振兴重点帮扶县实施的通知》（财农〔2024〕1号）及中央有关文件精神，原面向脱贫县的涉农资金统筹整合试点政策在过渡期前三年结束后，已优化调整并限定于160个国家乡村振兴重点帮扶县实施。我县不属于上述重点帮扶县范围，自2024年起不再执行涉农资金统筹整合试点政策。现行办法中关于“统筹整合财政涉农资金”的相关规定与当前国家政策要求已不相符，亟需根据最新政策进行修订，确保我县衔接资金管理工作的合规性。</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2" w:firstLineChars="200"/>
        <w:jc w:val="left"/>
        <w:textAlignment w:val="auto"/>
        <w:rPr>
          <w:rFonts w:hint="eastAsia" w:ascii="仿宋_GB2312" w:hAnsi="仿宋_GB2312" w:eastAsia="仿宋_GB2312" w:cs="仿宋_GB2312"/>
          <w:b/>
          <w:bCs w:val="0"/>
          <w:color w:val="auto"/>
          <w:sz w:val="32"/>
          <w:szCs w:val="32"/>
          <w:lang w:eastAsia="zh-CN"/>
        </w:rPr>
      </w:pPr>
      <w:r>
        <w:rPr>
          <w:rFonts w:hint="eastAsia" w:ascii="仿宋_GB2312" w:hAnsi="仿宋_GB2312" w:eastAsia="仿宋_GB2312" w:cs="仿宋_GB2312"/>
          <w:b/>
          <w:bCs w:val="0"/>
          <w:color w:val="auto"/>
          <w:sz w:val="32"/>
          <w:szCs w:val="32"/>
          <w:lang w:val="en-US" w:eastAsia="zh-CN"/>
        </w:rPr>
        <w:t>（二）</w:t>
      </w:r>
      <w:r>
        <w:rPr>
          <w:rFonts w:hint="eastAsia" w:ascii="仿宋_GB2312" w:hAnsi="仿宋_GB2312" w:eastAsia="仿宋_GB2312" w:cs="仿宋_GB2312"/>
          <w:b/>
          <w:bCs w:val="0"/>
          <w:color w:val="auto"/>
          <w:sz w:val="32"/>
          <w:szCs w:val="32"/>
        </w:rPr>
        <w:t>衔接项目管理新规，提升资金管控精度</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jc w:val="lef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lang w:val="en-US" w:eastAsia="zh-CN"/>
        </w:rPr>
        <w:t>一是</w:t>
      </w:r>
      <w:r>
        <w:rPr>
          <w:rFonts w:hint="eastAsia" w:ascii="方正仿宋_GB2312" w:hAnsi="方正仿宋_GB2312" w:eastAsia="方正仿宋_GB2312" w:cs="方正仿宋_GB2312"/>
          <w:color w:val="auto"/>
          <w:sz w:val="32"/>
          <w:szCs w:val="32"/>
        </w:rPr>
        <w:t>对接预结算评审范围变化。2024年5月，我县新修订的《兴国县政府性投资项目预结算评审管理办法》（兴府办字〔2024〕29号）将预结算评审范围明确为“预、结算送审金额100万元（含）以上的政府性投资项目”，且明确不再接受乡镇、村对单项低于100万元项目的打包报审。现行办法中涉及项目预结算评审的规定需相应更新，以保持制度间协同一致。</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jc w:val="lef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lang w:val="en-US" w:eastAsia="zh-CN"/>
        </w:rPr>
        <w:t>二是</w:t>
      </w:r>
      <w:r>
        <w:rPr>
          <w:rFonts w:hint="eastAsia" w:ascii="方正仿宋_GB2312" w:hAnsi="方正仿宋_GB2312" w:eastAsia="方正仿宋_GB2312" w:cs="方正仿宋_GB2312"/>
          <w:color w:val="auto"/>
          <w:sz w:val="32"/>
          <w:szCs w:val="32"/>
        </w:rPr>
        <w:t>落实小额工程管理新要求。《兴国县政府投资小额工程建设项目管理办法（试行）》（兴府办字〔2024〕66号）对小额工程建设项目的决策、审批、招标采购、建设监管、竣工验收等全流程管理作出了明确规定。现行办法中相关的项目管理条款需与此新规进行衔接，确保资金管理与项目建设管理要求</w:t>
      </w:r>
      <w:r>
        <w:rPr>
          <w:rFonts w:hint="eastAsia" w:ascii="方正仿宋_GB2312" w:hAnsi="方正仿宋_GB2312" w:eastAsia="方正仿宋_GB2312" w:cs="方正仿宋_GB2312"/>
          <w:color w:val="auto"/>
          <w:sz w:val="32"/>
          <w:szCs w:val="32"/>
          <w:lang w:val="en-US" w:eastAsia="zh-CN"/>
        </w:rPr>
        <w:t>相适应</w:t>
      </w:r>
      <w:r>
        <w:rPr>
          <w:rFonts w:hint="eastAsia" w:ascii="方正仿宋_GB2312" w:hAnsi="方正仿宋_GB2312" w:eastAsia="方正仿宋_GB2312" w:cs="方正仿宋_GB2312"/>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jc w:val="lef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lang w:val="en-US" w:eastAsia="zh-CN"/>
        </w:rPr>
        <w:t>三是</w:t>
      </w:r>
      <w:r>
        <w:rPr>
          <w:rFonts w:hint="eastAsia" w:ascii="方正仿宋_GB2312" w:hAnsi="方正仿宋_GB2312" w:eastAsia="方正仿宋_GB2312" w:cs="方正仿宋_GB2312"/>
          <w:color w:val="auto"/>
          <w:sz w:val="32"/>
          <w:szCs w:val="32"/>
        </w:rPr>
        <w:t>适应机构改革职能调整。因县级机构改革，原县乡村振兴局职能已整合至县农业农村局，项目安排与批复的主体相应由“县巩固拓展脱贫攻坚成果同乡村振兴有效衔接工作领导小组”调整为“县委农村工作领导小组”。现行办法中涉及项目批复主体的表述需据此更新，以符合当前实际工作体制。</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0" w:firstLineChars="200"/>
        <w:jc w:val="lef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lang w:val="en-US" w:eastAsia="zh-CN"/>
        </w:rPr>
        <w:t>四是</w:t>
      </w:r>
      <w:r>
        <w:rPr>
          <w:rFonts w:hint="eastAsia" w:ascii="方正仿宋_GB2312" w:hAnsi="方正仿宋_GB2312" w:eastAsia="方正仿宋_GB2312" w:cs="方正仿宋_GB2312"/>
          <w:color w:val="auto"/>
          <w:sz w:val="32"/>
          <w:szCs w:val="32"/>
        </w:rPr>
        <w:t>落实工程质量保证金</w:t>
      </w:r>
      <w:r>
        <w:rPr>
          <w:rFonts w:hint="eastAsia" w:ascii="方正仿宋_GB2312" w:hAnsi="方正仿宋_GB2312" w:eastAsia="方正仿宋_GB2312" w:cs="方正仿宋_GB2312"/>
          <w:color w:val="auto"/>
          <w:sz w:val="32"/>
          <w:szCs w:val="32"/>
          <w:lang w:val="en-US" w:eastAsia="zh-CN"/>
        </w:rPr>
        <w:t>预留</w:t>
      </w:r>
      <w:r>
        <w:rPr>
          <w:rFonts w:hint="eastAsia" w:ascii="方正仿宋_GB2312" w:hAnsi="方正仿宋_GB2312" w:eastAsia="方正仿宋_GB2312" w:cs="方正仿宋_GB2312"/>
          <w:color w:val="auto"/>
          <w:sz w:val="32"/>
          <w:szCs w:val="32"/>
        </w:rPr>
        <w:t>规定</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依据《住房城乡建设部 财政部关于印发〈建设工程质量保证金管理办法〉的通知》（建质〔2017〕138号）规定，建设工程质量保证金需通过发包人与承包人在合同中约定，从应付工程款中预留，用于缺陷责任期内的维修。现行办法中有关质保金的预留规定需根据国家</w:t>
      </w:r>
      <w:r>
        <w:rPr>
          <w:rFonts w:hint="eastAsia" w:ascii="方正仿宋_GB2312" w:hAnsi="方正仿宋_GB2312" w:eastAsia="方正仿宋_GB2312" w:cs="方正仿宋_GB2312"/>
          <w:color w:val="auto"/>
          <w:sz w:val="32"/>
          <w:szCs w:val="32"/>
          <w:lang w:val="en-US" w:eastAsia="zh-CN"/>
        </w:rPr>
        <w:t>要求</w:t>
      </w:r>
      <w:r>
        <w:rPr>
          <w:rFonts w:hint="eastAsia" w:ascii="方正仿宋_GB2312" w:hAnsi="方正仿宋_GB2312" w:eastAsia="方正仿宋_GB2312" w:cs="方正仿宋_GB2312"/>
          <w:color w:val="auto"/>
          <w:sz w:val="32"/>
          <w:szCs w:val="32"/>
        </w:rPr>
        <w:t>进行修改完善，进一步规范</w:t>
      </w:r>
      <w:r>
        <w:rPr>
          <w:rFonts w:hint="eastAsia" w:ascii="方正仿宋_GB2312" w:hAnsi="方正仿宋_GB2312" w:eastAsia="方正仿宋_GB2312" w:cs="方正仿宋_GB2312"/>
          <w:color w:val="auto"/>
          <w:sz w:val="32"/>
          <w:szCs w:val="32"/>
          <w:lang w:val="en-US" w:eastAsia="zh-CN"/>
        </w:rPr>
        <w:t>项目工程质保金管理</w:t>
      </w:r>
      <w:r>
        <w:rPr>
          <w:rFonts w:hint="eastAsia" w:ascii="方正仿宋_GB2312" w:hAnsi="方正仿宋_GB2312" w:eastAsia="方正仿宋_GB2312" w:cs="方正仿宋_GB2312"/>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642" w:firstLineChars="200"/>
        <w:jc w:val="left"/>
        <w:textAlignment w:val="auto"/>
        <w:rPr>
          <w:rFonts w:hint="eastAsia" w:ascii="仿宋_GB2312" w:hAnsi="仿宋_GB2312" w:eastAsia="仿宋_GB2312" w:cs="仿宋_GB2312"/>
          <w:b/>
          <w:bCs w:val="0"/>
          <w:color w:val="auto"/>
          <w:sz w:val="32"/>
          <w:szCs w:val="32"/>
          <w:lang w:eastAsia="zh-CN"/>
        </w:rPr>
      </w:pPr>
      <w:r>
        <w:rPr>
          <w:rFonts w:hint="eastAsia" w:ascii="仿宋_GB2312" w:hAnsi="仿宋_GB2312" w:eastAsia="仿宋_GB2312" w:cs="仿宋_GB2312"/>
          <w:b/>
          <w:bCs w:val="0"/>
          <w:color w:val="auto"/>
          <w:sz w:val="32"/>
          <w:szCs w:val="32"/>
          <w:lang w:val="en-US" w:eastAsia="zh-CN"/>
        </w:rPr>
        <w:t>（三）</w:t>
      </w:r>
      <w:r>
        <w:rPr>
          <w:rFonts w:hint="eastAsia" w:ascii="仿宋_GB2312" w:hAnsi="仿宋_GB2312" w:eastAsia="仿宋_GB2312" w:cs="仿宋_GB2312"/>
          <w:b/>
          <w:bCs w:val="0"/>
          <w:color w:val="auto"/>
          <w:sz w:val="32"/>
          <w:szCs w:val="32"/>
        </w:rPr>
        <w:t>强化审计问题整改，切实堵塞管理漏洞</w:t>
      </w:r>
    </w:p>
    <w:p>
      <w:pPr>
        <w:widowControl/>
        <w:ind w:firstLine="640" w:firstLineChars="200"/>
        <w:jc w:val="left"/>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color w:val="auto"/>
          <w:sz w:val="32"/>
          <w:szCs w:val="32"/>
        </w:rPr>
        <w:t>近年来，在</w:t>
      </w:r>
      <w:r>
        <w:rPr>
          <w:rFonts w:hint="eastAsia" w:ascii="方正仿宋_GB2312" w:hAnsi="方正仿宋_GB2312" w:eastAsia="方正仿宋_GB2312" w:cs="方正仿宋_GB2312"/>
          <w:color w:val="auto"/>
          <w:sz w:val="32"/>
          <w:szCs w:val="32"/>
          <w:lang w:val="en-US" w:eastAsia="zh-CN"/>
        </w:rPr>
        <w:t>各级</w:t>
      </w:r>
      <w:r>
        <w:rPr>
          <w:rFonts w:hint="eastAsia" w:ascii="方正仿宋_GB2312" w:hAnsi="方正仿宋_GB2312" w:eastAsia="方正仿宋_GB2312" w:cs="方正仿宋_GB2312"/>
          <w:color w:val="auto"/>
          <w:sz w:val="32"/>
          <w:szCs w:val="32"/>
        </w:rPr>
        <w:t>衔接推进乡村振兴补助资金审计和财政专项资金检查中，反馈了若干在资金使用、项目管理等方面存在的问题</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重新制定办法旨在针对性地健全制度机制，从源头上堵塞漏洞，强化监督约束，确保资金安全、规范、高效运行。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bCs/>
          <w:color w:val="auto"/>
          <w:sz w:val="32"/>
          <w:szCs w:val="32"/>
          <w:lang w:val="en-US" w:eastAsia="zh-CN"/>
        </w:rPr>
      </w:pPr>
      <w:r>
        <w:rPr>
          <w:rFonts w:hint="eastAsia" w:ascii="黑体" w:hAnsi="黑体" w:eastAsia="黑体" w:cs="黑体"/>
          <w:b w:val="0"/>
          <w:bCs w:val="0"/>
          <w:color w:val="auto"/>
          <w:sz w:val="32"/>
          <w:szCs w:val="32"/>
          <w:lang w:val="en-US" w:eastAsia="zh-CN"/>
        </w:rPr>
        <w:t>起草过程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县财政局面向县纪委监委等12个县直相关单位和单位法律顾问征求了意见，收回征求意见函13份，经梳理，各部门共反馈有效意见12条，我局经认真研究讨论，采纳7条、部分采纳1条、不予采纳4条。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采纳的7条意见包括县农业农村局意见4条、县就业创业服务中心意见1条、县司法局2条，具体为：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1.对第十五条项目质量保证金的退回条件进行完善，修改后为从项目工程通过竣工验收合格之日起一年后无质量问题无息退回。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2.第二十一条中“档案抽查、现场核查、确保项目真实性”的责任单位明确为各行业主管部门。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3.根据《关于清理部分行政规范性文件的通知》(兴府办字(2025)10号)，《关于印发&lt;兴国县政府性投资项目预结算评审管理办法&gt;的通知》(兴府办字(2024)29号)文件已被清理。第十六条更新引用重新印发的《关于印发&lt;兴国县政府性投资项目预结算评审管理办法(修订)&gt;的通知》（兴府办字〔2025〕25号）。</w:t>
      </w:r>
    </w:p>
    <w:p>
      <w:pPr>
        <w:autoSpaceDE w:val="0"/>
        <w:autoSpaceDN w:val="0"/>
        <w:adjustRightInd w:val="0"/>
        <w:spacing w:line="560" w:lineRule="exact"/>
        <w:ind w:firstLine="640" w:firstLineChars="200"/>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4.第十四条增加严禁出现限制或排斥潜在投标人、串通投标、转包、违法分包、违规挂靠等违反招投标管理的行为。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5.对第五条衔接资金使用范围涉及“外出务工脱贫劳动力(含监测帮扶对象)稳定就业”方面进行更新完善。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6.第三十四条中“若与以前相关管理办法相冲突，则以本办法为准”与第三十三条“《兴国县人民政府办公室关于印发&lt;兴国县衔接推进乡村振兴统筹整合财政涉农资金管理办法&gt;的通知》(兴府办字〔2023〕39号)同时废止”，二者内容相冲突，删除第三十四条中相冲突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7.第三十三条规定“本办法自印发之日起施行”修改为“本办法自2025年x月x日起施行”。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部分采纳意见1条，为单位法律顾问意见，具体为：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第三十条增加公开平台具体形式</w:t>
      </w:r>
      <w:r>
        <w:rPr>
          <w:rFonts w:hint="eastAsia" w:ascii="方正仿宋_GB2312" w:hAnsi="方正仿宋_GB2312" w:eastAsia="方正仿宋_GB2312" w:cs="方正仿宋_GB2312"/>
          <w:color w:val="auto"/>
          <w:sz w:val="32"/>
          <w:szCs w:val="32"/>
          <w:lang w:val="en-US" w:eastAsia="zh-CN"/>
        </w:rPr>
        <w:t>（如政府网站/乡镇党务政务公开栏/村级“三务”公开栏）</w:t>
      </w:r>
      <w:r>
        <w:rPr>
          <w:rFonts w:hint="eastAsia" w:ascii="方正仿宋_GB2312" w:hAnsi="方正仿宋_GB2312" w:eastAsia="方正仿宋_GB2312" w:cs="方正仿宋_GB2312"/>
          <w:b w:val="0"/>
          <w:bCs w:val="0"/>
          <w:color w:val="auto"/>
          <w:sz w:val="32"/>
          <w:szCs w:val="32"/>
          <w:lang w:val="en-US" w:eastAsia="zh-CN"/>
        </w:rPr>
        <w:t>，其他公示内容因《江西省财政厅 江西省农业农村厅 江西省发展和改革委员会 江西省民族宗教事务局 江西省林业局关于修订调整衔接推进乡村振兴补助资金绩效评价相关指标的通知》（赣财农〔2024〕43号）已有明确的具体要求，本办法不做具体规定。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不采纳的4条意见为农业农村局意见1条、单位法律顾问意见3条，具体为：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1.农业农村局提出第九条中涉及的“非脱贫村”修改为“非贫困村”，经与上级部门沟通确认，目前不存在“非贫困村”的表述，统一为“非脱贫村”，不予采纳。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2.单位法律顾问提出：第五条第三项“其他相关支出”范围未明确边界，存在扩大解释风险。因省、市级衔接资金管理办法均表述为“其他相关支出”，不予采纳。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3.单位法律顾问提出：第十五条工程质量保证金条款，3%保证金比例符合行业惯例。但未规定争议解决机制(如质量纠纷由谁鉴定)。根据《</w:t>
      </w:r>
      <w:r>
        <w:rPr>
          <w:rFonts w:hint="default" w:ascii="方正仿宋_GB2312" w:hAnsi="方正仿宋_GB2312" w:eastAsia="方正仿宋_GB2312" w:cs="方正仿宋_GB2312"/>
          <w:b w:val="0"/>
          <w:bCs w:val="0"/>
          <w:color w:val="auto"/>
          <w:kern w:val="2"/>
          <w:sz w:val="32"/>
          <w:szCs w:val="32"/>
          <w:lang w:val="en-US" w:eastAsia="zh-CN" w:bidi="ar-SA"/>
        </w:rPr>
        <w:t>住房城乡建设部 财政部关于印发</w:t>
      </w:r>
      <w:r>
        <w:rPr>
          <w:rFonts w:hint="default" w:ascii="方正仿宋_GB2312" w:hAnsi="方正仿宋_GB2312" w:eastAsia="方正仿宋_GB2312" w:cs="方正仿宋_GB2312"/>
          <w:b w:val="0"/>
          <w:bCs w:val="0"/>
          <w:color w:val="auto"/>
          <w:sz w:val="32"/>
          <w:szCs w:val="32"/>
          <w:lang w:val="en-US" w:eastAsia="zh-CN"/>
        </w:rPr>
        <w:t>建设工程质量保证金管理办法的通知</w:t>
      </w:r>
      <w:r>
        <w:rPr>
          <w:rFonts w:hint="eastAsia" w:ascii="方正仿宋_GB2312" w:hAnsi="方正仿宋_GB2312" w:eastAsia="方正仿宋_GB2312" w:cs="方正仿宋_GB2312"/>
          <w:b w:val="0"/>
          <w:bCs w:val="0"/>
          <w:color w:val="auto"/>
          <w:sz w:val="32"/>
          <w:szCs w:val="32"/>
          <w:lang w:val="en-US" w:eastAsia="zh-CN"/>
        </w:rPr>
        <w:t>》（</w:t>
      </w:r>
      <w:r>
        <w:rPr>
          <w:rFonts w:hint="default" w:ascii="方正仿宋_GB2312" w:hAnsi="方正仿宋_GB2312" w:eastAsia="方正仿宋_GB2312" w:cs="方正仿宋_GB2312"/>
          <w:b w:val="0"/>
          <w:bCs w:val="0"/>
          <w:color w:val="auto"/>
          <w:sz w:val="32"/>
          <w:szCs w:val="32"/>
          <w:lang w:val="en-US" w:eastAsia="zh-CN"/>
        </w:rPr>
        <w:t>建质[2017]138号</w:t>
      </w:r>
      <w:r>
        <w:rPr>
          <w:rFonts w:hint="eastAsia" w:ascii="方正仿宋_GB2312" w:hAnsi="方正仿宋_GB2312" w:eastAsia="方正仿宋_GB2312" w:cs="方正仿宋_GB2312"/>
          <w:b w:val="0"/>
          <w:bCs w:val="0"/>
          <w:color w:val="auto"/>
          <w:sz w:val="32"/>
          <w:szCs w:val="32"/>
          <w:lang w:val="en-US" w:eastAsia="zh-CN"/>
        </w:rPr>
        <w:t>）规定，“发包人应当在招标文件中明确工程质量保证金预留、返还、争议处置程序等内容……”，故本办法不对质保金争议解决机制等内容做具体规定，不予采纳。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b w:val="0"/>
          <w:bCs w:val="0"/>
          <w:color w:val="auto"/>
          <w:sz w:val="32"/>
          <w:szCs w:val="32"/>
          <w:lang w:val="en-US" w:eastAsia="zh-CN"/>
        </w:rPr>
        <w:t>4.单位法律顾问提出：第二十七条要求清理结余资金，但未规定上缴时限及程序。建议补充“项目完工后60日内经审计确认结余，由财政统一收回”，明确结余资金处理规则。因未找到“完工后60日内收回结余资金”的法律法规依据，且本办法中已经明确项目结余资金需及时上缴，不予采纳。</w:t>
      </w:r>
    </w:p>
    <w:p>
      <w:pPr>
        <w:pStyle w:val="8"/>
        <w:keepNext w:val="0"/>
        <w:keepLines w:val="0"/>
        <w:pageBreakBefore w:val="0"/>
        <w:widowControl w:val="0"/>
        <w:numPr>
          <w:ilvl w:val="0"/>
          <w:numId w:val="0"/>
        </w:numPr>
        <w:kinsoku/>
        <w:wordWrap/>
        <w:overflowPunct/>
        <w:topLinePunct w:val="0"/>
        <w:bidi w:val="0"/>
        <w:snapToGrid/>
        <w:spacing w:line="560" w:lineRule="exact"/>
        <w:ind w:firstLine="640" w:firstLineChars="200"/>
        <w:textAlignment w:val="auto"/>
        <w:rPr>
          <w:rFonts w:hint="eastAsia" w:ascii="黑体" w:hAnsi="黑体" w:eastAsia="黑体" w:cs="黑体"/>
          <w:b w:val="0"/>
          <w:bCs w:val="0"/>
          <w:color w:val="auto"/>
          <w:kern w:val="2"/>
          <w:sz w:val="32"/>
          <w:szCs w:val="32"/>
          <w:lang w:val="en-US" w:eastAsia="zh-CN" w:bidi="ar-SA"/>
        </w:rPr>
      </w:pPr>
      <w:r>
        <w:rPr>
          <w:rFonts w:hint="eastAsia" w:ascii="黑体" w:hAnsi="黑体" w:eastAsia="黑体" w:cs="黑体"/>
          <w:b w:val="0"/>
          <w:bCs w:val="0"/>
          <w:color w:val="auto"/>
          <w:kern w:val="2"/>
          <w:sz w:val="32"/>
          <w:szCs w:val="32"/>
          <w:lang w:val="en-US" w:eastAsia="zh-CN" w:bidi="ar-SA"/>
        </w:rPr>
        <w:t>三、资金管理办法框架</w:t>
      </w:r>
    </w:p>
    <w:p>
      <w:pPr>
        <w:keepNext w:val="0"/>
        <w:keepLines w:val="0"/>
        <w:pageBreakBefore w:val="0"/>
        <w:widowControl w:val="0"/>
        <w:kinsoku/>
        <w:wordWrap/>
        <w:overflowPunct/>
        <w:topLinePunct w:val="0"/>
        <w:bidi w:val="0"/>
        <w:snapToGrid/>
        <w:spacing w:line="560" w:lineRule="exact"/>
        <w:ind w:firstLine="640"/>
        <w:jc w:val="left"/>
        <w:textAlignment w:val="auto"/>
        <w:rPr>
          <w:rFonts w:hint="eastAsia" w:ascii="方正仿宋_GB2312" w:hAnsi="方正仿宋_GB2312" w:eastAsia="方正仿宋_GB2312" w:cs="方正仿宋_GB2312"/>
          <w:b w:val="0"/>
          <w:bCs w:val="0"/>
          <w:color w:val="auto"/>
          <w:sz w:val="32"/>
          <w:szCs w:val="32"/>
          <w:lang w:val="en-US" w:eastAsia="zh-CN"/>
        </w:rPr>
      </w:pPr>
      <w:r>
        <w:rPr>
          <w:rFonts w:hint="eastAsia" w:ascii="方正仿宋_GB2312" w:hAnsi="方正仿宋_GB2312" w:eastAsia="方正仿宋_GB2312" w:cs="方正仿宋_GB2312"/>
          <w:color w:val="auto"/>
          <w:kern w:val="32"/>
          <w:sz w:val="32"/>
          <w:szCs w:val="32"/>
          <w:lang w:val="en-US" w:eastAsia="zh-CN" w:bidi="ar-SA"/>
        </w:rPr>
        <w:t>《</w:t>
      </w:r>
      <w:r>
        <w:rPr>
          <w:rFonts w:hint="eastAsia" w:ascii="方正仿宋_GB2312" w:hAnsi="方正仿宋_GB2312" w:eastAsia="方正仿宋_GB2312" w:cs="方正仿宋_GB2312"/>
          <w:b w:val="0"/>
          <w:bCs w:val="0"/>
          <w:color w:val="auto"/>
          <w:sz w:val="32"/>
          <w:szCs w:val="32"/>
          <w:lang w:val="en-US" w:eastAsia="zh-CN"/>
        </w:rPr>
        <w:t>兴国县衔接推进乡村振兴补助资金管理办法（讨论稿）》包含八大章共计三十四条，主要包括衔接推进乡村振兴补助资金使用范围（一是支持巩固拓展脱贫攻坚成果；二是支持衔接推进乡村振兴；三是巩固拓展脱贫攻坚成果同乡村振兴有效衔接的其他相关支出）、资金预算与资金分配、资金使用管理、部门职责分工、项目资金绩效考核、资金监督检查等方面，对兴国县衔接推进乡村振兴补助资金使用范围、预算、分配、使用管理、绩效考核、监督检查等各环节作出了详细规定。</w:t>
      </w:r>
    </w:p>
    <w:p>
      <w:pPr>
        <w:keepNext w:val="0"/>
        <w:keepLines w:val="0"/>
        <w:pageBreakBefore w:val="0"/>
        <w:widowControl w:val="0"/>
        <w:kinsoku/>
        <w:wordWrap/>
        <w:overflowPunct/>
        <w:topLinePunct w:val="0"/>
        <w:bidi w:val="0"/>
        <w:snapToGrid/>
        <w:spacing w:line="560" w:lineRule="exact"/>
        <w:ind w:firstLine="640"/>
        <w:jc w:val="left"/>
        <w:textAlignment w:val="auto"/>
        <w:rPr>
          <w:rFonts w:hint="eastAsia" w:ascii="方正仿宋_GB2312" w:hAnsi="方正仿宋_GB2312" w:eastAsia="方正仿宋_GB2312" w:cs="方正仿宋_GB2312"/>
          <w:b w:val="0"/>
          <w:bCs w:val="0"/>
          <w:color w:val="auto"/>
          <w:sz w:val="32"/>
          <w:szCs w:val="32"/>
          <w:lang w:val="en-US" w:eastAsia="zh-CN"/>
        </w:rPr>
      </w:pPr>
    </w:p>
    <w:p>
      <w:pPr>
        <w:keepNext w:val="0"/>
        <w:keepLines w:val="0"/>
        <w:pageBreakBefore w:val="0"/>
        <w:widowControl w:val="0"/>
        <w:kinsoku/>
        <w:wordWrap/>
        <w:overflowPunct/>
        <w:topLinePunct w:val="0"/>
        <w:bidi w:val="0"/>
        <w:snapToGrid/>
        <w:spacing w:line="560" w:lineRule="exact"/>
        <w:ind w:firstLine="5446" w:firstLineChars="1702"/>
        <w:jc w:val="left"/>
        <w:textAlignment w:val="auto"/>
        <w:rPr>
          <w:rFonts w:hint="eastAsia" w:asciiTheme="minorEastAsia" w:hAnsiTheme="minorEastAsia" w:cstheme="minorEastAsia"/>
          <w:b/>
          <w:bCs/>
          <w:color w:val="auto"/>
          <w:sz w:val="36"/>
          <w:szCs w:val="36"/>
          <w:lang w:eastAsia="zh-CN"/>
        </w:rPr>
      </w:pPr>
      <w:r>
        <w:rPr>
          <w:rFonts w:hint="eastAsia" w:ascii="方正仿宋_GB2312" w:hAnsi="方正仿宋_GB2312" w:eastAsia="方正仿宋_GB2312" w:cs="方正仿宋_GB2312"/>
          <w:b w:val="0"/>
          <w:bCs w:val="0"/>
          <w:color w:val="auto"/>
          <w:sz w:val="32"/>
          <w:szCs w:val="32"/>
          <w:lang w:val="en-US" w:eastAsia="zh-CN"/>
        </w:rPr>
        <w:t>2025年7月28日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B99D0"/>
    <w:multiLevelType w:val="singleLevel"/>
    <w:tmpl w:val="5FDB99D0"/>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YmE1OWU2YjhjNTAyMWI1MDYyMWZmNWE1OTY4ZDEifQ=="/>
  </w:docVars>
  <w:rsids>
    <w:rsidRoot w:val="00000000"/>
    <w:rsid w:val="00930024"/>
    <w:rsid w:val="014F6526"/>
    <w:rsid w:val="01634F9E"/>
    <w:rsid w:val="016A5229"/>
    <w:rsid w:val="01F37F14"/>
    <w:rsid w:val="023A109F"/>
    <w:rsid w:val="031E169A"/>
    <w:rsid w:val="03A414F7"/>
    <w:rsid w:val="03F31506"/>
    <w:rsid w:val="05704DD8"/>
    <w:rsid w:val="070036FD"/>
    <w:rsid w:val="082C3238"/>
    <w:rsid w:val="085B1D6F"/>
    <w:rsid w:val="08E25E9D"/>
    <w:rsid w:val="0AFA3738"/>
    <w:rsid w:val="0B9C34AD"/>
    <w:rsid w:val="0C353A40"/>
    <w:rsid w:val="0C880C59"/>
    <w:rsid w:val="0D5154EF"/>
    <w:rsid w:val="0D554DBB"/>
    <w:rsid w:val="0EC1265A"/>
    <w:rsid w:val="0F4B669A"/>
    <w:rsid w:val="0FD77F2D"/>
    <w:rsid w:val="0FE443F8"/>
    <w:rsid w:val="10C11CD4"/>
    <w:rsid w:val="11287383"/>
    <w:rsid w:val="11F97259"/>
    <w:rsid w:val="12C027BC"/>
    <w:rsid w:val="12C66392"/>
    <w:rsid w:val="136441CE"/>
    <w:rsid w:val="139B5716"/>
    <w:rsid w:val="13F05194"/>
    <w:rsid w:val="1432607A"/>
    <w:rsid w:val="145313D7"/>
    <w:rsid w:val="15130A36"/>
    <w:rsid w:val="15745AD5"/>
    <w:rsid w:val="159E537C"/>
    <w:rsid w:val="166C49E5"/>
    <w:rsid w:val="17017F86"/>
    <w:rsid w:val="17C3523B"/>
    <w:rsid w:val="187D0EAD"/>
    <w:rsid w:val="196268B4"/>
    <w:rsid w:val="1B241907"/>
    <w:rsid w:val="1BC75D06"/>
    <w:rsid w:val="1BEF2AA3"/>
    <w:rsid w:val="1BFE4A94"/>
    <w:rsid w:val="1C183DA8"/>
    <w:rsid w:val="1CBF4E5C"/>
    <w:rsid w:val="1CD04682"/>
    <w:rsid w:val="1D1D4C06"/>
    <w:rsid w:val="1D5C3938"/>
    <w:rsid w:val="1DE06B47"/>
    <w:rsid w:val="1E5F5CBE"/>
    <w:rsid w:val="1E8110F9"/>
    <w:rsid w:val="1EB631D6"/>
    <w:rsid w:val="1EBD0996"/>
    <w:rsid w:val="1ED1023E"/>
    <w:rsid w:val="1FEF3071"/>
    <w:rsid w:val="20C30F88"/>
    <w:rsid w:val="20C77B4A"/>
    <w:rsid w:val="20DA0C08"/>
    <w:rsid w:val="212C5C20"/>
    <w:rsid w:val="21E432AB"/>
    <w:rsid w:val="2216470F"/>
    <w:rsid w:val="22486A69"/>
    <w:rsid w:val="224F429B"/>
    <w:rsid w:val="245A2A83"/>
    <w:rsid w:val="25180974"/>
    <w:rsid w:val="252E0198"/>
    <w:rsid w:val="260809E9"/>
    <w:rsid w:val="26543C2E"/>
    <w:rsid w:val="27D33279"/>
    <w:rsid w:val="28094EEC"/>
    <w:rsid w:val="28EA087A"/>
    <w:rsid w:val="298760C9"/>
    <w:rsid w:val="29F23E8A"/>
    <w:rsid w:val="29F37C02"/>
    <w:rsid w:val="2A025B5F"/>
    <w:rsid w:val="2A7F1496"/>
    <w:rsid w:val="2B7D11BB"/>
    <w:rsid w:val="2C02237E"/>
    <w:rsid w:val="2C473674"/>
    <w:rsid w:val="2D5B7F98"/>
    <w:rsid w:val="2D5C786C"/>
    <w:rsid w:val="2D5F2184"/>
    <w:rsid w:val="2D855015"/>
    <w:rsid w:val="2DA01E4F"/>
    <w:rsid w:val="2DC07DFB"/>
    <w:rsid w:val="2E0423DE"/>
    <w:rsid w:val="2E3E1D3B"/>
    <w:rsid w:val="2E7330BF"/>
    <w:rsid w:val="2EA66FF1"/>
    <w:rsid w:val="2F794705"/>
    <w:rsid w:val="2FA379D4"/>
    <w:rsid w:val="30497A23"/>
    <w:rsid w:val="30847806"/>
    <w:rsid w:val="31126BC0"/>
    <w:rsid w:val="31771119"/>
    <w:rsid w:val="327720A6"/>
    <w:rsid w:val="35310A84"/>
    <w:rsid w:val="359027A9"/>
    <w:rsid w:val="360C62D3"/>
    <w:rsid w:val="365657A0"/>
    <w:rsid w:val="36A52284"/>
    <w:rsid w:val="36C75EC5"/>
    <w:rsid w:val="374B4BD9"/>
    <w:rsid w:val="375241BA"/>
    <w:rsid w:val="37A1025A"/>
    <w:rsid w:val="3862667F"/>
    <w:rsid w:val="38C56C0D"/>
    <w:rsid w:val="38F63ED4"/>
    <w:rsid w:val="3AEE244B"/>
    <w:rsid w:val="3B1D688D"/>
    <w:rsid w:val="3B7B1805"/>
    <w:rsid w:val="3CD334F8"/>
    <w:rsid w:val="3CE77152"/>
    <w:rsid w:val="3E52626F"/>
    <w:rsid w:val="3E6A432B"/>
    <w:rsid w:val="3EE75475"/>
    <w:rsid w:val="419E0313"/>
    <w:rsid w:val="42164036"/>
    <w:rsid w:val="42274495"/>
    <w:rsid w:val="431F21D3"/>
    <w:rsid w:val="435C1F1C"/>
    <w:rsid w:val="44B30262"/>
    <w:rsid w:val="44D501D8"/>
    <w:rsid w:val="45772F73"/>
    <w:rsid w:val="45F002CC"/>
    <w:rsid w:val="45F45767"/>
    <w:rsid w:val="4631143E"/>
    <w:rsid w:val="48360F8E"/>
    <w:rsid w:val="488717E9"/>
    <w:rsid w:val="48D02244"/>
    <w:rsid w:val="49DC5B65"/>
    <w:rsid w:val="4A6C027D"/>
    <w:rsid w:val="4AC05487"/>
    <w:rsid w:val="4B4E4840"/>
    <w:rsid w:val="4BC2371E"/>
    <w:rsid w:val="4C324162"/>
    <w:rsid w:val="4C7E2F03"/>
    <w:rsid w:val="4CA61027"/>
    <w:rsid w:val="4CFA723F"/>
    <w:rsid w:val="4D7762D0"/>
    <w:rsid w:val="4DFA2A5E"/>
    <w:rsid w:val="4F936CC6"/>
    <w:rsid w:val="4FDF63AF"/>
    <w:rsid w:val="50001DC2"/>
    <w:rsid w:val="507E34D2"/>
    <w:rsid w:val="5166486C"/>
    <w:rsid w:val="51B9634A"/>
    <w:rsid w:val="51E8779D"/>
    <w:rsid w:val="526037D7"/>
    <w:rsid w:val="53AC65A8"/>
    <w:rsid w:val="53DC50DF"/>
    <w:rsid w:val="53EE17E5"/>
    <w:rsid w:val="544607AB"/>
    <w:rsid w:val="54AA3408"/>
    <w:rsid w:val="550C5718"/>
    <w:rsid w:val="55313209"/>
    <w:rsid w:val="55BA1450"/>
    <w:rsid w:val="57201787"/>
    <w:rsid w:val="57AF2B0B"/>
    <w:rsid w:val="58704048"/>
    <w:rsid w:val="590943BB"/>
    <w:rsid w:val="5A8C55BC"/>
    <w:rsid w:val="5AE12FDB"/>
    <w:rsid w:val="5B523ED9"/>
    <w:rsid w:val="5B6A24FC"/>
    <w:rsid w:val="5BCF72D8"/>
    <w:rsid w:val="5BD3501A"/>
    <w:rsid w:val="5BF71023"/>
    <w:rsid w:val="5C544055"/>
    <w:rsid w:val="5CA40764"/>
    <w:rsid w:val="5CAB38A1"/>
    <w:rsid w:val="5D2D69AC"/>
    <w:rsid w:val="5E8048B9"/>
    <w:rsid w:val="5EEB4428"/>
    <w:rsid w:val="5EF22D7B"/>
    <w:rsid w:val="5F3758C0"/>
    <w:rsid w:val="5FB33816"/>
    <w:rsid w:val="61724130"/>
    <w:rsid w:val="61BE6D19"/>
    <w:rsid w:val="62134E52"/>
    <w:rsid w:val="62384922"/>
    <w:rsid w:val="62AF7E63"/>
    <w:rsid w:val="62C7246E"/>
    <w:rsid w:val="63361EB9"/>
    <w:rsid w:val="634F2C57"/>
    <w:rsid w:val="63B75221"/>
    <w:rsid w:val="63ED479F"/>
    <w:rsid w:val="647A2A00"/>
    <w:rsid w:val="648D7D30"/>
    <w:rsid w:val="64FB738F"/>
    <w:rsid w:val="64FD3107"/>
    <w:rsid w:val="658E3D60"/>
    <w:rsid w:val="667E2026"/>
    <w:rsid w:val="679B2764"/>
    <w:rsid w:val="67A84B7A"/>
    <w:rsid w:val="67DB7004"/>
    <w:rsid w:val="67F00D02"/>
    <w:rsid w:val="69981651"/>
    <w:rsid w:val="69D501AF"/>
    <w:rsid w:val="6BD83F86"/>
    <w:rsid w:val="6C2157F2"/>
    <w:rsid w:val="6DC9002B"/>
    <w:rsid w:val="6DFB5D0A"/>
    <w:rsid w:val="6E3B6CEE"/>
    <w:rsid w:val="70793906"/>
    <w:rsid w:val="70FA499F"/>
    <w:rsid w:val="7176185D"/>
    <w:rsid w:val="718B57DB"/>
    <w:rsid w:val="73134391"/>
    <w:rsid w:val="739A5FC5"/>
    <w:rsid w:val="73BB0416"/>
    <w:rsid w:val="74716D26"/>
    <w:rsid w:val="74EC2851"/>
    <w:rsid w:val="757E693A"/>
    <w:rsid w:val="75AD3D8E"/>
    <w:rsid w:val="76946280"/>
    <w:rsid w:val="770C2D36"/>
    <w:rsid w:val="77CD0717"/>
    <w:rsid w:val="77DE2925"/>
    <w:rsid w:val="786F7A21"/>
    <w:rsid w:val="78F82897"/>
    <w:rsid w:val="7A195E96"/>
    <w:rsid w:val="7A765096"/>
    <w:rsid w:val="7B4A7C03"/>
    <w:rsid w:val="7B603F74"/>
    <w:rsid w:val="7B62561B"/>
    <w:rsid w:val="7C765821"/>
    <w:rsid w:val="7ECA59B1"/>
    <w:rsid w:val="7EF0118F"/>
    <w:rsid w:val="7F26327B"/>
    <w:rsid w:val="7F9A0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Default"/>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2858</Words>
  <Characters>2960</Characters>
  <Lines>0</Lines>
  <Paragraphs>0</Paragraphs>
  <TotalTime>19</TotalTime>
  <ScaleCrop>false</ScaleCrop>
  <LinksUpToDate>false</LinksUpToDate>
  <CharactersWithSpaces>2984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2023-05-08T09:37:00Z</dcterms:created>
  <dc:creator>Administrator</dc:creator>
  <cp:lastModifiedBy>bgs</cp:lastModifiedBy>
  <cp:lastPrinted>2025-07-30T15:45:00Z</cp:lastPrinted>
  <dcterms:modified xsi:type="dcterms:W3CDTF">2025-11-11T15:44:10Z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09C48E3C99C74F048D7220ABB8CE23D0_12</vt:lpwstr>
  </property>
  <property fmtid="{D5CDD505-2E9C-101B-9397-08002B2CF9AE}" pid="4" name="KSOTemplateDocerSaveRecord">
    <vt:lpwstr>eyJoZGlkIjoiYzBhYmE1OWU2YjhjNTAyMWI1MDYyMWZmNWE1OTY4ZDEiLCJ1c2VySWQiOiI0OTE4OTc2MDUifQ==</vt:lpwstr>
  </property>
</Properties>
</file>