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黑体"/>
          <w:bCs/>
          <w:sz w:val="48"/>
          <w:szCs w:val="48"/>
        </w:rPr>
      </w:pPr>
      <w:r>
        <w:rPr>
          <w:rFonts w:hint="eastAsia" w:ascii="黑体" w:hAnsi="黑体" w:eastAsia="黑体" w:cs="黑体"/>
          <w:bCs/>
          <w:sz w:val="48"/>
          <w:szCs w:val="48"/>
        </w:rPr>
        <w:t>兴国县老干部活动中心2023年</w:t>
      </w:r>
    </w:p>
    <w:p>
      <w:pPr>
        <w:spacing w:line="560" w:lineRule="exact"/>
        <w:jc w:val="center"/>
        <w:rPr>
          <w:rFonts w:ascii="黑体" w:hAnsi="黑体" w:eastAsia="黑体" w:cs="黑体"/>
          <w:bCs/>
          <w:sz w:val="48"/>
          <w:szCs w:val="48"/>
        </w:rPr>
      </w:pPr>
      <w:r>
        <w:rPr>
          <w:rFonts w:hint="eastAsia" w:ascii="黑体" w:hAnsi="黑体" w:eastAsia="黑体" w:cs="黑体"/>
          <w:bCs/>
          <w:sz w:val="48"/>
          <w:szCs w:val="48"/>
        </w:rPr>
        <w:t>单位预算编制说明</w:t>
      </w:r>
    </w:p>
    <w:p>
      <w:pPr>
        <w:spacing w:line="560" w:lineRule="exact"/>
        <w:jc w:val="left"/>
        <w:rPr>
          <w:rFonts w:ascii="宋体" w:hAnsi="宋体" w:cs="宋体"/>
          <w:bCs/>
          <w:sz w:val="28"/>
          <w:szCs w:val="28"/>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兴国县老干部活动中心概况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一、单位主要职责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二、单位基本情况</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 兴国县老干部活动中心预算情况说明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一、老干部活动中心2023年单位预算收支情况说明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二、老干部活动中心“三公”经费预算情况说明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 兴国县老干部活动中心预算表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二、《单位收入总表》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三、《单位支出总表》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pPr>
      <w:r>
        <w:rPr>
          <w:rFonts w:hint="eastAsia" w:ascii="仿宋" w:hAnsi="仿宋" w:eastAsia="仿宋" w:cs="仿宋"/>
          <w:sz w:val="32"/>
          <w:szCs w:val="32"/>
        </w:rPr>
        <w:t>九、《国有资本经营预算支出表》</w:t>
      </w:r>
    </w:p>
    <w:p>
      <w:pPr>
        <w:spacing w:line="560" w:lineRule="exact"/>
        <w:ind w:left="634" w:leftChars="284" w:hanging="38" w:hangingChars="12"/>
        <w:rPr>
          <w:rFonts w:ascii="仿宋" w:hAnsi="仿宋" w:eastAsia="仿宋" w:cs="仿宋"/>
          <w:b/>
          <w:bCs/>
          <w:sz w:val="32"/>
          <w:szCs w:val="32"/>
        </w:rPr>
      </w:pPr>
      <w:r>
        <w:rPr>
          <w:rFonts w:hint="eastAsia" w:ascii="仿宋" w:hAnsi="仿宋" w:eastAsia="仿宋" w:cs="仿宋"/>
          <w:sz w:val="32"/>
          <w:szCs w:val="32"/>
        </w:rPr>
        <w:t>十、《项目支出绩效目标表》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 兴国县老干部活动中心概况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一、单位主要职责</w:t>
      </w:r>
    </w:p>
    <w:p>
      <w:pPr>
        <w:ind w:firstLine="640" w:firstLineChars="200"/>
        <w:rPr>
          <w:rFonts w:ascii="仿宋" w:hAnsi="仿宋" w:eastAsia="仿宋"/>
          <w:sz w:val="32"/>
          <w:szCs w:val="32"/>
        </w:rPr>
      </w:pPr>
      <w:r>
        <w:rPr>
          <w:rFonts w:hint="eastAsia" w:ascii="仿宋" w:hAnsi="仿宋" w:eastAsia="仿宋"/>
          <w:sz w:val="32"/>
          <w:szCs w:val="32"/>
        </w:rPr>
        <w:t>贯彻执行党和国家的老干部工作方针、政策，会同有关单位研究拟定切合本县实际的老干部工作政策、规定；了解掌握全县老干部工作的信息和动态，解决新情况和新问题；负责全县离退休干部的“两项待遇”的贯彻落实，完善老干部的保障机制；负责全县离退休干部的政治学习，帮助抓好老干部党支部建设和老干部思想政治工作；指导协调有关单位办理县级离休干部和科级退休干部的丧事治理工作；负责在外兴国籍老干部及其家属子女返县的接待工作；负责抓好老干部活动中心和县老年大学的日常管理工作；指导县关心下一代工作。</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二、单位基本情况</w:t>
      </w:r>
    </w:p>
    <w:p>
      <w:pPr>
        <w:ind w:firstLine="640" w:firstLineChars="200"/>
        <w:rPr>
          <w:rFonts w:ascii="仿宋" w:hAnsi="仿宋" w:eastAsia="仿宋"/>
          <w:sz w:val="32"/>
          <w:szCs w:val="32"/>
        </w:rPr>
      </w:pPr>
      <w:r>
        <w:rPr>
          <w:rFonts w:hint="eastAsia" w:ascii="仿宋" w:hAnsi="仿宋" w:eastAsia="仿宋" w:cs="仿宋"/>
          <w:sz w:val="32"/>
          <w:szCs w:val="32"/>
        </w:rPr>
        <w:t>2023年</w:t>
      </w:r>
      <w:r>
        <w:rPr>
          <w:rFonts w:hint="eastAsia" w:ascii="仿宋" w:hAnsi="仿宋" w:eastAsia="仿宋"/>
          <w:sz w:val="32"/>
          <w:szCs w:val="32"/>
        </w:rPr>
        <w:t>老干部活动中心共设3个内设机构</w:t>
      </w:r>
      <w:r>
        <w:rPr>
          <w:rFonts w:ascii="仿宋" w:hAnsi="仿宋" w:eastAsia="仿宋"/>
          <w:sz w:val="32"/>
          <w:szCs w:val="32"/>
        </w:rPr>
        <w:t>，包括</w:t>
      </w:r>
      <w:r>
        <w:rPr>
          <w:rFonts w:hint="eastAsia" w:ascii="仿宋" w:hAnsi="仿宋" w:eastAsia="仿宋"/>
          <w:sz w:val="32"/>
          <w:szCs w:val="32"/>
        </w:rPr>
        <w:t>：综合股、关心下一代工作服务股、老干部活动服务股。</w:t>
      </w:r>
    </w:p>
    <w:p>
      <w:pPr>
        <w:spacing w:line="560" w:lineRule="exact"/>
        <w:ind w:firstLine="640" w:firstLineChars="200"/>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kern w:val="0"/>
          <w:sz w:val="32"/>
          <w:szCs w:val="32"/>
        </w:rPr>
        <w:t>10</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sz w:val="32"/>
          <w:szCs w:val="32"/>
        </w:rPr>
        <w:t>0</w:t>
      </w:r>
      <w:r>
        <w:rPr>
          <w:rFonts w:ascii="仿宋" w:hAnsi="仿宋" w:eastAsia="仿宋"/>
          <w:sz w:val="32"/>
          <w:szCs w:val="32"/>
        </w:rPr>
        <w:t>人,参照公务员管理的事业编制人数</w:t>
      </w:r>
      <w:r>
        <w:rPr>
          <w:rFonts w:hint="eastAsia" w:ascii="仿宋" w:hAnsi="仿宋" w:eastAsia="仿宋"/>
          <w:kern w:val="0"/>
          <w:sz w:val="32"/>
          <w:szCs w:val="32"/>
        </w:rPr>
        <w:t>0</w:t>
      </w:r>
      <w:r>
        <w:rPr>
          <w:rFonts w:ascii="仿宋" w:hAnsi="仿宋" w:eastAsia="仿宋"/>
          <w:sz w:val="32"/>
          <w:szCs w:val="32"/>
        </w:rPr>
        <w:t>人,全部补助事业编制人数</w:t>
      </w:r>
      <w:r>
        <w:rPr>
          <w:rFonts w:hint="eastAsia" w:ascii="仿宋" w:hAnsi="仿宋" w:eastAsia="仿宋"/>
          <w:sz w:val="32"/>
          <w:szCs w:val="32"/>
          <w:u w:val="single"/>
        </w:rPr>
        <w:t>10</w:t>
      </w:r>
      <w:r>
        <w:rPr>
          <w:rFonts w:ascii="仿宋" w:hAnsi="仿宋" w:eastAsia="仿宋"/>
          <w:sz w:val="32"/>
          <w:szCs w:val="32"/>
        </w:rPr>
        <w:t>人,自收自支编制人数</w:t>
      </w:r>
      <w:r>
        <w:rPr>
          <w:rFonts w:hint="eastAsia" w:ascii="仿宋" w:hAnsi="仿宋" w:eastAsia="仿宋"/>
          <w:kern w:val="0"/>
          <w:sz w:val="32"/>
          <w:szCs w:val="32"/>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kern w:val="0"/>
          <w:sz w:val="32"/>
          <w:szCs w:val="32"/>
        </w:rPr>
        <w:t>9</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kern w:val="0"/>
          <w:sz w:val="32"/>
          <w:szCs w:val="32"/>
        </w:rPr>
        <w:t>9</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kern w:val="0"/>
          <w:sz w:val="32"/>
          <w:szCs w:val="32"/>
        </w:rPr>
        <w:t>0</w:t>
      </w:r>
      <w:r>
        <w:rPr>
          <w:rFonts w:ascii="仿宋" w:hAnsi="仿宋" w:eastAsia="仿宋"/>
          <w:sz w:val="32"/>
          <w:szCs w:val="32"/>
        </w:rPr>
        <w:t>人,参照公务员管理的事业单位在职人数</w:t>
      </w:r>
      <w:r>
        <w:rPr>
          <w:rFonts w:hint="eastAsia" w:ascii="仿宋" w:hAnsi="仿宋" w:eastAsia="仿宋"/>
          <w:kern w:val="0"/>
          <w:sz w:val="32"/>
          <w:szCs w:val="32"/>
        </w:rPr>
        <w:t>0</w:t>
      </w:r>
      <w:r>
        <w:rPr>
          <w:rFonts w:ascii="仿宋" w:hAnsi="仿宋" w:eastAsia="仿宋"/>
          <w:sz w:val="32"/>
          <w:szCs w:val="32"/>
        </w:rPr>
        <w:t>人,全部补助事业在职人数</w:t>
      </w:r>
      <w:r>
        <w:rPr>
          <w:rFonts w:hint="eastAsia" w:ascii="仿宋" w:hAnsi="仿宋" w:eastAsia="仿宋"/>
          <w:kern w:val="0"/>
          <w:sz w:val="32"/>
          <w:szCs w:val="32"/>
        </w:rPr>
        <w:t>9</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kern w:val="0"/>
          <w:sz w:val="32"/>
          <w:szCs w:val="32"/>
        </w:rPr>
        <w:t>0</w:t>
      </w:r>
      <w:r>
        <w:rPr>
          <w:rFonts w:ascii="仿宋" w:hAnsi="仿宋" w:eastAsia="仿宋"/>
          <w:sz w:val="32"/>
          <w:szCs w:val="32"/>
        </w:rPr>
        <w:t>人,退休人数小计</w:t>
      </w:r>
      <w:r>
        <w:rPr>
          <w:rFonts w:hint="eastAsia" w:ascii="仿宋" w:hAnsi="仿宋" w:eastAsia="仿宋"/>
          <w:kern w:val="0"/>
          <w:sz w:val="32"/>
          <w:szCs w:val="32"/>
        </w:rPr>
        <w:t>2</w:t>
      </w:r>
      <w:r>
        <w:rPr>
          <w:rFonts w:ascii="仿宋" w:hAnsi="仿宋" w:eastAsia="仿宋"/>
          <w:sz w:val="32"/>
          <w:szCs w:val="32"/>
        </w:rPr>
        <w:t>人,退职人员</w:t>
      </w:r>
      <w:r>
        <w:rPr>
          <w:rFonts w:hint="eastAsia" w:ascii="仿宋" w:hAnsi="仿宋" w:eastAsia="仿宋"/>
          <w:kern w:val="0"/>
          <w:sz w:val="32"/>
          <w:szCs w:val="32"/>
        </w:rPr>
        <w:t>0</w:t>
      </w:r>
      <w:r>
        <w:rPr>
          <w:rFonts w:ascii="仿宋" w:hAnsi="仿宋" w:eastAsia="仿宋"/>
          <w:sz w:val="32"/>
          <w:szCs w:val="32"/>
        </w:rPr>
        <w:t>人,遗属人数</w:t>
      </w:r>
      <w:r>
        <w:rPr>
          <w:rFonts w:hint="eastAsia" w:ascii="仿宋" w:hAnsi="仿宋" w:eastAsia="仿宋"/>
          <w:kern w:val="0"/>
          <w:sz w:val="32"/>
          <w:szCs w:val="32"/>
        </w:rPr>
        <w:t>1</w:t>
      </w:r>
      <w:r>
        <w:rPr>
          <w:rFonts w:ascii="仿宋" w:hAnsi="仿宋" w:eastAsia="仿宋"/>
          <w:sz w:val="32"/>
          <w:szCs w:val="32"/>
        </w:rPr>
        <w:t>人。</w:t>
      </w:r>
      <w:r>
        <w:fldChar w:fldCharType="end"/>
      </w:r>
    </w:p>
    <w:p>
      <w:pPr>
        <w:pStyle w:val="3"/>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第二部分 兴国县老干部活动中心预算情况说明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一、2023年单位预算收支情况说明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600" w:lineRule="exact"/>
        <w:ind w:firstLine="692" w:firstLineChars="200"/>
        <w:rPr>
          <w:rFonts w:ascii="仿宋" w:hAnsi="仿宋" w:eastAsia="仿宋" w:cs="仿宋"/>
          <w:spacing w:val="23"/>
          <w:sz w:val="30"/>
          <w:szCs w:val="30"/>
        </w:rPr>
      </w:pPr>
      <w:r>
        <w:rPr>
          <w:rFonts w:hint="eastAsia" w:ascii="仿宋" w:hAnsi="仿宋" w:eastAsia="仿宋" w:cs="仿宋"/>
          <w:spacing w:val="23"/>
          <w:sz w:val="30"/>
          <w:szCs w:val="30"/>
        </w:rPr>
        <w:t>2023年本单位收入预算总额438.99万元，较上年预算安排减少76.83万元，减少14.9%。增减变化主要原因是：减少变化主要原因是：根据财政预算资金“零基预算”管理要求，2022年未使用结余指标统一归集国库管理，不形成2022年结余结转至2023年。而2022年预算总收入515.82万元，包括2022年当年预算收入405.38万元和2021年结余收入110.43万。因此2023年预算收入总额较上年预算安排减少76.83万元。</w:t>
      </w:r>
    </w:p>
    <w:p>
      <w:pPr>
        <w:spacing w:line="600" w:lineRule="exact"/>
        <w:ind w:firstLine="644" w:firstLineChars="200"/>
        <w:rPr>
          <w:rFonts w:ascii="仿宋" w:hAnsi="仿宋" w:eastAsia="仿宋" w:cs="仿宋"/>
          <w:sz w:val="32"/>
          <w:szCs w:val="32"/>
        </w:rPr>
      </w:pPr>
      <w:r>
        <w:rPr>
          <w:rFonts w:hint="eastAsia" w:ascii="仿宋" w:hAnsi="仿宋" w:eastAsia="仿宋" w:cs="仿宋"/>
          <w:spacing w:val="11"/>
          <w:sz w:val="30"/>
          <w:szCs w:val="30"/>
        </w:rPr>
        <w:t>其中：财政拨款收入</w:t>
      </w:r>
      <w:r>
        <w:rPr>
          <w:rFonts w:hint="eastAsia" w:ascii="仿宋" w:hAnsi="仿宋" w:eastAsia="仿宋" w:cs="仿宋"/>
          <w:sz w:val="32"/>
          <w:szCs w:val="32"/>
          <w:u w:val="single"/>
        </w:rPr>
        <w:t>388.99</w:t>
      </w:r>
      <w:r>
        <w:rPr>
          <w:rFonts w:hint="eastAsia" w:ascii="仿宋" w:hAnsi="仿宋" w:eastAsia="仿宋" w:cs="仿宋"/>
          <w:spacing w:val="11"/>
          <w:sz w:val="30"/>
          <w:szCs w:val="30"/>
        </w:rPr>
        <w:t>万元,较</w:t>
      </w:r>
      <w:r>
        <w:rPr>
          <w:rFonts w:hint="eastAsia" w:ascii="仿宋" w:hAnsi="仿宋" w:eastAsia="仿宋" w:cs="仿宋"/>
          <w:spacing w:val="23"/>
          <w:sz w:val="30"/>
          <w:szCs w:val="30"/>
        </w:rPr>
        <w:t>上年预算安排增加56.13万元;政府性基金预算收入</w:t>
      </w:r>
      <w:r>
        <w:rPr>
          <w:rFonts w:hint="eastAsia" w:ascii="仿宋" w:hAnsi="仿宋" w:eastAsia="仿宋" w:cs="仿宋"/>
          <w:sz w:val="32"/>
          <w:szCs w:val="32"/>
          <w:u w:val="single"/>
        </w:rPr>
        <w:t>0</w:t>
      </w:r>
      <w:r>
        <w:rPr>
          <w:rFonts w:hint="eastAsia" w:ascii="仿宋" w:hAnsi="仿宋" w:eastAsia="仿宋" w:cs="仿宋"/>
          <w:spacing w:val="28"/>
          <w:sz w:val="30"/>
          <w:szCs w:val="30"/>
        </w:rPr>
        <w:t>万元,较上年预算安排</w:t>
      </w:r>
      <w:r>
        <w:rPr>
          <w:rFonts w:hint="eastAsia" w:ascii="仿宋" w:hAnsi="仿宋" w:eastAsia="仿宋" w:cs="仿宋"/>
          <w:spacing w:val="23"/>
          <w:sz w:val="30"/>
          <w:szCs w:val="30"/>
        </w:rPr>
        <w:t>相等</w:t>
      </w:r>
      <w:r>
        <w:rPr>
          <w:rFonts w:hint="eastAsia" w:ascii="仿宋" w:hAnsi="仿宋" w:eastAsia="仿宋" w:cs="仿宋"/>
          <w:spacing w:val="28"/>
          <w:sz w:val="30"/>
          <w:szCs w:val="30"/>
        </w:rPr>
        <w:t>;事业收入</w:t>
      </w:r>
      <w:r>
        <w:rPr>
          <w:rFonts w:hint="eastAsia" w:ascii="仿宋" w:hAnsi="仿宋" w:eastAsia="仿宋" w:cs="仿宋"/>
          <w:sz w:val="32"/>
          <w:szCs w:val="32"/>
          <w:u w:val="single"/>
        </w:rPr>
        <w:t>0</w:t>
      </w:r>
      <w:r>
        <w:rPr>
          <w:rFonts w:hint="eastAsia" w:ascii="仿宋" w:hAnsi="仿宋" w:eastAsia="仿宋" w:cs="仿宋"/>
          <w:spacing w:val="7"/>
          <w:sz w:val="30"/>
          <w:szCs w:val="30"/>
        </w:rPr>
        <w:t>万元,较上年预算安排相等;上级补助</w:t>
      </w:r>
      <w:r>
        <w:rPr>
          <w:rFonts w:hint="eastAsia" w:ascii="仿宋" w:hAnsi="仿宋" w:eastAsia="仿宋" w:cs="仿宋"/>
          <w:spacing w:val="8"/>
          <w:sz w:val="30"/>
          <w:szCs w:val="30"/>
        </w:rPr>
        <w:t>收入</w:t>
      </w:r>
      <w:r>
        <w:rPr>
          <w:rFonts w:hint="eastAsia" w:ascii="仿宋" w:hAnsi="仿宋" w:eastAsia="仿宋" w:cs="仿宋"/>
          <w:spacing w:val="-148"/>
          <w:sz w:val="30"/>
          <w:szCs w:val="30"/>
        </w:rPr>
        <w:t xml:space="preserve"> 0</w:t>
      </w:r>
      <w:r>
        <w:rPr>
          <w:rFonts w:hint="eastAsia" w:ascii="仿宋" w:hAnsi="仿宋" w:eastAsia="仿宋" w:cs="仿宋"/>
          <w:sz w:val="32"/>
          <w:szCs w:val="32"/>
          <w:u w:val="single"/>
        </w:rPr>
        <w:t xml:space="preserve"> </w:t>
      </w:r>
      <w:r>
        <w:rPr>
          <w:rFonts w:hint="eastAsia" w:ascii="仿宋" w:hAnsi="仿宋" w:eastAsia="仿宋" w:cs="仿宋"/>
          <w:spacing w:val="8"/>
          <w:sz w:val="30"/>
          <w:szCs w:val="30"/>
        </w:rPr>
        <w:t>万元,较上年预算安排相等；</w:t>
      </w:r>
      <w:r>
        <w:rPr>
          <w:rFonts w:hint="eastAsia" w:ascii="仿宋" w:hAnsi="仿宋" w:eastAsia="仿宋" w:cs="仿宋"/>
          <w:spacing w:val="18"/>
          <w:sz w:val="30"/>
          <w:szCs w:val="30"/>
        </w:rPr>
        <w:t>其他收入</w:t>
      </w:r>
      <w:r>
        <w:rPr>
          <w:rFonts w:hint="eastAsia" w:ascii="仿宋" w:hAnsi="仿宋" w:eastAsia="仿宋" w:cs="仿宋"/>
          <w:sz w:val="32"/>
          <w:szCs w:val="32"/>
          <w:u w:val="single"/>
        </w:rPr>
        <w:t>50</w:t>
      </w:r>
      <w:r>
        <w:rPr>
          <w:rFonts w:hint="eastAsia" w:ascii="仿宋" w:hAnsi="仿宋" w:eastAsia="仿宋" w:cs="仿宋"/>
          <w:spacing w:val="18"/>
          <w:sz w:val="30"/>
          <w:szCs w:val="30"/>
        </w:rPr>
        <w:t>万元，较上年预算安排减少22.53</w:t>
      </w:r>
      <w:r>
        <w:rPr>
          <w:rFonts w:hint="eastAsia" w:ascii="仿宋" w:hAnsi="仿宋" w:eastAsia="仿宋" w:cs="仿宋"/>
          <w:spacing w:val="7"/>
          <w:sz w:val="30"/>
          <w:szCs w:val="30"/>
        </w:rPr>
        <w:t>万元</w:t>
      </w:r>
      <w:r>
        <w:rPr>
          <w:rFonts w:hint="eastAsia" w:ascii="仿宋" w:hAnsi="仿宋" w:eastAsia="仿宋" w:cs="仿宋"/>
          <w:spacing w:val="4"/>
          <w:sz w:val="30"/>
          <w:szCs w:val="30"/>
        </w:rPr>
        <w:t>，上年结余收入0万元，较上年预算安排减少110.43万元。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ascii="仿宋" w:hAnsi="仿宋" w:eastAsia="仿宋" w:cs="仿宋"/>
          <w:sz w:val="30"/>
          <w:szCs w:val="30"/>
        </w:rPr>
      </w:pPr>
      <w:r>
        <w:rPr>
          <w:rFonts w:hint="eastAsia" w:ascii="仿宋" w:hAnsi="仿宋" w:eastAsia="仿宋" w:cs="仿宋"/>
          <w:sz w:val="32"/>
          <w:szCs w:val="32"/>
        </w:rPr>
        <w:t>2023年</w:t>
      </w:r>
      <w:r>
        <w:rPr>
          <w:rFonts w:hint="eastAsia" w:ascii="仿宋" w:hAnsi="仿宋" w:eastAsia="仿宋" w:cs="仿宋"/>
          <w:sz w:val="30"/>
          <w:szCs w:val="30"/>
        </w:rPr>
        <w:t>本单位支出预算总额</w:t>
      </w:r>
      <w:r>
        <w:rPr>
          <w:rFonts w:hint="eastAsia" w:ascii="仿宋" w:hAnsi="仿宋" w:eastAsia="仿宋" w:cs="仿宋"/>
          <w:sz w:val="32"/>
          <w:szCs w:val="32"/>
        </w:rPr>
        <w:t>438.99</w:t>
      </w:r>
      <w:r>
        <w:rPr>
          <w:rFonts w:hint="eastAsia" w:ascii="仿宋" w:hAnsi="仿宋" w:eastAsia="仿宋" w:cs="仿宋"/>
          <w:sz w:val="30"/>
          <w:szCs w:val="30"/>
        </w:rPr>
        <w:t>万元，</w:t>
      </w:r>
      <w:r>
        <w:rPr>
          <w:rFonts w:hint="eastAsia" w:ascii="仿宋" w:hAnsi="仿宋" w:eastAsia="仿宋" w:cs="仿宋"/>
          <w:sz w:val="32"/>
          <w:szCs w:val="32"/>
        </w:rPr>
        <w:t>较上年预算安排减76.83万元，减14.9%。增减变化主要原因是：2022年支出预算包含2021年结转（结余）预算支出110.43万元，2023年预算安排没有上年结转（结余）预算支出，形成一般公共服务项目支出和其他项目支出较上年预算安排减少。</w:t>
      </w:r>
      <w:r>
        <w:rPr>
          <w:rFonts w:hint="eastAsia" w:ascii="仿宋" w:hAnsi="仿宋" w:eastAsia="仿宋" w:cs="仿宋"/>
          <w:sz w:val="30"/>
          <w:szCs w:val="30"/>
        </w:rPr>
        <w:t>具体为：</w:t>
      </w:r>
    </w:p>
    <w:p>
      <w:pPr>
        <w:spacing w:line="60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按支出项目类别及经济分类科目划分：基本支出141.21万元，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15.72</w:t>
      </w:r>
      <w:r>
        <w:rPr>
          <w:rFonts w:hint="eastAsia" w:ascii="仿宋" w:hAnsi="仿宋" w:eastAsia="仿宋" w:cs="仿宋"/>
          <w:color w:val="auto"/>
          <w:sz w:val="32"/>
          <w:szCs w:val="32"/>
          <w:highlight w:val="none"/>
        </w:rPr>
        <w:t>万元，</w:t>
      </w:r>
      <w:r>
        <w:rPr>
          <w:rFonts w:hint="eastAsia" w:ascii="仿宋" w:hAnsi="仿宋" w:eastAsia="仿宋" w:cs="仿宋"/>
          <w:color w:val="auto"/>
          <w:sz w:val="30"/>
          <w:szCs w:val="30"/>
          <w:highlight w:val="none"/>
        </w:rPr>
        <w:t>其中：工资福利支出</w:t>
      </w:r>
      <w:r>
        <w:rPr>
          <w:rFonts w:hint="eastAsia" w:ascii="仿宋" w:hAnsi="仿宋" w:eastAsia="仿宋" w:cs="仿宋"/>
          <w:color w:val="auto"/>
          <w:sz w:val="32"/>
          <w:szCs w:val="32"/>
          <w:highlight w:val="none"/>
        </w:rPr>
        <w:t>114.60</w:t>
      </w:r>
      <w:r>
        <w:rPr>
          <w:rFonts w:hint="eastAsia" w:ascii="仿宋" w:hAnsi="仿宋" w:eastAsia="仿宋" w:cs="仿宋"/>
          <w:color w:val="auto"/>
          <w:sz w:val="30"/>
          <w:szCs w:val="30"/>
          <w:highlight w:val="none"/>
        </w:rPr>
        <w:t>万元，商品和服务支出</w:t>
      </w:r>
      <w:r>
        <w:rPr>
          <w:rFonts w:hint="eastAsia" w:ascii="仿宋" w:hAnsi="仿宋" w:eastAsia="仿宋" w:cs="仿宋"/>
          <w:color w:val="auto"/>
          <w:sz w:val="32"/>
          <w:szCs w:val="32"/>
          <w:highlight w:val="none"/>
        </w:rPr>
        <w:t>7.49</w:t>
      </w:r>
      <w:r>
        <w:rPr>
          <w:rFonts w:hint="eastAsia" w:ascii="仿宋" w:hAnsi="仿宋" w:eastAsia="仿宋" w:cs="仿宋"/>
          <w:color w:val="auto"/>
          <w:sz w:val="30"/>
          <w:szCs w:val="30"/>
          <w:highlight w:val="none"/>
        </w:rPr>
        <w:t>万元，对个人和家庭的补助</w:t>
      </w:r>
      <w:r>
        <w:rPr>
          <w:rFonts w:hint="eastAsia" w:ascii="仿宋" w:hAnsi="仿宋" w:eastAsia="仿宋" w:cs="仿宋"/>
          <w:color w:val="auto"/>
          <w:spacing w:val="-131"/>
          <w:sz w:val="30"/>
          <w:szCs w:val="30"/>
          <w:highlight w:val="none"/>
        </w:rPr>
        <w:t xml:space="preserve"> </w:t>
      </w:r>
      <w:r>
        <w:rPr>
          <w:rFonts w:hint="eastAsia" w:ascii="仿宋" w:hAnsi="仿宋" w:eastAsia="仿宋" w:cs="仿宋"/>
          <w:color w:val="auto"/>
          <w:sz w:val="32"/>
          <w:szCs w:val="32"/>
          <w:highlight w:val="none"/>
        </w:rPr>
        <w:t>19.12</w:t>
      </w:r>
      <w:r>
        <w:rPr>
          <w:rFonts w:hint="eastAsia" w:ascii="仿宋" w:hAnsi="仿宋" w:eastAsia="仿宋" w:cs="仿宋"/>
          <w:color w:val="auto"/>
          <w:sz w:val="30"/>
          <w:szCs w:val="30"/>
          <w:highlight w:val="none"/>
        </w:rPr>
        <w:t>万元，资本性支出</w:t>
      </w:r>
      <w:r>
        <w:rPr>
          <w:rFonts w:hint="eastAsia" w:ascii="仿宋" w:hAnsi="仿宋" w:eastAsia="仿宋" w:cs="仿宋"/>
          <w:color w:val="auto"/>
          <w:sz w:val="32"/>
          <w:szCs w:val="32"/>
          <w:highlight w:val="none"/>
        </w:rPr>
        <w:t>0</w:t>
      </w:r>
      <w:r>
        <w:rPr>
          <w:rFonts w:hint="eastAsia" w:ascii="仿宋" w:hAnsi="仿宋" w:eastAsia="仿宋" w:cs="仿宋"/>
          <w:color w:val="auto"/>
          <w:sz w:val="30"/>
          <w:szCs w:val="30"/>
          <w:highlight w:val="none"/>
        </w:rPr>
        <w:t>万元。项目支出</w:t>
      </w:r>
      <w:r>
        <w:rPr>
          <w:rFonts w:hint="eastAsia" w:ascii="仿宋" w:hAnsi="仿宋" w:eastAsia="仿宋" w:cs="仿宋"/>
          <w:color w:val="auto"/>
          <w:sz w:val="32"/>
          <w:szCs w:val="32"/>
          <w:highlight w:val="none"/>
        </w:rPr>
        <w:t>297.78</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val="en-US" w:eastAsia="zh-CN"/>
        </w:rPr>
        <w:t>减92.55万元</w:t>
      </w:r>
      <w:r>
        <w:rPr>
          <w:rFonts w:hint="eastAsia" w:ascii="仿宋" w:hAnsi="仿宋" w:eastAsia="仿宋" w:cs="仿宋"/>
          <w:color w:val="auto"/>
          <w:sz w:val="32"/>
          <w:szCs w:val="32"/>
          <w:highlight w:val="none"/>
        </w:rPr>
        <w:t>，</w:t>
      </w:r>
      <w:r>
        <w:rPr>
          <w:rFonts w:hint="eastAsia" w:ascii="仿宋" w:hAnsi="仿宋" w:eastAsia="仿宋" w:cs="仿宋"/>
          <w:color w:val="auto"/>
          <w:sz w:val="30"/>
          <w:szCs w:val="30"/>
          <w:highlight w:val="none"/>
        </w:rPr>
        <w:t>其中：工资福利支出</w:t>
      </w:r>
      <w:r>
        <w:rPr>
          <w:rFonts w:hint="eastAsia" w:ascii="仿宋" w:hAnsi="仿宋" w:eastAsia="仿宋" w:cs="仿宋"/>
          <w:color w:val="auto"/>
          <w:sz w:val="32"/>
          <w:szCs w:val="32"/>
          <w:highlight w:val="none"/>
        </w:rPr>
        <w:t>7.3</w:t>
      </w:r>
      <w:r>
        <w:rPr>
          <w:rFonts w:hint="eastAsia" w:ascii="仿宋" w:hAnsi="仿宋" w:eastAsia="仿宋" w:cs="仿宋"/>
          <w:color w:val="auto"/>
          <w:sz w:val="30"/>
          <w:szCs w:val="30"/>
          <w:highlight w:val="none"/>
        </w:rPr>
        <w:t>万元，商品和服务支出</w:t>
      </w:r>
      <w:r>
        <w:rPr>
          <w:rFonts w:hint="eastAsia" w:ascii="仿宋" w:hAnsi="仿宋" w:eastAsia="仿宋" w:cs="仿宋"/>
          <w:color w:val="auto"/>
          <w:sz w:val="32"/>
          <w:szCs w:val="32"/>
          <w:highlight w:val="none"/>
        </w:rPr>
        <w:t>220.48</w:t>
      </w:r>
      <w:r>
        <w:rPr>
          <w:rFonts w:hint="eastAsia" w:ascii="仿宋" w:hAnsi="仿宋" w:eastAsia="仿宋" w:cs="仿宋"/>
          <w:color w:val="auto"/>
          <w:sz w:val="30"/>
          <w:szCs w:val="30"/>
          <w:highlight w:val="none"/>
        </w:rPr>
        <w:t>万元，对个人和家庭的补助</w:t>
      </w:r>
      <w:r>
        <w:rPr>
          <w:rFonts w:hint="eastAsia" w:ascii="仿宋" w:hAnsi="仿宋" w:eastAsia="仿宋" w:cs="仿宋"/>
          <w:color w:val="auto"/>
          <w:sz w:val="32"/>
          <w:szCs w:val="32"/>
          <w:highlight w:val="none"/>
        </w:rPr>
        <w:t>0</w:t>
      </w:r>
      <w:r>
        <w:rPr>
          <w:rFonts w:hint="eastAsia" w:ascii="仿宋" w:hAnsi="仿宋" w:eastAsia="仿宋" w:cs="仿宋"/>
          <w:color w:val="auto"/>
          <w:sz w:val="30"/>
          <w:szCs w:val="30"/>
          <w:highlight w:val="none"/>
        </w:rPr>
        <w:t>万元，资本性支出</w:t>
      </w:r>
      <w:r>
        <w:rPr>
          <w:rFonts w:hint="eastAsia" w:ascii="仿宋" w:hAnsi="仿宋" w:eastAsia="仿宋" w:cs="仿宋"/>
          <w:color w:val="auto"/>
          <w:sz w:val="32"/>
          <w:szCs w:val="32"/>
          <w:highlight w:val="none"/>
        </w:rPr>
        <w:t>20</w:t>
      </w:r>
      <w:r>
        <w:rPr>
          <w:rFonts w:hint="eastAsia" w:ascii="仿宋" w:hAnsi="仿宋" w:eastAsia="仿宋" w:cs="仿宋"/>
          <w:color w:val="auto"/>
          <w:sz w:val="30"/>
          <w:szCs w:val="30"/>
          <w:highlight w:val="none"/>
        </w:rPr>
        <w:t>万，其他支出</w:t>
      </w:r>
      <w:r>
        <w:rPr>
          <w:rFonts w:hint="eastAsia" w:ascii="仿宋" w:hAnsi="仿宋" w:eastAsia="仿宋" w:cs="仿宋"/>
          <w:color w:val="auto"/>
          <w:sz w:val="32"/>
          <w:szCs w:val="32"/>
          <w:highlight w:val="none"/>
        </w:rPr>
        <w:t>50</w:t>
      </w:r>
      <w:r>
        <w:rPr>
          <w:rFonts w:hint="eastAsia" w:ascii="仿宋" w:hAnsi="仿宋" w:eastAsia="仿宋" w:cs="仿宋"/>
          <w:color w:val="auto"/>
          <w:sz w:val="30"/>
          <w:szCs w:val="30"/>
          <w:highlight w:val="none"/>
        </w:rPr>
        <w:t>万元。</w:t>
      </w:r>
    </w:p>
    <w:p>
      <w:pPr>
        <w:spacing w:line="600" w:lineRule="exact"/>
        <w:ind w:firstLine="600" w:firstLineChars="200"/>
        <w:rPr>
          <w:rFonts w:ascii="仿宋" w:hAnsi="仿宋" w:eastAsia="仿宋" w:cs="仿宋"/>
          <w:b w:val="0"/>
          <w:bCs w:val="0"/>
          <w:color w:val="auto"/>
          <w:spacing w:val="5"/>
          <w:sz w:val="30"/>
          <w:szCs w:val="30"/>
          <w:highlight w:val="none"/>
        </w:rPr>
      </w:pPr>
      <w:r>
        <w:rPr>
          <w:rFonts w:hint="eastAsia" w:ascii="仿宋" w:hAnsi="仿宋" w:eastAsia="仿宋" w:cs="仿宋"/>
          <w:color w:val="auto"/>
          <w:sz w:val="30"/>
          <w:szCs w:val="30"/>
          <w:highlight w:val="none"/>
        </w:rPr>
        <w:t>按支出功能分类科目划分按支出功能分类科目划分</w:t>
      </w:r>
      <w:r>
        <w:rPr>
          <w:rFonts w:hint="eastAsia" w:ascii="仿宋" w:hAnsi="仿宋" w:eastAsia="仿宋" w:cs="仿宋"/>
          <w:b w:val="0"/>
          <w:bCs w:val="0"/>
          <w:color w:val="auto"/>
          <w:sz w:val="30"/>
          <w:szCs w:val="30"/>
          <w:highlight w:val="none"/>
        </w:rPr>
        <w:t>：</w:t>
      </w:r>
      <w:r>
        <w:rPr>
          <w:rFonts w:hint="eastAsia" w:ascii="仿宋" w:hAnsi="仿宋" w:eastAsia="仿宋" w:cs="仿宋"/>
          <w:b w:val="0"/>
          <w:bCs w:val="0"/>
          <w:color w:val="auto"/>
          <w:spacing w:val="12"/>
          <w:sz w:val="30"/>
          <w:szCs w:val="30"/>
          <w:highlight w:val="none"/>
        </w:rPr>
        <w:t>一般公共服务支出341.98万元,较</w:t>
      </w:r>
      <w:r>
        <w:rPr>
          <w:rFonts w:hint="eastAsia" w:ascii="仿宋" w:hAnsi="仿宋" w:eastAsia="仿宋" w:cs="仿宋"/>
          <w:b w:val="0"/>
          <w:bCs w:val="0"/>
          <w:color w:val="auto"/>
          <w:spacing w:val="5"/>
          <w:sz w:val="30"/>
          <w:szCs w:val="30"/>
          <w:highlight w:val="none"/>
        </w:rPr>
        <w:t>上年预算安排减少64.04万元;社会保障和就业支出31.69万元,较</w:t>
      </w:r>
      <w:r>
        <w:rPr>
          <w:rFonts w:hint="eastAsia" w:ascii="仿宋" w:hAnsi="仿宋" w:eastAsia="仿宋" w:cs="仿宋"/>
          <w:b w:val="0"/>
          <w:bCs w:val="0"/>
          <w:color w:val="auto"/>
          <w:spacing w:val="10"/>
          <w:sz w:val="30"/>
          <w:szCs w:val="30"/>
          <w:highlight w:val="none"/>
        </w:rPr>
        <w:t>上年预算安排增加12.7万元;卫生健康支出4.69万</w:t>
      </w:r>
      <w:r>
        <w:rPr>
          <w:rFonts w:hint="eastAsia" w:ascii="仿宋" w:hAnsi="仿宋" w:eastAsia="仿宋" w:cs="仿宋"/>
          <w:b w:val="0"/>
          <w:bCs w:val="0"/>
          <w:color w:val="auto"/>
          <w:spacing w:val="5"/>
          <w:sz w:val="30"/>
          <w:szCs w:val="30"/>
          <w:highlight w:val="none"/>
        </w:rPr>
        <w:t>元,较上年预算安排减少3.48万元;住房保障支出10.63万</w:t>
      </w:r>
      <w:r>
        <w:rPr>
          <w:rFonts w:hint="eastAsia" w:ascii="仿宋" w:hAnsi="仿宋" w:eastAsia="仿宋" w:cs="仿宋"/>
          <w:b w:val="0"/>
          <w:bCs w:val="0"/>
          <w:color w:val="auto"/>
          <w:spacing w:val="17"/>
          <w:sz w:val="30"/>
          <w:szCs w:val="30"/>
          <w:highlight w:val="none"/>
        </w:rPr>
        <w:t>元,较上年预算安排增加0.52万元。</w:t>
      </w:r>
      <w:r>
        <w:rPr>
          <w:rFonts w:hint="eastAsia" w:ascii="仿宋" w:hAnsi="仿宋" w:eastAsia="仿宋" w:cs="仿宋"/>
          <w:b w:val="0"/>
          <w:bCs w:val="0"/>
          <w:color w:val="auto"/>
          <w:spacing w:val="5"/>
          <w:sz w:val="30"/>
          <w:szCs w:val="30"/>
          <w:highlight w:val="none"/>
        </w:rPr>
        <w:t>其他支出    50万元,较上年预算安排减少22.53万元。</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（三）财政拨款支出情况</w:t>
      </w:r>
    </w:p>
    <w:p>
      <w:pPr>
        <w:pStyle w:val="3"/>
        <w:ind w:firstLine="640" w:firstLineChars="200"/>
        <w:rPr>
          <w:rFonts w:ascii="仿宋" w:hAnsi="仿宋" w:eastAsia="仿宋" w:cs="仿宋"/>
          <w:sz w:val="30"/>
          <w:szCs w:val="30"/>
        </w:rPr>
      </w:pPr>
      <w:r>
        <w:rPr>
          <w:rFonts w:hint="eastAsia" w:ascii="仿宋" w:hAnsi="仿宋" w:eastAsia="仿宋" w:cs="仿宋"/>
          <w:color w:val="auto"/>
          <w:highlight w:val="none"/>
          <w:lang w:val="en-US"/>
        </w:rPr>
        <w:t>2023</w:t>
      </w:r>
      <w:r>
        <w:rPr>
          <w:rFonts w:hint="eastAsia" w:ascii="仿宋" w:hAnsi="仿宋" w:eastAsia="仿宋" w:cs="仿宋"/>
          <w:color w:val="auto"/>
          <w:highlight w:val="none"/>
        </w:rPr>
        <w:t>年</w:t>
      </w:r>
      <w:r>
        <w:rPr>
          <w:rFonts w:hint="eastAsia" w:ascii="仿宋" w:hAnsi="仿宋" w:eastAsia="仿宋" w:cs="仿宋"/>
          <w:color w:val="auto"/>
          <w:sz w:val="30"/>
          <w:szCs w:val="30"/>
          <w:highlight w:val="none"/>
        </w:rPr>
        <w:t>本单位财政拨款（补助）支出预算</w:t>
      </w:r>
      <w:r>
        <w:rPr>
          <w:rFonts w:hint="eastAsia" w:ascii="仿宋" w:hAnsi="仿宋" w:eastAsia="仿宋" w:cs="仿宋"/>
          <w:color w:val="auto"/>
          <w:highlight w:val="none"/>
          <w:lang w:val="en-US"/>
        </w:rPr>
        <w:t>388.99</w:t>
      </w:r>
      <w:r>
        <w:rPr>
          <w:rFonts w:hint="eastAsia" w:ascii="仿宋" w:hAnsi="仿宋" w:eastAsia="仿宋" w:cs="仿宋"/>
          <w:color w:val="auto"/>
          <w:sz w:val="30"/>
          <w:szCs w:val="30"/>
          <w:highlight w:val="none"/>
        </w:rPr>
        <w:t>万元，占本年支出预算额的</w:t>
      </w:r>
      <w:r>
        <w:rPr>
          <w:rFonts w:hint="eastAsia" w:ascii="仿宋" w:hAnsi="仿宋" w:eastAsia="仿宋" w:cs="仿宋"/>
          <w:color w:val="auto"/>
          <w:highlight w:val="none"/>
          <w:lang w:val="en-US"/>
        </w:rPr>
        <w:t>88.6</w:t>
      </w:r>
      <w:r>
        <w:rPr>
          <w:rFonts w:hint="eastAsia" w:ascii="仿宋" w:hAnsi="仿宋" w:eastAsia="仿宋" w:cs="仿宋"/>
          <w:color w:val="auto"/>
          <w:sz w:val="30"/>
          <w:szCs w:val="30"/>
          <w:highlight w:val="none"/>
        </w:rPr>
        <w:t>%，</w:t>
      </w:r>
      <w:r>
        <w:rPr>
          <w:rFonts w:hint="eastAsia" w:ascii="仿宋" w:hAnsi="仿宋" w:eastAsia="仿宋" w:cs="仿宋"/>
          <w:color w:val="auto"/>
          <w:highlight w:val="none"/>
        </w:rPr>
        <w:t>较上年预算安排</w:t>
      </w:r>
      <w:r>
        <w:rPr>
          <w:rFonts w:hint="eastAsia" w:ascii="仿宋" w:hAnsi="仿宋" w:eastAsia="仿宋" w:cs="仿宋"/>
          <w:color w:val="auto"/>
          <w:highlight w:val="none"/>
          <w:lang w:val="en-US"/>
        </w:rPr>
        <w:t>增加56.13</w:t>
      </w:r>
      <w:r>
        <w:rPr>
          <w:rFonts w:hint="eastAsia" w:ascii="仿宋" w:hAnsi="仿宋" w:eastAsia="仿宋" w:cs="仿宋"/>
          <w:color w:val="auto"/>
          <w:highlight w:val="none"/>
        </w:rPr>
        <w:t>万元。增减变化主要原因是：2022年预算支出总额515.82万元包含2022年财政拨款（补助）支出预算332.86万元、其他支出72.53万元、上年结转（结余）预算支出110.43万</w:t>
      </w:r>
      <w:r>
        <w:rPr>
          <w:rFonts w:hint="eastAsia" w:ascii="仿宋" w:hAnsi="仿宋" w:eastAsia="仿宋" w:cs="仿宋"/>
        </w:rPr>
        <w:t>，其他支出和上年结转（结余）预算支出占总预算支出36%，比重较大。而根据财政预算资金“零基预算”管理要求，2022年未使用结余指标统一归集国库管理，不形成2022年结余结转至2023年，2023年其他支出和上年结转（结余）预算支出只占总预算支出11%，比重较小，造成2023年财政拨款（补助）预算支出比2022年预算安排同比增加。</w:t>
      </w:r>
      <w:r>
        <w:rPr>
          <w:rFonts w:hint="eastAsia" w:ascii="仿宋" w:hAnsi="仿宋" w:eastAsia="仿宋" w:cs="仿宋"/>
          <w:sz w:val="30"/>
          <w:szCs w:val="30"/>
        </w:rPr>
        <w:t>具体为：</w:t>
      </w:r>
    </w:p>
    <w:p>
      <w:pPr>
        <w:spacing w:line="600" w:lineRule="exact"/>
        <w:ind w:firstLine="600" w:firstLineChars="200"/>
        <w:rPr>
          <w:rFonts w:ascii="仿宋" w:hAnsi="仿宋" w:eastAsia="仿宋" w:cs="仿宋"/>
          <w:b w:val="0"/>
          <w:bCs w:val="0"/>
          <w:color w:val="auto"/>
          <w:sz w:val="30"/>
          <w:szCs w:val="30"/>
          <w:highlight w:val="none"/>
        </w:rPr>
      </w:pPr>
      <w:r>
        <w:rPr>
          <w:rFonts w:hint="eastAsia" w:ascii="仿宋" w:hAnsi="仿宋" w:eastAsia="仿宋" w:cs="仿宋"/>
          <w:b w:val="0"/>
          <w:bCs w:val="0"/>
          <w:color w:val="auto"/>
          <w:sz w:val="30"/>
          <w:szCs w:val="30"/>
          <w:highlight w:val="none"/>
        </w:rPr>
        <w:t>按支出项目类别及经济分类科目划分：基本支出141.21万元，</w:t>
      </w:r>
      <w:r>
        <w:rPr>
          <w:rFonts w:hint="eastAsia" w:ascii="仿宋" w:hAnsi="仿宋" w:eastAsia="仿宋" w:cs="仿宋"/>
          <w:b w:val="0"/>
          <w:bCs w:val="0"/>
          <w:color w:val="auto"/>
          <w:sz w:val="32"/>
          <w:szCs w:val="32"/>
          <w:highlight w:val="none"/>
        </w:rPr>
        <w:t>较上年预算安排增25.73万元，</w:t>
      </w:r>
      <w:r>
        <w:rPr>
          <w:rFonts w:hint="eastAsia" w:ascii="仿宋" w:hAnsi="仿宋" w:eastAsia="仿宋" w:cs="仿宋"/>
          <w:b w:val="0"/>
          <w:bCs w:val="0"/>
          <w:color w:val="auto"/>
          <w:sz w:val="30"/>
          <w:szCs w:val="30"/>
          <w:highlight w:val="none"/>
        </w:rPr>
        <w:t>其中：工资福利支出</w:t>
      </w:r>
      <w:r>
        <w:rPr>
          <w:rFonts w:hint="eastAsia" w:ascii="仿宋" w:hAnsi="仿宋" w:eastAsia="仿宋" w:cs="仿宋"/>
          <w:b w:val="0"/>
          <w:bCs w:val="0"/>
          <w:color w:val="auto"/>
          <w:sz w:val="32"/>
          <w:szCs w:val="32"/>
          <w:highlight w:val="none"/>
        </w:rPr>
        <w:t>114.60</w:t>
      </w:r>
      <w:r>
        <w:rPr>
          <w:rFonts w:hint="eastAsia" w:ascii="仿宋" w:hAnsi="仿宋" w:eastAsia="仿宋" w:cs="仿宋"/>
          <w:b w:val="0"/>
          <w:bCs w:val="0"/>
          <w:color w:val="auto"/>
          <w:sz w:val="30"/>
          <w:szCs w:val="30"/>
          <w:highlight w:val="none"/>
        </w:rPr>
        <w:t>万元，商品和服务支出</w:t>
      </w:r>
      <w:r>
        <w:rPr>
          <w:rFonts w:hint="eastAsia" w:ascii="仿宋" w:hAnsi="仿宋" w:eastAsia="仿宋" w:cs="仿宋"/>
          <w:b w:val="0"/>
          <w:bCs w:val="0"/>
          <w:color w:val="auto"/>
          <w:sz w:val="32"/>
          <w:szCs w:val="32"/>
          <w:highlight w:val="none"/>
        </w:rPr>
        <w:t>7.49</w:t>
      </w:r>
      <w:r>
        <w:rPr>
          <w:rFonts w:hint="eastAsia" w:ascii="仿宋" w:hAnsi="仿宋" w:eastAsia="仿宋" w:cs="仿宋"/>
          <w:b w:val="0"/>
          <w:bCs w:val="0"/>
          <w:color w:val="auto"/>
          <w:sz w:val="30"/>
          <w:szCs w:val="30"/>
          <w:highlight w:val="none"/>
        </w:rPr>
        <w:t>万元，对个人和家庭的补助</w:t>
      </w:r>
      <w:r>
        <w:rPr>
          <w:rFonts w:hint="eastAsia" w:ascii="仿宋" w:hAnsi="仿宋" w:eastAsia="仿宋" w:cs="仿宋"/>
          <w:b w:val="0"/>
          <w:bCs w:val="0"/>
          <w:color w:val="auto"/>
          <w:spacing w:val="-131"/>
          <w:sz w:val="30"/>
          <w:szCs w:val="30"/>
          <w:highlight w:val="none"/>
        </w:rPr>
        <w:t xml:space="preserve"> </w:t>
      </w:r>
      <w:r>
        <w:rPr>
          <w:rFonts w:hint="eastAsia" w:ascii="仿宋" w:hAnsi="仿宋" w:eastAsia="仿宋" w:cs="仿宋"/>
          <w:b w:val="0"/>
          <w:bCs w:val="0"/>
          <w:color w:val="auto"/>
          <w:sz w:val="32"/>
          <w:szCs w:val="32"/>
          <w:highlight w:val="none"/>
        </w:rPr>
        <w:t>19.12</w:t>
      </w:r>
      <w:r>
        <w:rPr>
          <w:rFonts w:hint="eastAsia" w:ascii="仿宋" w:hAnsi="仿宋" w:eastAsia="仿宋" w:cs="仿宋"/>
          <w:b w:val="0"/>
          <w:bCs w:val="0"/>
          <w:color w:val="auto"/>
          <w:sz w:val="30"/>
          <w:szCs w:val="30"/>
          <w:highlight w:val="none"/>
        </w:rPr>
        <w:t>万元。项目支出</w:t>
      </w:r>
      <w:r>
        <w:rPr>
          <w:rFonts w:hint="eastAsia" w:ascii="仿宋" w:hAnsi="仿宋" w:eastAsia="仿宋" w:cs="仿宋"/>
          <w:b w:val="0"/>
          <w:bCs w:val="0"/>
          <w:color w:val="auto"/>
          <w:sz w:val="32"/>
          <w:szCs w:val="32"/>
          <w:highlight w:val="none"/>
        </w:rPr>
        <w:t>247.78</w:t>
      </w:r>
      <w:r>
        <w:rPr>
          <w:rFonts w:hint="eastAsia" w:ascii="仿宋" w:hAnsi="仿宋" w:eastAsia="仿宋" w:cs="仿宋"/>
          <w:b w:val="0"/>
          <w:bCs w:val="0"/>
          <w:color w:val="auto"/>
          <w:sz w:val="30"/>
          <w:szCs w:val="30"/>
          <w:highlight w:val="none"/>
        </w:rPr>
        <w:t>万元，</w:t>
      </w:r>
      <w:r>
        <w:rPr>
          <w:rFonts w:hint="eastAsia" w:ascii="仿宋" w:hAnsi="仿宋" w:eastAsia="仿宋" w:cs="仿宋"/>
          <w:b w:val="0"/>
          <w:bCs w:val="0"/>
          <w:color w:val="auto"/>
          <w:sz w:val="32"/>
          <w:szCs w:val="32"/>
          <w:highlight w:val="none"/>
        </w:rPr>
        <w:t>较上年预算安排增30.4万元，</w:t>
      </w:r>
      <w:r>
        <w:rPr>
          <w:rFonts w:hint="eastAsia" w:ascii="仿宋" w:hAnsi="仿宋" w:eastAsia="仿宋" w:cs="仿宋"/>
          <w:b w:val="0"/>
          <w:bCs w:val="0"/>
          <w:color w:val="auto"/>
          <w:sz w:val="30"/>
          <w:szCs w:val="30"/>
          <w:highlight w:val="none"/>
        </w:rPr>
        <w:t>其中：工资福利支出</w:t>
      </w:r>
      <w:r>
        <w:rPr>
          <w:rFonts w:hint="eastAsia" w:ascii="仿宋" w:hAnsi="仿宋" w:eastAsia="仿宋" w:cs="仿宋"/>
          <w:b w:val="0"/>
          <w:bCs w:val="0"/>
          <w:color w:val="auto"/>
          <w:sz w:val="32"/>
          <w:szCs w:val="32"/>
          <w:highlight w:val="none"/>
        </w:rPr>
        <w:t>7.3</w:t>
      </w:r>
      <w:r>
        <w:rPr>
          <w:rFonts w:hint="eastAsia" w:ascii="仿宋" w:hAnsi="仿宋" w:eastAsia="仿宋" w:cs="仿宋"/>
          <w:b w:val="0"/>
          <w:bCs w:val="0"/>
          <w:color w:val="auto"/>
          <w:sz w:val="30"/>
          <w:szCs w:val="30"/>
          <w:highlight w:val="none"/>
        </w:rPr>
        <w:t>万元，商品和服务支出</w:t>
      </w:r>
      <w:r>
        <w:rPr>
          <w:rFonts w:hint="eastAsia" w:ascii="仿宋" w:hAnsi="仿宋" w:eastAsia="仿宋" w:cs="仿宋"/>
          <w:b w:val="0"/>
          <w:bCs w:val="0"/>
          <w:color w:val="auto"/>
          <w:sz w:val="32"/>
          <w:szCs w:val="32"/>
          <w:highlight w:val="none"/>
        </w:rPr>
        <w:t>220.48</w:t>
      </w:r>
      <w:r>
        <w:rPr>
          <w:rFonts w:hint="eastAsia" w:ascii="仿宋" w:hAnsi="仿宋" w:eastAsia="仿宋" w:cs="仿宋"/>
          <w:b w:val="0"/>
          <w:bCs w:val="0"/>
          <w:color w:val="auto"/>
          <w:sz w:val="30"/>
          <w:szCs w:val="30"/>
          <w:highlight w:val="none"/>
        </w:rPr>
        <w:t>万元，资本性支出</w:t>
      </w:r>
      <w:r>
        <w:rPr>
          <w:rFonts w:hint="eastAsia" w:ascii="仿宋" w:hAnsi="仿宋" w:eastAsia="仿宋" w:cs="仿宋"/>
          <w:b w:val="0"/>
          <w:bCs w:val="0"/>
          <w:color w:val="auto"/>
          <w:sz w:val="32"/>
          <w:szCs w:val="32"/>
          <w:highlight w:val="none"/>
        </w:rPr>
        <w:t>20</w:t>
      </w:r>
      <w:r>
        <w:rPr>
          <w:rFonts w:hint="eastAsia" w:ascii="仿宋" w:hAnsi="仿宋" w:eastAsia="仿宋" w:cs="仿宋"/>
          <w:b w:val="0"/>
          <w:bCs w:val="0"/>
          <w:color w:val="auto"/>
          <w:sz w:val="30"/>
          <w:szCs w:val="30"/>
          <w:highlight w:val="none"/>
        </w:rPr>
        <w:t>万。</w:t>
      </w:r>
    </w:p>
    <w:p>
      <w:pPr>
        <w:spacing w:line="600" w:lineRule="exact"/>
        <w:ind w:firstLine="600" w:firstLineChars="200"/>
        <w:rPr>
          <w:rFonts w:ascii="仿宋" w:hAnsi="仿宋" w:eastAsia="仿宋" w:cs="仿宋"/>
          <w:b w:val="0"/>
          <w:bCs w:val="0"/>
          <w:color w:val="auto"/>
          <w:spacing w:val="5"/>
          <w:sz w:val="30"/>
          <w:szCs w:val="30"/>
          <w:highlight w:val="none"/>
        </w:rPr>
      </w:pPr>
      <w:r>
        <w:rPr>
          <w:rFonts w:hint="eastAsia" w:ascii="仿宋" w:hAnsi="仿宋" w:eastAsia="仿宋" w:cs="仿宋"/>
          <w:b w:val="0"/>
          <w:bCs w:val="0"/>
          <w:color w:val="auto"/>
          <w:sz w:val="30"/>
          <w:szCs w:val="30"/>
          <w:highlight w:val="none"/>
        </w:rPr>
        <w:t>按支出功能分类科目划分按支出功能分类科目划分：</w:t>
      </w:r>
      <w:r>
        <w:rPr>
          <w:rFonts w:hint="eastAsia" w:ascii="仿宋" w:hAnsi="仿宋" w:eastAsia="仿宋" w:cs="仿宋"/>
          <w:b w:val="0"/>
          <w:bCs w:val="0"/>
          <w:color w:val="auto"/>
          <w:spacing w:val="12"/>
          <w:sz w:val="30"/>
          <w:szCs w:val="30"/>
          <w:highlight w:val="none"/>
        </w:rPr>
        <w:t>一般公共服务支出341.98万元,较</w:t>
      </w:r>
      <w:r>
        <w:rPr>
          <w:rFonts w:hint="eastAsia" w:ascii="仿宋" w:hAnsi="仿宋" w:eastAsia="仿宋" w:cs="仿宋"/>
          <w:b w:val="0"/>
          <w:bCs w:val="0"/>
          <w:color w:val="auto"/>
          <w:spacing w:val="5"/>
          <w:sz w:val="30"/>
          <w:szCs w:val="30"/>
          <w:highlight w:val="none"/>
        </w:rPr>
        <w:t>上年预算安排增加36.37万元;社会保障和就业支出31.69万元,较</w:t>
      </w:r>
      <w:r>
        <w:rPr>
          <w:rFonts w:hint="eastAsia" w:ascii="仿宋" w:hAnsi="仿宋" w:eastAsia="仿宋" w:cs="仿宋"/>
          <w:b w:val="0"/>
          <w:bCs w:val="0"/>
          <w:color w:val="auto"/>
          <w:spacing w:val="10"/>
          <w:sz w:val="30"/>
          <w:szCs w:val="30"/>
          <w:highlight w:val="none"/>
        </w:rPr>
        <w:t>上年预算安排增加22.72万元;卫生健康支出4.69万</w:t>
      </w:r>
      <w:r>
        <w:rPr>
          <w:rFonts w:hint="eastAsia" w:ascii="仿宋" w:hAnsi="仿宋" w:eastAsia="仿宋" w:cs="仿宋"/>
          <w:b w:val="0"/>
          <w:bCs w:val="0"/>
          <w:color w:val="auto"/>
          <w:spacing w:val="5"/>
          <w:sz w:val="30"/>
          <w:szCs w:val="30"/>
          <w:highlight w:val="none"/>
        </w:rPr>
        <w:t>元,较上年预算安排减少3.48万元;住房保障支出10.63万</w:t>
      </w:r>
      <w:r>
        <w:rPr>
          <w:rFonts w:hint="eastAsia" w:ascii="仿宋" w:hAnsi="仿宋" w:eastAsia="仿宋" w:cs="仿宋"/>
          <w:b w:val="0"/>
          <w:bCs w:val="0"/>
          <w:color w:val="auto"/>
          <w:spacing w:val="17"/>
          <w:sz w:val="30"/>
          <w:szCs w:val="30"/>
          <w:highlight w:val="none"/>
        </w:rPr>
        <w:t>元,较上年预算安排增加0.52万元。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本单位无政府性基金预算拨款安排的支出。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单位机关运行费预算202.99万元，比2022年预算增加195.79万元，增长2719％。增减变化主要原因是：年度安排的老年大学业务费、关工委业务费、县级退休干部活动经费等项目经费支出均在其他商品和服务支出里面。</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单位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2023年单位政府采购总额</w:t>
      </w:r>
      <w:r>
        <w:rPr>
          <w:rFonts w:hint="eastAsia" w:ascii="仿宋" w:hAnsi="仿宋" w:eastAsia="仿宋" w:cs="仿宋"/>
          <w:sz w:val="32"/>
          <w:szCs w:val="32"/>
          <w:u w:val="single"/>
        </w:rPr>
        <w:t>20</w:t>
      </w:r>
      <w:r>
        <w:rPr>
          <w:rFonts w:hint="eastAsia" w:ascii="仿宋" w:hAnsi="仿宋" w:eastAsia="仿宋" w:cs="仿宋"/>
          <w:sz w:val="32"/>
          <w:szCs w:val="32"/>
        </w:rPr>
        <w:t>万元，其中：政府采购货物预算20万元、政府采购工程预算0万元、政府采购服务预算0</w:t>
      </w:r>
      <w:r>
        <w:rPr>
          <w:rFonts w:hint="eastAsia" w:ascii="仿宋" w:hAnsi="仿宋" w:eastAsia="仿宋" w:cs="仿宋"/>
          <w:sz w:val="32"/>
          <w:szCs w:val="32"/>
          <w:u w:val="single"/>
        </w:rPr>
        <w:t xml:space="preserve">     </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截至2022年12月31日单位共有车辆</w:t>
      </w:r>
      <w:r>
        <w:rPr>
          <w:rFonts w:hint="eastAsia" w:ascii="仿宋" w:hAnsi="仿宋" w:eastAsia="仿宋" w:cs="仿宋"/>
          <w:sz w:val="32"/>
          <w:szCs w:val="32"/>
          <w:u w:val="single"/>
        </w:rPr>
        <w:t>0</w:t>
      </w:r>
      <w:r>
        <w:rPr>
          <w:rFonts w:hint="eastAsia" w:ascii="仿宋" w:hAnsi="仿宋" w:eastAsia="仿宋" w:cs="仿宋"/>
          <w:sz w:val="32"/>
          <w:szCs w:val="32"/>
        </w:rPr>
        <w:t>辆，其中：一般公务用车</w:t>
      </w:r>
      <w:r>
        <w:rPr>
          <w:rFonts w:hint="eastAsia" w:ascii="仿宋" w:hAnsi="仿宋" w:eastAsia="仿宋" w:cs="仿宋"/>
          <w:sz w:val="32"/>
          <w:szCs w:val="32"/>
          <w:u w:val="single"/>
        </w:rPr>
        <w:t>0</w:t>
      </w:r>
      <w:r>
        <w:rPr>
          <w:rFonts w:hint="eastAsia" w:ascii="仿宋" w:hAnsi="仿宋" w:eastAsia="仿宋" w:cs="仿宋"/>
          <w:sz w:val="32"/>
          <w:szCs w:val="32"/>
        </w:rPr>
        <w:t>辆、执法执勤用车</w:t>
      </w:r>
      <w:r>
        <w:rPr>
          <w:rFonts w:hint="eastAsia" w:ascii="仿宋" w:hAnsi="仿宋" w:eastAsia="仿宋" w:cs="仿宋"/>
          <w:sz w:val="32"/>
          <w:szCs w:val="32"/>
          <w:u w:val="single"/>
        </w:rPr>
        <w:t>0</w:t>
      </w:r>
      <w:r>
        <w:rPr>
          <w:rFonts w:hint="eastAsia" w:ascii="仿宋" w:hAnsi="仿宋" w:eastAsia="仿宋" w:cs="仿宋"/>
          <w:sz w:val="32"/>
          <w:szCs w:val="32"/>
        </w:rPr>
        <w:t>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2023年本单位预算安排购置车辆</w:t>
      </w:r>
      <w:r>
        <w:rPr>
          <w:rFonts w:hint="eastAsia" w:ascii="仿宋" w:hAnsi="仿宋" w:eastAsia="仿宋" w:cs="仿宋"/>
          <w:sz w:val="32"/>
          <w:szCs w:val="32"/>
          <w:u w:val="single"/>
        </w:rPr>
        <w:t>0</w:t>
      </w:r>
      <w:r>
        <w:rPr>
          <w:rFonts w:hint="eastAsia" w:ascii="仿宋" w:hAnsi="仿宋" w:eastAsia="仿宋" w:cs="仿宋"/>
          <w:sz w:val="32"/>
          <w:szCs w:val="32"/>
        </w:rPr>
        <w:t>辆，无安排购置单位价值200万元以上大型设备。</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2023年实行绩效目标管理的项目9个，涉及资金297.78万元，其中：</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2023年实行绩效目标管理的项目9个，涉及资金297.78万元。其中：</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（一）项目名称：退休干部2023年经费项目</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1.项目概述：为充分做好了解掌握全县退休老干部工作的信息和动态，解决新情况和新问题，指导协调好有关部门办理退休干部的丧事治理工作，需要保障必须的工作经费。</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2.立项依据：单位基本职能及三定方案</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3.实施主体：兴国县老干部活动中心</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4.实施周期：2023年</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5.年度预算安排：89万元</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6.年度绩效目标：县级退休干部支部活动经费15万元；2.退休干部活动经费26.4万元；3.科级干部管理费5万元；4.离退休管理费9万元；5.重阳、春节、八一慰问金25.6万元；6.治丧走访8万元。</w:t>
      </w:r>
    </w:p>
    <w:p>
      <w:pPr>
        <w:spacing w:line="6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（九）国有资本经营情况</w:t>
      </w:r>
    </w:p>
    <w:p>
      <w:pPr>
        <w:spacing w:line="600" w:lineRule="exact"/>
        <w:ind w:firstLine="640" w:firstLineChars="200"/>
        <w:rPr>
          <w:rFonts w:ascii="仿宋" w:hAnsi="仿宋" w:eastAsia="仿宋" w:cs="仿宋"/>
          <w:sz w:val="28"/>
          <w:szCs w:val="28"/>
        </w:rPr>
      </w:pPr>
      <w:r>
        <w:rPr>
          <w:rFonts w:hint="eastAsia" w:ascii="仿宋" w:hAnsi="仿宋" w:eastAsia="仿宋" w:cs="仿宋"/>
          <w:sz w:val="32"/>
          <w:szCs w:val="32"/>
        </w:rPr>
        <w:t>无使用国有资本经营预算拨款安排的支出</w:t>
      </w:r>
    </w:p>
    <w:p>
      <w:pPr>
        <w:pStyle w:val="3"/>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二、2023年“三公”经费预算情况说明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2023年兴国县老干部活动中心单位“三公”经费一般公共预算安排15万元。其中：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因公出国（境）费0万元，比上年0万元，主要原因是：未安排因公出国经费。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公务接待费15万元，比上年增（减）0万元，主要原因</w:t>
      </w:r>
    </w:p>
    <w:p>
      <w:pPr>
        <w:spacing w:line="560" w:lineRule="exact"/>
        <w:rPr>
          <w:rFonts w:ascii="仿宋" w:hAnsi="仿宋" w:eastAsia="仿宋" w:cs="仿宋"/>
          <w:sz w:val="32"/>
          <w:szCs w:val="32"/>
        </w:rPr>
      </w:pPr>
      <w:r>
        <w:rPr>
          <w:rFonts w:hint="eastAsia" w:ascii="仿宋" w:hAnsi="仿宋" w:eastAsia="仿宋" w:cs="仿宋"/>
          <w:sz w:val="32"/>
          <w:szCs w:val="32"/>
        </w:rPr>
        <w:t>是：与上年公务接待费安排金额一致，无增减。</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公务用车运行维护费0万元，比上年减3万元，</w:t>
      </w:r>
    </w:p>
    <w:p>
      <w:pPr>
        <w:spacing w:line="560" w:lineRule="exact"/>
        <w:rPr>
          <w:rFonts w:ascii="仿宋" w:hAnsi="仿宋" w:eastAsia="仿宋" w:cs="仿宋"/>
          <w:sz w:val="32"/>
          <w:szCs w:val="32"/>
        </w:rPr>
      </w:pPr>
      <w:r>
        <w:rPr>
          <w:rFonts w:hint="eastAsia" w:ascii="仿宋" w:hAnsi="仿宋" w:eastAsia="仿宋" w:cs="仿宋"/>
          <w:sz w:val="32"/>
          <w:szCs w:val="32"/>
        </w:rPr>
        <w:t>主要原因是：单位已无公车，本年度未安排公务用车运行维护费。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公务用车购置费0万元，比上年增（减）0万元，主要</w:t>
      </w:r>
    </w:p>
    <w:p>
      <w:pPr>
        <w:spacing w:line="560" w:lineRule="exact"/>
        <w:rPr>
          <w:rFonts w:ascii="仿宋" w:hAnsi="仿宋" w:eastAsia="仿宋" w:cs="仿宋"/>
          <w:sz w:val="32"/>
          <w:szCs w:val="32"/>
        </w:rPr>
      </w:pPr>
      <w:r>
        <w:rPr>
          <w:rFonts w:hint="eastAsia" w:ascii="仿宋" w:hAnsi="仿宋" w:eastAsia="仿宋" w:cs="仿宋"/>
          <w:sz w:val="32"/>
          <w:szCs w:val="32"/>
        </w:rPr>
        <w:t>原因是：未安排公务用车购置费用。</w:t>
      </w:r>
    </w:p>
    <w:p>
      <w:pPr>
        <w:spacing w:line="560" w:lineRule="exact"/>
        <w:ind w:firstLine="640" w:firstLineChars="200"/>
        <w:rPr>
          <w:rFonts w:ascii="仿宋" w:hAnsi="仿宋" w:eastAsia="仿宋" w:cs="仿宋"/>
          <w:sz w:val="32"/>
          <w:szCs w:val="32"/>
        </w:rPr>
      </w:pPr>
    </w:p>
    <w:p>
      <w:pPr>
        <w:spacing w:line="560" w:lineRule="exact"/>
        <w:jc w:val="center"/>
        <w:rPr>
          <w:rFonts w:ascii="仿宋" w:hAnsi="仿宋" w:eastAsia="仿宋" w:cs="仿宋"/>
          <w:sz w:val="32"/>
          <w:szCs w:val="32"/>
        </w:rPr>
      </w:pPr>
      <w:r>
        <w:rPr>
          <w:rFonts w:hint="eastAsia" w:ascii="黑体" w:hAnsi="黑体" w:eastAsia="黑体" w:cs="黑体"/>
          <w:sz w:val="32"/>
          <w:szCs w:val="32"/>
        </w:rPr>
        <w:t>第三部分 兴国县老干部活动中心2023年单位预算表</w:t>
      </w:r>
      <w:bookmarkStart w:id="0" w:name="_GoBack"/>
      <w:bookmarkEnd w:id="0"/>
    </w:p>
    <w:p>
      <w:pPr>
        <w:spacing w:line="560" w:lineRule="exact"/>
        <w:rPr>
          <w:rFonts w:ascii="仿宋" w:hAnsi="仿宋" w:eastAsia="仿宋" w:cs="仿宋"/>
          <w:sz w:val="32"/>
          <w:szCs w:val="32"/>
        </w:rPr>
      </w:pPr>
      <w:r>
        <w:rPr>
          <w:rFonts w:hint="eastAsia" w:ascii="仿宋" w:hAnsi="仿宋" w:eastAsia="仿宋" w:cs="仿宋"/>
          <w:sz w:val="32"/>
          <w:szCs w:val="32"/>
        </w:rPr>
        <w:t>一、《收支预算总表》</w:t>
      </w:r>
    </w:p>
    <w:p>
      <w:pPr>
        <w:rPr>
          <w:rFonts w:eastAsia="仿宋"/>
        </w:rPr>
      </w:pPr>
      <w:r>
        <w:rPr>
          <w:rFonts w:hint="eastAsia" w:ascii="仿宋" w:hAnsi="仿宋" w:eastAsia="仿宋" w:cs="仿宋"/>
          <w:sz w:val="30"/>
          <w:szCs w:val="30"/>
        </w:rPr>
        <w:drawing>
          <wp:inline distT="0" distB="0" distL="114300" distR="114300">
            <wp:extent cx="5274310" cy="5899150"/>
            <wp:effectExtent l="0" t="0" r="13970" b="13970"/>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5"/>
                    <a:stretch>
                      <a:fillRect/>
                    </a:stretch>
                  </pic:blipFill>
                  <pic:spPr>
                    <a:xfrm>
                      <a:off x="0" y="0"/>
                      <a:ext cx="5274310" cy="5899150"/>
                    </a:xfrm>
                    <a:prstGeom prst="rect">
                      <a:avLst/>
                    </a:prstGeom>
                  </pic:spPr>
                </pic:pic>
              </a:graphicData>
            </a:graphic>
          </wp:inline>
        </w:drawing>
      </w:r>
      <w:r>
        <w:rPr>
          <w:rFonts w:hint="eastAsia" w:eastAsia="仿宋"/>
        </w:rPr>
        <w:br w:type="page"/>
      </w:r>
    </w:p>
    <w:p>
      <w:pPr>
        <w:pStyle w:val="3"/>
        <w:rPr>
          <w:rFonts w:ascii="仿宋" w:hAnsi="仿宋" w:eastAsia="仿宋" w:cs="仿宋"/>
        </w:rPr>
      </w:pPr>
      <w:r>
        <w:rPr>
          <w:rFonts w:hint="eastAsia" w:ascii="仿宋" w:hAnsi="仿宋" w:eastAsia="仿宋" w:cs="仿宋"/>
        </w:rPr>
        <w:t>二、《单位收入总表》</w:t>
      </w:r>
    </w:p>
    <w:p>
      <w:pPr>
        <w:rPr>
          <w:rFonts w:eastAsia="仿宋"/>
        </w:rPr>
      </w:pPr>
      <w:r>
        <w:rPr>
          <w:rFonts w:hint="eastAsia" w:ascii="仿宋" w:hAnsi="仿宋" w:eastAsia="仿宋" w:cs="仿宋"/>
          <w:sz w:val="30"/>
          <w:szCs w:val="30"/>
        </w:rPr>
        <w:drawing>
          <wp:inline distT="0" distB="0" distL="114300" distR="114300">
            <wp:extent cx="5272405" cy="4716780"/>
            <wp:effectExtent l="0" t="0" r="635" b="7620"/>
            <wp:docPr id="6" name="图片 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
                    <pic:cNvPicPr>
                      <a:picLocks noChangeAspect="1"/>
                    </pic:cNvPicPr>
                  </pic:nvPicPr>
                  <pic:blipFill>
                    <a:blip r:embed="rId6"/>
                    <a:stretch>
                      <a:fillRect/>
                    </a:stretch>
                  </pic:blipFill>
                  <pic:spPr>
                    <a:xfrm>
                      <a:off x="0" y="0"/>
                      <a:ext cx="5272405" cy="4716780"/>
                    </a:xfrm>
                    <a:prstGeom prst="rect">
                      <a:avLst/>
                    </a:prstGeom>
                  </pic:spPr>
                </pic:pic>
              </a:graphicData>
            </a:graphic>
          </wp:inline>
        </w:drawing>
      </w:r>
      <w:r>
        <w:rPr>
          <w:rFonts w:hint="eastAsia" w:eastAsia="仿宋"/>
        </w:rPr>
        <w:br w:type="page"/>
      </w:r>
    </w:p>
    <w:p>
      <w:pPr>
        <w:spacing w:line="560" w:lineRule="exact"/>
        <w:rPr>
          <w:rFonts w:ascii="仿宋" w:hAnsi="仿宋" w:eastAsia="仿宋" w:cs="仿宋"/>
          <w:sz w:val="32"/>
          <w:szCs w:val="32"/>
        </w:rPr>
      </w:pPr>
      <w:r>
        <w:rPr>
          <w:rFonts w:hint="eastAsia" w:ascii="仿宋" w:hAnsi="仿宋" w:eastAsia="仿宋" w:cs="仿宋"/>
          <w:sz w:val="32"/>
          <w:szCs w:val="32"/>
        </w:rPr>
        <w:t>三、《单位支出总表》</w:t>
      </w:r>
    </w:p>
    <w:p>
      <w:pPr>
        <w:rPr>
          <w:rFonts w:ascii="仿宋" w:hAnsi="仿宋" w:eastAsia="仿宋" w:cs="仿宋"/>
          <w:sz w:val="32"/>
          <w:szCs w:val="32"/>
        </w:rPr>
      </w:pPr>
      <w:r>
        <w:rPr>
          <w:rFonts w:hint="eastAsia" w:ascii="仿宋" w:hAnsi="仿宋" w:eastAsia="仿宋" w:cs="仿宋"/>
          <w:sz w:val="30"/>
          <w:szCs w:val="30"/>
        </w:rPr>
        <w:drawing>
          <wp:inline distT="0" distB="0" distL="114300" distR="114300">
            <wp:extent cx="4229100" cy="6315075"/>
            <wp:effectExtent l="0" t="0" r="7620" b="9525"/>
            <wp:docPr id="7" name="图片 7"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
                    <pic:cNvPicPr>
                      <a:picLocks noChangeAspect="1"/>
                    </pic:cNvPicPr>
                  </pic:nvPicPr>
                  <pic:blipFill>
                    <a:blip r:embed="rId7"/>
                    <a:stretch>
                      <a:fillRect/>
                    </a:stretch>
                  </pic:blipFill>
                  <pic:spPr>
                    <a:xfrm>
                      <a:off x="0" y="0"/>
                      <a:ext cx="4229100" cy="6315075"/>
                    </a:xfrm>
                    <a:prstGeom prst="rect">
                      <a:avLst/>
                    </a:prstGeom>
                  </pic:spPr>
                </pic:pic>
              </a:graphicData>
            </a:graphic>
          </wp:inline>
        </w:drawing>
      </w:r>
      <w:r>
        <w:rPr>
          <w:rFonts w:hint="eastAsia" w:ascii="仿宋" w:hAnsi="仿宋" w:eastAsia="仿宋" w:cs="仿宋"/>
          <w:sz w:val="32"/>
          <w:szCs w:val="32"/>
        </w:rPr>
        <w:br w:type="page"/>
      </w:r>
    </w:p>
    <w:p>
      <w:pPr>
        <w:spacing w:line="560" w:lineRule="exact"/>
        <w:rPr>
          <w:rFonts w:ascii="仿宋" w:hAnsi="仿宋" w:eastAsia="仿宋" w:cs="仿宋"/>
          <w:sz w:val="32"/>
          <w:szCs w:val="32"/>
        </w:rPr>
      </w:pPr>
      <w:r>
        <w:rPr>
          <w:rFonts w:hint="eastAsia" w:ascii="仿宋" w:hAnsi="仿宋" w:eastAsia="仿宋" w:cs="仿宋"/>
          <w:sz w:val="32"/>
          <w:szCs w:val="32"/>
        </w:rPr>
        <w:t>四、《财政拨款收支总表》</w:t>
      </w:r>
    </w:p>
    <w:p>
      <w:pPr>
        <w:rPr>
          <w:rFonts w:eastAsia="仿宋"/>
        </w:rPr>
      </w:pPr>
      <w:r>
        <w:rPr>
          <w:rFonts w:hint="eastAsia" w:ascii="仿宋" w:hAnsi="仿宋" w:eastAsia="仿宋" w:cs="仿宋"/>
          <w:sz w:val="30"/>
          <w:szCs w:val="30"/>
        </w:rPr>
        <w:drawing>
          <wp:inline distT="0" distB="0" distL="114300" distR="114300">
            <wp:extent cx="4953000" cy="6372225"/>
            <wp:effectExtent l="0" t="0" r="0" b="13335"/>
            <wp:docPr id="8" name="图片 8"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
                    <pic:cNvPicPr>
                      <a:picLocks noChangeAspect="1"/>
                    </pic:cNvPicPr>
                  </pic:nvPicPr>
                  <pic:blipFill>
                    <a:blip r:embed="rId8"/>
                    <a:stretch>
                      <a:fillRect/>
                    </a:stretch>
                  </pic:blipFill>
                  <pic:spPr>
                    <a:xfrm>
                      <a:off x="0" y="0"/>
                      <a:ext cx="4953000" cy="6372225"/>
                    </a:xfrm>
                    <a:prstGeom prst="rect">
                      <a:avLst/>
                    </a:prstGeom>
                  </pic:spPr>
                </pic:pic>
              </a:graphicData>
            </a:graphic>
          </wp:inline>
        </w:drawing>
      </w:r>
      <w:r>
        <w:rPr>
          <w:rFonts w:hint="eastAsia" w:eastAsia="仿宋"/>
        </w:rPr>
        <w:br w:type="page"/>
      </w:r>
    </w:p>
    <w:p>
      <w:pPr>
        <w:spacing w:line="560" w:lineRule="exact"/>
        <w:rPr>
          <w:rFonts w:ascii="仿宋" w:hAnsi="仿宋" w:eastAsia="仿宋" w:cs="仿宋"/>
          <w:sz w:val="32"/>
          <w:szCs w:val="32"/>
        </w:rPr>
      </w:pPr>
      <w:r>
        <w:rPr>
          <w:rFonts w:hint="eastAsia" w:ascii="仿宋" w:hAnsi="仿宋" w:eastAsia="仿宋" w:cs="仿宋"/>
          <w:sz w:val="32"/>
          <w:szCs w:val="32"/>
        </w:rPr>
        <w:t>五、《一般公共预算支出表》</w:t>
      </w:r>
    </w:p>
    <w:p>
      <w:pPr>
        <w:pStyle w:val="3"/>
      </w:pPr>
      <w:r>
        <w:rPr>
          <w:rFonts w:hint="eastAsia" w:ascii="仿宋" w:hAnsi="仿宋" w:eastAsia="仿宋" w:cs="仿宋"/>
          <w:sz w:val="30"/>
          <w:szCs w:val="30"/>
        </w:rPr>
        <w:drawing>
          <wp:inline distT="0" distB="0" distL="114300" distR="114300">
            <wp:extent cx="4276725" cy="5353050"/>
            <wp:effectExtent l="0" t="0" r="5715" b="11430"/>
            <wp:docPr id="9" name="图片 9"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5"/>
                    <pic:cNvPicPr>
                      <a:picLocks noChangeAspect="1"/>
                    </pic:cNvPicPr>
                  </pic:nvPicPr>
                  <pic:blipFill>
                    <a:blip r:embed="rId9"/>
                    <a:stretch>
                      <a:fillRect/>
                    </a:stretch>
                  </pic:blipFill>
                  <pic:spPr>
                    <a:xfrm>
                      <a:off x="0" y="0"/>
                      <a:ext cx="4276725" cy="5353050"/>
                    </a:xfrm>
                    <a:prstGeom prst="rect">
                      <a:avLst/>
                    </a:prstGeom>
                  </pic:spPr>
                </pic:pic>
              </a:graphicData>
            </a:graphic>
          </wp:inline>
        </w:drawing>
      </w:r>
    </w:p>
    <w:p>
      <w:pPr>
        <w:rPr>
          <w:rFonts w:ascii="仿宋" w:hAnsi="仿宋" w:eastAsia="仿宋" w:cs="仿宋"/>
          <w:sz w:val="32"/>
          <w:szCs w:val="32"/>
        </w:rPr>
      </w:pPr>
      <w:r>
        <w:rPr>
          <w:rFonts w:hint="eastAsia" w:ascii="仿宋" w:hAnsi="仿宋" w:eastAsia="仿宋" w:cs="仿宋"/>
          <w:sz w:val="32"/>
          <w:szCs w:val="32"/>
        </w:rPr>
        <w:br w:type="page"/>
      </w:r>
    </w:p>
    <w:p>
      <w:pPr>
        <w:spacing w:line="560" w:lineRule="exact"/>
        <w:rPr>
          <w:rFonts w:ascii="仿宋" w:hAnsi="仿宋" w:eastAsia="仿宋" w:cs="仿宋"/>
          <w:sz w:val="32"/>
          <w:szCs w:val="32"/>
        </w:rPr>
      </w:pPr>
      <w:r>
        <w:rPr>
          <w:rFonts w:hint="eastAsia" w:ascii="仿宋" w:hAnsi="仿宋" w:eastAsia="仿宋" w:cs="仿宋"/>
          <w:sz w:val="32"/>
          <w:szCs w:val="32"/>
        </w:rPr>
        <w:t>六、《一般公共预算基本支出表》</w:t>
      </w:r>
    </w:p>
    <w:p>
      <w:pPr>
        <w:rPr>
          <w:rFonts w:eastAsia="仿宋"/>
        </w:rPr>
      </w:pPr>
    </w:p>
    <w:p>
      <w:pPr>
        <w:rPr>
          <w:rFonts w:eastAsia="仿宋"/>
        </w:rPr>
      </w:pPr>
      <w:r>
        <w:rPr>
          <w:rFonts w:hint="eastAsia" w:ascii="仿宋" w:hAnsi="仿宋" w:eastAsia="仿宋" w:cs="仿宋"/>
          <w:sz w:val="30"/>
          <w:szCs w:val="30"/>
        </w:rPr>
        <w:drawing>
          <wp:inline distT="0" distB="0" distL="114300" distR="114300">
            <wp:extent cx="4324350" cy="5343525"/>
            <wp:effectExtent l="0" t="0" r="3810" b="5715"/>
            <wp:docPr id="10" name="图片 10"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6"/>
                    <pic:cNvPicPr>
                      <a:picLocks noChangeAspect="1"/>
                    </pic:cNvPicPr>
                  </pic:nvPicPr>
                  <pic:blipFill>
                    <a:blip r:embed="rId10"/>
                    <a:stretch>
                      <a:fillRect/>
                    </a:stretch>
                  </pic:blipFill>
                  <pic:spPr>
                    <a:xfrm>
                      <a:off x="0" y="0"/>
                      <a:ext cx="4324350" cy="5343525"/>
                    </a:xfrm>
                    <a:prstGeom prst="rect">
                      <a:avLst/>
                    </a:prstGeom>
                  </pic:spPr>
                </pic:pic>
              </a:graphicData>
            </a:graphic>
          </wp:inline>
        </w:drawing>
      </w:r>
      <w:r>
        <w:rPr>
          <w:rFonts w:hint="eastAsia" w:eastAsia="仿宋"/>
        </w:rPr>
        <w:br w:type="page"/>
      </w: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《一般公共预算“三公”经费支出表》</w:t>
      </w:r>
    </w:p>
    <w:p>
      <w:pPr>
        <w:pStyle w:val="3"/>
      </w:pPr>
    </w:p>
    <w:p>
      <w:pPr>
        <w:pStyle w:val="3"/>
      </w:pPr>
    </w:p>
    <w:p>
      <w:pPr>
        <w:pStyle w:val="3"/>
      </w:pPr>
      <w:r>
        <w:rPr>
          <w:rFonts w:hint="eastAsia" w:ascii="仿宋" w:hAnsi="仿宋" w:eastAsia="仿宋" w:cs="仿宋"/>
          <w:sz w:val="30"/>
          <w:szCs w:val="30"/>
        </w:rPr>
        <w:drawing>
          <wp:inline distT="0" distB="0" distL="114300" distR="114300">
            <wp:extent cx="5048250" cy="2895600"/>
            <wp:effectExtent l="0" t="0" r="11430" b="0"/>
            <wp:docPr id="4" name="图片 4"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
                    <pic:cNvPicPr>
                      <a:picLocks noChangeAspect="1"/>
                    </pic:cNvPicPr>
                  </pic:nvPicPr>
                  <pic:blipFill>
                    <a:blip r:embed="rId11"/>
                    <a:stretch>
                      <a:fillRect/>
                    </a:stretch>
                  </pic:blipFill>
                  <pic:spPr>
                    <a:xfrm>
                      <a:off x="0" y="0"/>
                      <a:ext cx="5048250" cy="2895600"/>
                    </a:xfrm>
                    <a:prstGeom prst="rect">
                      <a:avLst/>
                    </a:prstGeom>
                  </pic:spPr>
                </pic:pic>
              </a:graphicData>
            </a:graphic>
          </wp:inline>
        </w:drawing>
      </w:r>
    </w:p>
    <w:p>
      <w:pPr>
        <w:rPr>
          <w:rFonts w:ascii="仿宋" w:hAnsi="仿宋" w:eastAsia="仿宋" w:cs="仿宋"/>
          <w:sz w:val="30"/>
          <w:szCs w:val="30"/>
        </w:rPr>
      </w:pPr>
      <w:r>
        <w:rPr>
          <w:rFonts w:hint="eastAsia" w:ascii="仿宋" w:hAnsi="仿宋" w:eastAsia="仿宋" w:cs="仿宋"/>
          <w:sz w:val="32"/>
          <w:szCs w:val="32"/>
        </w:rPr>
        <w:br w:type="page"/>
      </w:r>
    </w:p>
    <w:p>
      <w:pPr>
        <w:numPr>
          <w:ilvl w:val="0"/>
          <w:numId w:val="1"/>
        </w:numPr>
        <w:rPr>
          <w:rFonts w:ascii="仿宋" w:hAnsi="仿宋" w:eastAsia="仿宋" w:cs="仿宋"/>
          <w:sz w:val="32"/>
          <w:szCs w:val="32"/>
        </w:rPr>
      </w:pPr>
      <w:r>
        <w:rPr>
          <w:rFonts w:hint="eastAsia" w:ascii="仿宋" w:hAnsi="仿宋" w:eastAsia="仿宋" w:cs="仿宋"/>
          <w:sz w:val="32"/>
          <w:szCs w:val="32"/>
        </w:rPr>
        <w:t>《政府性基金预算支出表》</w:t>
      </w:r>
    </w:p>
    <w:p>
      <w:pPr>
        <w:pStyle w:val="3"/>
      </w:pPr>
    </w:p>
    <w:p>
      <w:pPr>
        <w:pStyle w:val="3"/>
      </w:pPr>
      <w:r>
        <w:rPr>
          <w:rFonts w:hint="eastAsia" w:ascii="仿宋" w:hAnsi="仿宋" w:eastAsia="仿宋" w:cs="仿宋"/>
          <w:sz w:val="30"/>
          <w:szCs w:val="30"/>
        </w:rPr>
        <w:drawing>
          <wp:inline distT="0" distB="0" distL="114300" distR="114300">
            <wp:extent cx="4800600" cy="2209800"/>
            <wp:effectExtent l="0" t="0" r="0" b="0"/>
            <wp:docPr id="12" name="图片 12"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8"/>
                    <pic:cNvPicPr>
                      <a:picLocks noChangeAspect="1"/>
                    </pic:cNvPicPr>
                  </pic:nvPicPr>
                  <pic:blipFill>
                    <a:blip r:embed="rId12"/>
                    <a:stretch>
                      <a:fillRect/>
                    </a:stretch>
                  </pic:blipFill>
                  <pic:spPr>
                    <a:xfrm>
                      <a:off x="0" y="0"/>
                      <a:ext cx="4800600" cy="2209800"/>
                    </a:xfrm>
                    <a:prstGeom prst="rect">
                      <a:avLst/>
                    </a:prstGeom>
                  </pic:spPr>
                </pic:pic>
              </a:graphicData>
            </a:graphic>
          </wp:inline>
        </w:drawing>
      </w:r>
    </w:p>
    <w:p>
      <w:r>
        <w:rPr>
          <w:rFonts w:hint="eastAsia"/>
        </w:rPr>
        <w:br w:type="page"/>
      </w:r>
    </w:p>
    <w:p>
      <w:pPr>
        <w:pStyle w:val="3"/>
        <w:numPr>
          <w:ilvl w:val="0"/>
          <w:numId w:val="2"/>
        </w:numPr>
        <w:rPr>
          <w:rFonts w:eastAsia="仿宋"/>
        </w:rPr>
      </w:pPr>
      <w:r>
        <w:rPr>
          <w:rFonts w:hint="eastAsia" w:eastAsia="仿宋"/>
        </w:rPr>
        <w:t>《国有资本经营预算支出表》</w:t>
      </w:r>
    </w:p>
    <w:tbl>
      <w:tblPr>
        <w:tblStyle w:val="6"/>
        <w:tblW w:w="8852" w:type="dxa"/>
        <w:tblInd w:w="96" w:type="dxa"/>
        <w:tblLayout w:type="fixed"/>
        <w:tblCellMar>
          <w:top w:w="0" w:type="dxa"/>
          <w:left w:w="108" w:type="dxa"/>
          <w:bottom w:w="0" w:type="dxa"/>
          <w:right w:w="108" w:type="dxa"/>
        </w:tblCellMar>
      </w:tblPr>
      <w:tblGrid>
        <w:gridCol w:w="2188"/>
        <w:gridCol w:w="2610"/>
        <w:gridCol w:w="1502"/>
        <w:gridCol w:w="1158"/>
        <w:gridCol w:w="1394"/>
      </w:tblGrid>
      <w:tr>
        <w:tblPrEx>
          <w:tblCellMar>
            <w:top w:w="0" w:type="dxa"/>
            <w:left w:w="108" w:type="dxa"/>
            <w:bottom w:w="0" w:type="dxa"/>
            <w:right w:w="108" w:type="dxa"/>
          </w:tblCellMar>
        </w:tblPrEx>
        <w:trPr>
          <w:trHeight w:val="525" w:hRule="atLeast"/>
        </w:trPr>
        <w:tc>
          <w:tcPr>
            <w:tcW w:w="8852" w:type="dxa"/>
            <w:gridSpan w:val="5"/>
            <w:tcBorders>
              <w:top w:val="nil"/>
              <w:left w:val="nil"/>
              <w:bottom w:val="nil"/>
              <w:right w:val="nil"/>
            </w:tcBorders>
            <w:shd w:val="clear" w:color="auto" w:fill="auto"/>
            <w:noWrap/>
            <w:vAlign w:val="center"/>
          </w:tcPr>
          <w:p>
            <w:pPr>
              <w:rPr>
                <w:rFonts w:ascii="宋体" w:hAnsi="宋体" w:cs="宋体"/>
                <w:color w:val="000000"/>
                <w:sz w:val="24"/>
                <w:szCs w:val="24"/>
              </w:rPr>
            </w:pPr>
            <w:r>
              <w:rPr>
                <w:rFonts w:hint="eastAsia" w:ascii="宋体" w:hAnsi="宋体" w:cs="宋体"/>
                <w:color w:val="000000"/>
                <w:kern w:val="0"/>
                <w:sz w:val="24"/>
                <w:szCs w:val="24"/>
                <w:lang w:bidi="ar"/>
              </w:rPr>
              <w:t>注：若为空表，则为该部门（单位）无国有资本经营预算收支</w:t>
            </w:r>
          </w:p>
        </w:tc>
      </w:tr>
      <w:tr>
        <w:tblPrEx>
          <w:tblCellMar>
            <w:top w:w="0" w:type="dxa"/>
            <w:left w:w="108" w:type="dxa"/>
            <w:bottom w:w="0" w:type="dxa"/>
            <w:right w:w="108" w:type="dxa"/>
          </w:tblCellMar>
        </w:tblPrEx>
        <w:trPr>
          <w:trHeight w:val="525" w:hRule="atLeast"/>
        </w:trPr>
        <w:tc>
          <w:tcPr>
            <w:tcW w:w="2188" w:type="dxa"/>
            <w:tcBorders>
              <w:top w:val="nil"/>
              <w:left w:val="nil"/>
              <w:bottom w:val="nil"/>
              <w:right w:val="nil"/>
            </w:tcBorders>
            <w:shd w:val="clear" w:color="auto" w:fill="auto"/>
            <w:noWrap/>
            <w:vAlign w:val="bottom"/>
          </w:tcPr>
          <w:p>
            <w:pPr>
              <w:rPr>
                <w:rFonts w:ascii="宋体" w:hAnsi="宋体" w:cs="宋体"/>
                <w:color w:val="000000"/>
                <w:sz w:val="20"/>
              </w:rPr>
            </w:pPr>
          </w:p>
        </w:tc>
        <w:tc>
          <w:tcPr>
            <w:tcW w:w="2610" w:type="dxa"/>
            <w:tcBorders>
              <w:top w:val="nil"/>
              <w:left w:val="nil"/>
              <w:bottom w:val="nil"/>
              <w:right w:val="nil"/>
            </w:tcBorders>
            <w:shd w:val="clear" w:color="auto" w:fill="auto"/>
            <w:noWrap/>
            <w:vAlign w:val="bottom"/>
          </w:tcPr>
          <w:p>
            <w:pPr>
              <w:rPr>
                <w:rFonts w:ascii="宋体" w:hAnsi="宋体" w:cs="宋体"/>
                <w:color w:val="000000"/>
                <w:sz w:val="20"/>
              </w:rPr>
            </w:pPr>
          </w:p>
        </w:tc>
        <w:tc>
          <w:tcPr>
            <w:tcW w:w="1502" w:type="dxa"/>
            <w:tcBorders>
              <w:top w:val="nil"/>
              <w:left w:val="nil"/>
              <w:bottom w:val="nil"/>
              <w:right w:val="nil"/>
            </w:tcBorders>
            <w:shd w:val="clear" w:color="auto" w:fill="auto"/>
            <w:noWrap/>
            <w:vAlign w:val="center"/>
          </w:tcPr>
          <w:p>
            <w:pPr>
              <w:rPr>
                <w:rFonts w:ascii="宋体" w:hAnsi="宋体" w:cs="宋体"/>
                <w:color w:val="000000"/>
                <w:sz w:val="24"/>
                <w:szCs w:val="24"/>
              </w:rPr>
            </w:pPr>
          </w:p>
        </w:tc>
        <w:tc>
          <w:tcPr>
            <w:tcW w:w="1158" w:type="dxa"/>
            <w:tcBorders>
              <w:top w:val="nil"/>
              <w:left w:val="nil"/>
              <w:bottom w:val="nil"/>
              <w:right w:val="nil"/>
            </w:tcBorders>
            <w:shd w:val="clear" w:color="auto" w:fill="auto"/>
            <w:noWrap/>
            <w:vAlign w:val="center"/>
          </w:tcPr>
          <w:p>
            <w:pPr>
              <w:rPr>
                <w:rFonts w:ascii="宋体" w:hAnsi="宋体" w:cs="宋体"/>
                <w:color w:val="000000"/>
                <w:sz w:val="24"/>
                <w:szCs w:val="24"/>
              </w:rPr>
            </w:pPr>
          </w:p>
        </w:tc>
        <w:tc>
          <w:tcPr>
            <w:tcW w:w="1394" w:type="dxa"/>
            <w:tcBorders>
              <w:top w:val="nil"/>
              <w:left w:val="nil"/>
              <w:bottom w:val="nil"/>
              <w:right w:val="nil"/>
            </w:tcBorders>
            <w:shd w:val="clear" w:color="auto" w:fill="auto"/>
            <w:noWrap/>
            <w:vAlign w:val="center"/>
          </w:tcPr>
          <w:p>
            <w:pPr>
              <w:rPr>
                <w:rFonts w:ascii="宋体" w:hAnsi="宋体" w:cs="宋体"/>
                <w:color w:val="000000"/>
                <w:sz w:val="24"/>
                <w:szCs w:val="24"/>
              </w:rPr>
            </w:pPr>
          </w:p>
        </w:tc>
      </w:tr>
      <w:tr>
        <w:tblPrEx>
          <w:tblCellMar>
            <w:top w:w="0" w:type="dxa"/>
            <w:left w:w="108" w:type="dxa"/>
            <w:bottom w:w="0" w:type="dxa"/>
            <w:right w:w="108" w:type="dxa"/>
          </w:tblCellMar>
        </w:tblPrEx>
        <w:trPr>
          <w:trHeight w:val="585" w:hRule="atLeast"/>
        </w:trPr>
        <w:tc>
          <w:tcPr>
            <w:tcW w:w="8852" w:type="dxa"/>
            <w:gridSpan w:val="5"/>
            <w:tcBorders>
              <w:top w:val="nil"/>
              <w:left w:val="nil"/>
              <w:bottom w:val="nil"/>
              <w:right w:val="nil"/>
            </w:tcBorders>
            <w:shd w:val="clear" w:color="auto" w:fill="auto"/>
            <w:noWrap/>
            <w:vAlign w:val="center"/>
          </w:tcPr>
          <w:p>
            <w:pPr>
              <w:widowControl/>
              <w:jc w:val="center"/>
              <w:textAlignment w:val="center"/>
              <w:rPr>
                <w:rFonts w:ascii="宋体" w:hAnsi="宋体" w:cs="宋体"/>
                <w:b/>
                <w:bCs/>
                <w:color w:val="000000"/>
                <w:sz w:val="44"/>
                <w:szCs w:val="44"/>
              </w:rPr>
            </w:pPr>
            <w:r>
              <w:rPr>
                <w:rFonts w:hint="eastAsia" w:ascii="宋体" w:hAnsi="宋体" w:cs="宋体"/>
                <w:b/>
                <w:bCs/>
                <w:color w:val="000000"/>
                <w:kern w:val="0"/>
                <w:sz w:val="44"/>
                <w:szCs w:val="44"/>
                <w:lang w:bidi="ar"/>
              </w:rPr>
              <w:t>国有资本经营预算支出表</w:t>
            </w:r>
          </w:p>
        </w:tc>
      </w:tr>
      <w:tr>
        <w:tblPrEx>
          <w:tblCellMar>
            <w:top w:w="0" w:type="dxa"/>
            <w:left w:w="108" w:type="dxa"/>
            <w:bottom w:w="0" w:type="dxa"/>
            <w:right w:w="108" w:type="dxa"/>
          </w:tblCellMar>
        </w:tblPrEx>
        <w:trPr>
          <w:trHeight w:val="420" w:hRule="atLeast"/>
        </w:trPr>
        <w:tc>
          <w:tcPr>
            <w:tcW w:w="2188" w:type="dxa"/>
            <w:tcBorders>
              <w:top w:val="nil"/>
              <w:left w:val="nil"/>
              <w:bottom w:val="nil"/>
              <w:right w:val="nil"/>
            </w:tcBorders>
            <w:shd w:val="clear" w:color="auto" w:fill="auto"/>
            <w:noWrap/>
            <w:vAlign w:val="center"/>
          </w:tcPr>
          <w:p>
            <w:pPr>
              <w:widowControl/>
              <w:jc w:val="left"/>
              <w:textAlignment w:val="center"/>
              <w:rPr>
                <w:rFonts w:ascii="宋体" w:hAnsi="宋体" w:cs="宋体"/>
                <w:color w:val="000000"/>
                <w:sz w:val="24"/>
                <w:szCs w:val="24"/>
              </w:rPr>
            </w:pPr>
            <w:r>
              <w:rPr>
                <w:rFonts w:hint="eastAsia" w:ascii="宋体" w:hAnsi="宋体" w:cs="宋体"/>
                <w:color w:val="000000"/>
                <w:kern w:val="0"/>
                <w:sz w:val="24"/>
                <w:szCs w:val="24"/>
                <w:lang w:bidi="ar"/>
              </w:rPr>
              <w:t>填报单位:[109002]兴国县老干部活动中心</w:t>
            </w:r>
          </w:p>
        </w:tc>
        <w:tc>
          <w:tcPr>
            <w:tcW w:w="2610" w:type="dxa"/>
            <w:tcBorders>
              <w:top w:val="nil"/>
              <w:left w:val="nil"/>
              <w:bottom w:val="nil"/>
              <w:right w:val="nil"/>
            </w:tcBorders>
            <w:shd w:val="clear" w:color="auto" w:fill="auto"/>
            <w:noWrap/>
            <w:vAlign w:val="bottom"/>
          </w:tcPr>
          <w:p>
            <w:pPr>
              <w:rPr>
                <w:rFonts w:ascii="宋体" w:hAnsi="宋体" w:cs="宋体"/>
                <w:color w:val="000000"/>
                <w:sz w:val="24"/>
                <w:szCs w:val="24"/>
              </w:rPr>
            </w:pPr>
          </w:p>
        </w:tc>
        <w:tc>
          <w:tcPr>
            <w:tcW w:w="1502" w:type="dxa"/>
            <w:tcBorders>
              <w:top w:val="nil"/>
              <w:left w:val="nil"/>
              <w:bottom w:val="nil"/>
              <w:right w:val="nil"/>
            </w:tcBorders>
            <w:shd w:val="clear" w:color="auto" w:fill="auto"/>
            <w:noWrap/>
            <w:vAlign w:val="bottom"/>
          </w:tcPr>
          <w:p>
            <w:pPr>
              <w:rPr>
                <w:rFonts w:ascii="宋体" w:hAnsi="宋体" w:cs="宋体"/>
                <w:color w:val="000000"/>
                <w:sz w:val="24"/>
                <w:szCs w:val="24"/>
              </w:rPr>
            </w:pPr>
          </w:p>
        </w:tc>
        <w:tc>
          <w:tcPr>
            <w:tcW w:w="1158" w:type="dxa"/>
            <w:tcBorders>
              <w:top w:val="nil"/>
              <w:left w:val="nil"/>
              <w:bottom w:val="nil"/>
              <w:right w:val="nil"/>
            </w:tcBorders>
            <w:shd w:val="clear" w:color="auto" w:fill="auto"/>
            <w:noWrap/>
            <w:vAlign w:val="bottom"/>
          </w:tcPr>
          <w:p>
            <w:pPr>
              <w:rPr>
                <w:rFonts w:ascii="宋体" w:hAnsi="宋体" w:cs="宋体"/>
                <w:color w:val="000000"/>
                <w:sz w:val="24"/>
                <w:szCs w:val="24"/>
              </w:rPr>
            </w:pPr>
          </w:p>
        </w:tc>
        <w:tc>
          <w:tcPr>
            <w:tcW w:w="1394" w:type="dxa"/>
            <w:tcBorders>
              <w:top w:val="nil"/>
              <w:left w:val="nil"/>
              <w:bottom w:val="nil"/>
              <w:right w:val="nil"/>
            </w:tcBorders>
            <w:shd w:val="clear" w:color="auto" w:fill="auto"/>
            <w:noWrap/>
            <w:vAlign w:val="center"/>
          </w:tcPr>
          <w:p>
            <w:pPr>
              <w:widowControl/>
              <w:jc w:val="right"/>
              <w:textAlignment w:val="center"/>
              <w:rPr>
                <w:rFonts w:ascii="宋体" w:hAnsi="宋体" w:cs="宋体"/>
                <w:color w:val="000000"/>
                <w:sz w:val="24"/>
                <w:szCs w:val="24"/>
              </w:rPr>
            </w:pPr>
            <w:r>
              <w:rPr>
                <w:rFonts w:hint="eastAsia" w:ascii="宋体" w:hAnsi="宋体" w:cs="宋体"/>
                <w:color w:val="000000"/>
                <w:kern w:val="0"/>
                <w:sz w:val="24"/>
                <w:szCs w:val="24"/>
                <w:lang w:bidi="ar"/>
              </w:rPr>
              <w:t>单位：万元</w:t>
            </w:r>
          </w:p>
        </w:tc>
      </w:tr>
      <w:tr>
        <w:tblPrEx>
          <w:tblCellMar>
            <w:top w:w="0" w:type="dxa"/>
            <w:left w:w="108" w:type="dxa"/>
            <w:bottom w:w="0" w:type="dxa"/>
            <w:right w:w="108" w:type="dxa"/>
          </w:tblCellMar>
        </w:tblPrEx>
        <w:trPr>
          <w:trHeight w:val="510" w:hRule="atLeast"/>
        </w:trPr>
        <w:tc>
          <w:tcPr>
            <w:tcW w:w="479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支出功能分类科目</w:t>
            </w:r>
          </w:p>
        </w:tc>
        <w:tc>
          <w:tcPr>
            <w:tcW w:w="405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2023年预算数</w:t>
            </w:r>
          </w:p>
        </w:tc>
      </w:tr>
      <w:tr>
        <w:tblPrEx>
          <w:tblCellMar>
            <w:top w:w="0" w:type="dxa"/>
            <w:left w:w="108" w:type="dxa"/>
            <w:bottom w:w="0" w:type="dxa"/>
            <w:right w:w="108" w:type="dxa"/>
          </w:tblCellMar>
        </w:tblPrEx>
        <w:trPr>
          <w:trHeight w:val="570" w:hRule="atLeast"/>
        </w:trPr>
        <w:tc>
          <w:tcPr>
            <w:tcW w:w="2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科目编码</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 xml:space="preserve">科目名称 </w:t>
            </w:r>
          </w:p>
        </w:tc>
        <w:tc>
          <w:tcPr>
            <w:tcW w:w="1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合计</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基本支出</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项目支出</w:t>
            </w:r>
          </w:p>
        </w:tc>
      </w:tr>
      <w:tr>
        <w:tblPrEx>
          <w:tblCellMar>
            <w:top w:w="0" w:type="dxa"/>
            <w:left w:w="108" w:type="dxa"/>
            <w:bottom w:w="0" w:type="dxa"/>
            <w:right w:w="108" w:type="dxa"/>
          </w:tblCellMar>
        </w:tblPrEx>
        <w:trPr>
          <w:trHeight w:val="420" w:hRule="atLeast"/>
        </w:trPr>
        <w:tc>
          <w:tcPr>
            <w:tcW w:w="2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w:t>
            </w:r>
          </w:p>
        </w:tc>
        <w:tc>
          <w:tcPr>
            <w:tcW w:w="1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1</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2</w:t>
            </w: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lang w:bidi="ar"/>
              </w:rPr>
              <w:t>3</w:t>
            </w:r>
          </w:p>
        </w:tc>
      </w:tr>
      <w:tr>
        <w:tblPrEx>
          <w:tblCellMar>
            <w:top w:w="0" w:type="dxa"/>
            <w:left w:w="108" w:type="dxa"/>
            <w:bottom w:w="0" w:type="dxa"/>
            <w:right w:w="108" w:type="dxa"/>
          </w:tblCellMar>
        </w:tblPrEx>
        <w:trPr>
          <w:trHeight w:val="540" w:hRule="atLeast"/>
        </w:trPr>
        <w:tc>
          <w:tcPr>
            <w:tcW w:w="2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4"/>
                <w:szCs w:val="24"/>
              </w:rPr>
            </w:pP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4"/>
                <w:szCs w:val="24"/>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4"/>
                <w:szCs w:val="24"/>
              </w:rPr>
            </w:pP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4"/>
                <w:szCs w:val="24"/>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4"/>
                <w:szCs w:val="24"/>
              </w:rPr>
            </w:pPr>
          </w:p>
        </w:tc>
      </w:tr>
    </w:tbl>
    <w:p>
      <w:pPr>
        <w:rPr>
          <w:rFonts w:eastAsia="仿宋"/>
        </w:rPr>
      </w:pPr>
      <w:r>
        <w:rPr>
          <w:rFonts w:hint="eastAsia" w:eastAsia="仿宋"/>
        </w:rPr>
        <w:br w:type="page"/>
      </w:r>
    </w:p>
    <w:p>
      <w:pPr>
        <w:pStyle w:val="3"/>
        <w:numPr>
          <w:ilvl w:val="0"/>
          <w:numId w:val="2"/>
        </w:numPr>
        <w:rPr>
          <w:rFonts w:ascii="仿宋" w:hAnsi="仿宋" w:eastAsia="仿宋" w:cs="仿宋"/>
          <w:sz w:val="30"/>
          <w:szCs w:val="30"/>
          <w:lang w:val="en-US"/>
        </w:rPr>
      </w:pPr>
      <w:r>
        <w:rPr>
          <w:rFonts w:hint="eastAsia" w:ascii="仿宋" w:hAnsi="仿宋" w:eastAsia="仿宋" w:cs="仿宋"/>
        </w:rPr>
        <w:t>《项目支出绩效目标表》</w:t>
      </w:r>
    </w:p>
    <w:p/>
    <w:p>
      <w:pPr>
        <w:rPr>
          <w:rFonts w:ascii="仿宋" w:hAnsi="仿宋" w:eastAsia="仿宋" w:cs="仿宋"/>
          <w:sz w:val="30"/>
          <w:szCs w:val="30"/>
        </w:rPr>
      </w:pPr>
      <w:r>
        <w:rPr>
          <w:rFonts w:hint="eastAsia" w:ascii="仿宋" w:hAnsi="仿宋" w:eastAsia="仿宋" w:cs="仿宋"/>
          <w:sz w:val="30"/>
          <w:szCs w:val="30"/>
        </w:rPr>
        <w:t>退休干部2023年经费项目</w:t>
      </w:r>
    </w:p>
    <w:p>
      <w:pPr>
        <w:rPr>
          <w:rFonts w:eastAsiaTheme="minorEastAsia"/>
        </w:rPr>
      </w:pPr>
      <w:r>
        <w:rPr>
          <w:rFonts w:hint="eastAsia" w:eastAsiaTheme="minorEastAsia"/>
        </w:rPr>
        <w:drawing>
          <wp:inline distT="0" distB="0" distL="114300" distR="114300">
            <wp:extent cx="4535170" cy="5619115"/>
            <wp:effectExtent l="0" t="0" r="6350" b="4445"/>
            <wp:docPr id="18" name="图片 18" descr="27ff0e3b3fe21ebfeacb1ee24b3f4fc"/>
            <wp:cNvGraphicFramePr/>
            <a:graphic xmlns:a="http://schemas.openxmlformats.org/drawingml/2006/main">
              <a:graphicData uri="http://schemas.openxmlformats.org/drawingml/2006/picture">
                <pic:pic xmlns:pic="http://schemas.openxmlformats.org/drawingml/2006/picture">
                  <pic:nvPicPr>
                    <pic:cNvPr id="18" name="图片 18" descr="27ff0e3b3fe21ebfeacb1ee24b3f4fc"/>
                    <pic:cNvPicPr/>
                  </pic:nvPicPr>
                  <pic:blipFill>
                    <a:blip r:embed="rId13"/>
                    <a:stretch>
                      <a:fillRect/>
                    </a:stretch>
                  </pic:blipFill>
                  <pic:spPr>
                    <a:xfrm>
                      <a:off x="0" y="0"/>
                      <a:ext cx="4535170" cy="5619115"/>
                    </a:xfrm>
                    <a:prstGeom prst="rect">
                      <a:avLst/>
                    </a:prstGeom>
                  </pic:spPr>
                </pic:pic>
              </a:graphicData>
            </a:graphic>
          </wp:inline>
        </w:drawing>
      </w:r>
    </w:p>
    <w:p>
      <w:pPr>
        <w:rPr>
          <w:rFonts w:eastAsiaTheme="minorEastAsia"/>
        </w:rPr>
      </w:pPr>
    </w:p>
    <w:p>
      <w:pPr>
        <w:rPr>
          <w:rFonts w:eastAsiaTheme="minorEastAsia"/>
        </w:rPr>
      </w:pPr>
    </w:p>
    <w:p>
      <w:pPr>
        <w:rPr>
          <w:rFonts w:eastAsiaTheme="minorEastAsia"/>
        </w:rPr>
      </w:pPr>
    </w:p>
    <w:p>
      <w:pPr>
        <w:rPr>
          <w:rFonts w:eastAsiaTheme="minorEastAsia"/>
        </w:rPr>
      </w:pPr>
      <w:r>
        <w:rPr>
          <w:rFonts w:eastAsiaTheme="minorEastAsia"/>
        </w:rPr>
        <w:br w:type="page"/>
      </w:r>
    </w:p>
    <w:p>
      <w:pPr>
        <w:rPr>
          <w:rFonts w:eastAsiaTheme="minorEastAsia"/>
        </w:rPr>
      </w:pPr>
    </w:p>
    <w:p>
      <w:pPr>
        <w:rPr>
          <w:rFonts w:eastAsiaTheme="minorEastAsia"/>
        </w:rPr>
      </w:pPr>
      <w:r>
        <w:rPr>
          <w:rFonts w:hint="eastAsia" w:ascii="仿宋" w:hAnsi="仿宋" w:eastAsia="仿宋" w:cs="仿宋"/>
          <w:sz w:val="30"/>
          <w:szCs w:val="30"/>
        </w:rPr>
        <w:t>9、老干部活动中心2023年其他资金经费项目</w:t>
      </w:r>
    </w:p>
    <w:p>
      <w:pPr>
        <w:rPr>
          <w:rFonts w:ascii="仿宋" w:hAnsi="仿宋" w:eastAsia="仿宋" w:cs="仿宋"/>
          <w:sz w:val="30"/>
          <w:szCs w:val="30"/>
        </w:rPr>
      </w:pPr>
      <w:r>
        <w:rPr>
          <w:rFonts w:hint="eastAsia" w:eastAsiaTheme="minorEastAsia"/>
        </w:rPr>
        <w:drawing>
          <wp:inline distT="0" distB="0" distL="114300" distR="114300">
            <wp:extent cx="5664835" cy="7189470"/>
            <wp:effectExtent l="0" t="0" r="4445" b="3810"/>
            <wp:docPr id="19" name="图片 19" descr="f5fd99d67479f6c7985a984ee221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5fd99d67479f6c7985a984ee221336"/>
                    <pic:cNvPicPr>
                      <a:picLocks noChangeAspect="1"/>
                    </pic:cNvPicPr>
                  </pic:nvPicPr>
                  <pic:blipFill>
                    <a:blip r:embed="rId14"/>
                    <a:stretch>
                      <a:fillRect/>
                    </a:stretch>
                  </pic:blipFill>
                  <pic:spPr>
                    <a:xfrm>
                      <a:off x="0" y="0"/>
                      <a:ext cx="5664835" cy="7189470"/>
                    </a:xfrm>
                    <a:prstGeom prst="rect">
                      <a:avLst/>
                    </a:prstGeom>
                  </pic:spPr>
                </pic:pic>
              </a:graphicData>
            </a:graphic>
          </wp:inline>
        </w:drawing>
      </w:r>
    </w:p>
    <w:p>
      <w:pPr>
        <w:rPr>
          <w:rFonts w:ascii="仿宋" w:hAnsi="仿宋" w:eastAsia="仿宋" w:cs="仿宋"/>
          <w:sz w:val="30"/>
          <w:szCs w:val="30"/>
        </w:rPr>
      </w:pPr>
    </w:p>
    <w:p>
      <w:r>
        <w:br w:type="page"/>
      </w: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 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（六）上级补助收入：反映事业单位从主管单位和上级单位取得的非财政补助收入。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（七）使用非财政拨款结余：填列历年滚存的非限定用途的非统计财政拨款结余弥补2023年收支差额的数额。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（八）上年结转和结余：填列2022年全部结转和结余的资金数，包括当年结转结余资金和历年滚存结转结余资金。</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（一）（组织事务）其他组织事务支出：反映其他用于中国共产党组织部门的事务支出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（二）（其他共产党事务支出）事业运行：反映事业单位的基本支岀，不包括行政单位（包括实行公务员管理的事业单位）后勤服务中心、医务室等附属事业单位。</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（四）死亡抚恤：反映单位遗属人员生活补助。</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（五）事业单位医疗：反映财政单位集中安排的事业单位基本医疗保险缴费经费。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（六）（住房改革支出）住房公积金：反映行政事业单位按人力资源和社会保障部、财政部规定的基本工资和津贴补贴以及规定比例为职工缴纳的住房公积金。</w:t>
      </w:r>
    </w:p>
    <w:p>
      <w:pPr>
        <w:spacing w:line="560" w:lineRule="exact"/>
        <w:ind w:firstLine="640" w:firstLineChars="200"/>
        <w:rPr>
          <w:rFonts w:ascii="宋体" w:hAnsi="宋体" w:eastAsiaTheme="minorEastAsia" w:cstheme="minorEastAsia"/>
          <w:b/>
          <w:bCs/>
          <w:sz w:val="32"/>
          <w:szCs w:val="32"/>
        </w:rPr>
      </w:pPr>
      <w:r>
        <w:rPr>
          <w:rFonts w:hint="eastAsia" w:ascii="仿宋" w:hAnsi="仿宋" w:eastAsia="仿宋" w:cs="仿宋"/>
          <w:sz w:val="32"/>
          <w:szCs w:val="32"/>
        </w:rPr>
        <w:t>（七）　其他支出：反映其他不能划分到具体功能科目中的支出项目。</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45513D1-0D3B-4759-B8C7-17BF473502B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3B0856F0-49DE-448F-8DB8-A2345526E00C}"/>
  </w:font>
  <w:font w:name="楷体">
    <w:panose1 w:val="02010609060101010101"/>
    <w:charset w:val="86"/>
    <w:family w:val="modern"/>
    <w:pitch w:val="default"/>
    <w:sig w:usb0="800002BF" w:usb1="38CF7CFA" w:usb2="00000016" w:usb3="00000000" w:csb0="00040001" w:csb1="00000000"/>
    <w:embedRegular r:id="rId3" w:fontKey="{2C83D881-0018-44A1-9C4A-6E3FA9D6750A}"/>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E21AA0E8"/>
    <w:multiLevelType w:val="singleLevel"/>
    <w:tmpl w:val="E21AA0E8"/>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RiZTE1NGMwYTRmYWI0NDNlODE2MTc0NjY3ZWI2NDcifQ=="/>
  </w:docVars>
  <w:rsids>
    <w:rsidRoot w:val="445E02C8"/>
    <w:rsid w:val="00294247"/>
    <w:rsid w:val="00303483"/>
    <w:rsid w:val="00403A55"/>
    <w:rsid w:val="00441EE0"/>
    <w:rsid w:val="00463FC9"/>
    <w:rsid w:val="007724C7"/>
    <w:rsid w:val="00A226FE"/>
    <w:rsid w:val="00A4698D"/>
    <w:rsid w:val="02076F1C"/>
    <w:rsid w:val="0276470F"/>
    <w:rsid w:val="031D7F48"/>
    <w:rsid w:val="03DB0660"/>
    <w:rsid w:val="03F67248"/>
    <w:rsid w:val="04EE7A30"/>
    <w:rsid w:val="0680729D"/>
    <w:rsid w:val="06B54B0C"/>
    <w:rsid w:val="08C17437"/>
    <w:rsid w:val="08F438BE"/>
    <w:rsid w:val="090441B5"/>
    <w:rsid w:val="09F26B5B"/>
    <w:rsid w:val="0C1069CD"/>
    <w:rsid w:val="0C547916"/>
    <w:rsid w:val="0E176739"/>
    <w:rsid w:val="0F0938D6"/>
    <w:rsid w:val="0F4D0AAA"/>
    <w:rsid w:val="115E01DA"/>
    <w:rsid w:val="115F3811"/>
    <w:rsid w:val="11E93F48"/>
    <w:rsid w:val="13E855B5"/>
    <w:rsid w:val="150775E9"/>
    <w:rsid w:val="16AD19E8"/>
    <w:rsid w:val="173739A8"/>
    <w:rsid w:val="181546BD"/>
    <w:rsid w:val="19CF11C0"/>
    <w:rsid w:val="1ACB5865"/>
    <w:rsid w:val="1E650272"/>
    <w:rsid w:val="1E997144"/>
    <w:rsid w:val="273B4DEE"/>
    <w:rsid w:val="27DC5671"/>
    <w:rsid w:val="280E605F"/>
    <w:rsid w:val="28677CCB"/>
    <w:rsid w:val="29397DAB"/>
    <w:rsid w:val="29BB777B"/>
    <w:rsid w:val="2A7A4060"/>
    <w:rsid w:val="2AFB281B"/>
    <w:rsid w:val="2FD63906"/>
    <w:rsid w:val="31D2634F"/>
    <w:rsid w:val="32523F5D"/>
    <w:rsid w:val="326D79FF"/>
    <w:rsid w:val="32D14170"/>
    <w:rsid w:val="340136F5"/>
    <w:rsid w:val="34261704"/>
    <w:rsid w:val="34C97B3E"/>
    <w:rsid w:val="381473A8"/>
    <w:rsid w:val="38F17A02"/>
    <w:rsid w:val="39E5707E"/>
    <w:rsid w:val="3A0D43C8"/>
    <w:rsid w:val="3A4013F4"/>
    <w:rsid w:val="3A68113E"/>
    <w:rsid w:val="3C2854E9"/>
    <w:rsid w:val="3C830B17"/>
    <w:rsid w:val="3D804EB1"/>
    <w:rsid w:val="3F5F2902"/>
    <w:rsid w:val="3FFE2FA6"/>
    <w:rsid w:val="40A51960"/>
    <w:rsid w:val="40D20119"/>
    <w:rsid w:val="40FB0529"/>
    <w:rsid w:val="41EA05F5"/>
    <w:rsid w:val="43F45BD0"/>
    <w:rsid w:val="445E02C8"/>
    <w:rsid w:val="4AF573E1"/>
    <w:rsid w:val="4AFF5FAF"/>
    <w:rsid w:val="4B117A90"/>
    <w:rsid w:val="4C7107E7"/>
    <w:rsid w:val="4D1D44CA"/>
    <w:rsid w:val="4E720A8B"/>
    <w:rsid w:val="4EA604F0"/>
    <w:rsid w:val="4FA10DB7"/>
    <w:rsid w:val="54092EF7"/>
    <w:rsid w:val="54F85256"/>
    <w:rsid w:val="55344AA7"/>
    <w:rsid w:val="55E262B1"/>
    <w:rsid w:val="57744C6A"/>
    <w:rsid w:val="5A8B3E38"/>
    <w:rsid w:val="5B3C46B5"/>
    <w:rsid w:val="5B653F38"/>
    <w:rsid w:val="5BCD5123"/>
    <w:rsid w:val="5CAF2C65"/>
    <w:rsid w:val="60D333C6"/>
    <w:rsid w:val="634936C2"/>
    <w:rsid w:val="636C365E"/>
    <w:rsid w:val="647267C2"/>
    <w:rsid w:val="66054A63"/>
    <w:rsid w:val="660C5D19"/>
    <w:rsid w:val="667E40AD"/>
    <w:rsid w:val="66FA76C2"/>
    <w:rsid w:val="6A0817D1"/>
    <w:rsid w:val="6C7D6D44"/>
    <w:rsid w:val="6EB53FF2"/>
    <w:rsid w:val="71724DA6"/>
    <w:rsid w:val="71D451F0"/>
    <w:rsid w:val="74DE6F6B"/>
    <w:rsid w:val="75CA2B92"/>
    <w:rsid w:val="76F77DDA"/>
    <w:rsid w:val="78E73A5B"/>
    <w:rsid w:val="79586707"/>
    <w:rsid w:val="7AC95903"/>
    <w:rsid w:val="7B810197"/>
    <w:rsid w:val="7D4676BD"/>
    <w:rsid w:val="7DFF1847"/>
    <w:rsid w:val="7E4C1470"/>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9"/>
    <w:qFormat/>
    <w:uiPriority w:val="0"/>
    <w:pPr>
      <w:jc w:val="left"/>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annotation subject"/>
    <w:basedOn w:val="2"/>
    <w:next w:val="2"/>
    <w:link w:val="10"/>
    <w:qFormat/>
    <w:uiPriority w:val="0"/>
    <w:rPr>
      <w:b/>
      <w:bCs/>
    </w:rPr>
  </w:style>
  <w:style w:type="character" w:styleId="8">
    <w:name w:val="annotation reference"/>
    <w:basedOn w:val="7"/>
    <w:qFormat/>
    <w:uiPriority w:val="0"/>
    <w:rPr>
      <w:sz w:val="21"/>
      <w:szCs w:val="21"/>
    </w:rPr>
  </w:style>
  <w:style w:type="character" w:customStyle="1" w:styleId="9">
    <w:name w:val="批注文字 字符"/>
    <w:basedOn w:val="7"/>
    <w:link w:val="2"/>
    <w:qFormat/>
    <w:uiPriority w:val="0"/>
    <w:rPr>
      <w:kern w:val="2"/>
      <w:sz w:val="21"/>
    </w:rPr>
  </w:style>
  <w:style w:type="character" w:customStyle="1" w:styleId="10">
    <w:name w:val="批注主题 字符"/>
    <w:basedOn w:val="9"/>
    <w:link w:val="5"/>
    <w:qFormat/>
    <w:uiPriority w:val="0"/>
    <w:rPr>
      <w:b/>
      <w:bCs/>
      <w:kern w:val="2"/>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3916</Words>
  <Characters>4349</Characters>
  <Lines>35</Lines>
  <Paragraphs>10</Paragraphs>
  <TotalTime>11</TotalTime>
  <ScaleCrop>false</ScaleCrop>
  <LinksUpToDate>false</LinksUpToDate>
  <CharactersWithSpaces>4374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2024-06-04T01:54:00Z</dcterms:created>
  <dc:creator>巫媛</dc:creator>
  <cp:lastModifiedBy>飞云</cp:lastModifiedBy>
  <dcterms:modified xsi:type="dcterms:W3CDTF">2024-06-04T03:43:58Z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C7FE816C9EF144829A4B4B887842B509_13</vt:lpwstr>
  </property>
</Properties>
</file>