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附件1</w:t>
      </w:r>
    </w:p>
    <w:p>
      <w:pPr>
        <w:spacing w:line="600" w:lineRule="exac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2022年度县级部门决算公开格式：</w:t>
      </w:r>
    </w:p>
    <w:p>
      <w:pPr>
        <w:spacing w:line="600" w:lineRule="exact"/>
        <w:rPr>
          <w:rFonts w:hint="eastAsia" w:ascii="楷体" w:hAnsi="楷体" w:eastAsia="楷体" w:cs="楷体"/>
          <w:color w:val="auto"/>
          <w:sz w:val="30"/>
          <w:szCs w:val="30"/>
          <w:highlight w:val="none"/>
        </w:rPr>
      </w:pPr>
    </w:p>
    <w:p>
      <w:pPr>
        <w:spacing w:line="600" w:lineRule="exact"/>
        <w:jc w:val="center"/>
        <w:rPr>
          <w:rFonts w:hint="eastAsia" w:ascii="方正小标宋简体" w:hAnsi="方正小标宋简体" w:eastAsia="方正小标宋简体" w:cs="方正小标宋简体"/>
          <w:color w:val="auto"/>
          <w:spacing w:val="-20"/>
          <w:sz w:val="44"/>
          <w:szCs w:val="36"/>
          <w:highlight w:val="none"/>
        </w:rPr>
      </w:pPr>
      <w:r>
        <w:rPr>
          <w:rFonts w:hint="eastAsia" w:ascii="方正小标宋简体" w:hAnsi="方正小标宋简体" w:eastAsia="方正小标宋简体" w:cs="方正小标宋简体"/>
          <w:color w:val="auto"/>
          <w:spacing w:val="-20"/>
          <w:sz w:val="44"/>
          <w:szCs w:val="36"/>
          <w:highlight w:val="none"/>
        </w:rPr>
        <w:t>兴国县高兴镇人民政府部门2022年度部门决算</w:t>
      </w:r>
    </w:p>
    <w:p>
      <w:pPr>
        <w:spacing w:line="600" w:lineRule="exact"/>
        <w:rPr>
          <w:rFonts w:hint="eastAsia" w:ascii="黑体" w:eastAsia="黑体"/>
          <w:color w:val="auto"/>
          <w:sz w:val="44"/>
          <w:szCs w:val="36"/>
          <w:highlight w:val="none"/>
        </w:rPr>
      </w:pPr>
    </w:p>
    <w:p>
      <w:pPr>
        <w:spacing w:line="600" w:lineRule="exact"/>
        <w:jc w:val="center"/>
        <w:rPr>
          <w:rFonts w:hint="eastAsia" w:ascii="黑体" w:hAnsi="黑体" w:eastAsia="黑体" w:cs="黑体"/>
          <w:b/>
          <w:bCs/>
          <w:color w:val="auto"/>
          <w:sz w:val="40"/>
          <w:szCs w:val="36"/>
          <w:highlight w:val="none"/>
        </w:rPr>
      </w:pPr>
    </w:p>
    <w:p>
      <w:pPr>
        <w:widowControl/>
        <w:spacing w:line="600" w:lineRule="exact"/>
        <w:ind w:firstLine="640"/>
        <w:rPr>
          <w:rFonts w:hint="eastAsia" w:ascii="仿宋_GB2312" w:eastAsia="仿宋_GB2312"/>
          <w:color w:val="auto"/>
          <w:sz w:val="32"/>
          <w:szCs w:val="30"/>
          <w:highlight w:val="none"/>
        </w:rPr>
      </w:pPr>
    </w:p>
    <w:p>
      <w:pPr>
        <w:widowControl/>
        <w:spacing w:line="600" w:lineRule="exact"/>
        <w:ind w:firstLine="640" w:firstLineChars="200"/>
        <w:rPr>
          <w:rFonts w:hint="eastAsia" w:ascii="黑体" w:hAnsi="黑体" w:eastAsia="黑体"/>
          <w:bCs/>
          <w:color w:val="auto"/>
          <w:sz w:val="32"/>
          <w:szCs w:val="32"/>
          <w:highlight w:val="none"/>
        </w:rPr>
      </w:pPr>
      <w:r>
        <w:rPr>
          <w:rFonts w:hint="eastAsia" w:ascii="黑体" w:hAnsi="黑体" w:eastAsia="黑体"/>
          <w:bCs/>
          <w:color w:val="auto"/>
          <w:sz w:val="32"/>
          <w:szCs w:val="32"/>
          <w:highlight w:val="none"/>
        </w:rPr>
        <w:t>第一部分</w:t>
      </w:r>
      <w:r>
        <w:rPr>
          <w:rFonts w:hint="eastAsia" w:ascii="黑体" w:hAnsi="黑体" w:eastAsia="黑体"/>
          <w:bCs/>
          <w:color w:val="auto"/>
          <w:sz w:val="32"/>
          <w:szCs w:val="32"/>
          <w:highlight w:val="none"/>
          <w:lang w:eastAsia="zh-CN"/>
        </w:rPr>
        <w:t>高兴镇人民政府</w:t>
      </w:r>
      <w:r>
        <w:rPr>
          <w:rFonts w:hint="eastAsia" w:ascii="黑体" w:hAnsi="黑体" w:eastAsia="黑体"/>
          <w:bCs/>
          <w:color w:val="auto"/>
          <w:sz w:val="32"/>
          <w:szCs w:val="32"/>
          <w:highlight w:val="none"/>
        </w:rPr>
        <w:t>部门概况</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一、部门主要职责</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二、部门基本情况</w:t>
      </w:r>
    </w:p>
    <w:p>
      <w:pPr>
        <w:widowControl/>
        <w:spacing w:line="600" w:lineRule="exact"/>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第二部分2022年度部门决算表</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一、收入支出决算总表</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二、收入决算表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三、支出决算表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四、财政拨款收入支出决算总表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五、一般公共预算财政拨款支出决算表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六、一般公共预算财政拨款基本支出决算表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七、政府性基金预算财政拨款收入支出决算表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八、国有资本经营预算财政拨款支出决算表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九、财政拨款“三公”经费支出决算表</w:t>
      </w:r>
    </w:p>
    <w:p>
      <w:pPr>
        <w:widowControl/>
        <w:spacing w:line="600" w:lineRule="exact"/>
        <w:ind w:firstLine="1280" w:firstLineChars="400"/>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十、国有资产占用情况表</w:t>
      </w:r>
    </w:p>
    <w:p>
      <w:pPr>
        <w:widowControl/>
        <w:spacing w:line="600" w:lineRule="exact"/>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第三部分2022年度部门决算情况说明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一、收入决算情况说明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二、支出决算情况说明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三、财政拨款支出决算情况说明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四、一般公共预算财政拨款基本支出决算情况说明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五、财政拨款“三公”经费支出决算情况说明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六、机关运行经费支出情况说明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七、政府采购支出情况说明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八、国有资产占用情况说明</w:t>
      </w:r>
    </w:p>
    <w:p>
      <w:pPr>
        <w:widowControl/>
        <w:spacing w:line="600" w:lineRule="exact"/>
        <w:ind w:firstLine="1280" w:firstLineChars="400"/>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九、预算绩效情况说明</w:t>
      </w:r>
    </w:p>
    <w:p>
      <w:pPr>
        <w:widowControl/>
        <w:spacing w:line="600" w:lineRule="exact"/>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第四部分名词解释</w:t>
      </w:r>
    </w:p>
    <w:p>
      <w:pPr>
        <w:widowControl/>
        <w:spacing w:line="60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第五部分附件</w:t>
      </w:r>
    </w:p>
    <w:p>
      <w:pPr>
        <w:spacing w:line="600" w:lineRule="exact"/>
        <w:ind w:firstLine="630"/>
        <w:rPr>
          <w:rFonts w:hint="eastAsia" w:ascii="宋体" w:hAnsi="宋体"/>
          <w:b/>
          <w:color w:val="auto"/>
          <w:sz w:val="32"/>
          <w:szCs w:val="30"/>
          <w:highlight w:val="none"/>
        </w:rPr>
      </w:pPr>
      <w:r>
        <w:rPr>
          <w:rFonts w:hint="eastAsia" w:ascii="宋体" w:hAnsi="宋体"/>
          <w:b/>
          <w:color w:val="auto"/>
          <w:sz w:val="36"/>
          <w:szCs w:val="36"/>
          <w:highlight w:val="none"/>
        </w:rPr>
        <w:br w:type="page"/>
      </w:r>
    </w:p>
    <w:p>
      <w:pPr>
        <w:widowControl/>
        <w:spacing w:line="600" w:lineRule="exact"/>
        <w:jc w:val="center"/>
        <w:rPr>
          <w:rFonts w:hint="eastAsia"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第一部分兴国县高兴镇人民政府部门概况</w:t>
      </w:r>
    </w:p>
    <w:p>
      <w:pPr>
        <w:spacing w:line="600" w:lineRule="exact"/>
        <w:ind w:firstLine="630"/>
        <w:rPr>
          <w:rFonts w:hint="eastAsia"/>
          <w:color w:val="auto"/>
          <w:sz w:val="32"/>
          <w:szCs w:val="32"/>
          <w:highlight w:val="none"/>
        </w:rPr>
      </w:pPr>
    </w:p>
    <w:p>
      <w:pPr>
        <w:spacing w:line="600" w:lineRule="exact"/>
        <w:ind w:firstLine="63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一、部门主要职能</w:t>
      </w:r>
    </w:p>
    <w:p>
      <w:pPr>
        <w:spacing w:line="60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宣传贯彻党的路线、方针、政策，执行党中央、上级党组织的决定，领导本镇工作，对本镇重大工作、重点问题进行决策，认真抓好党的思想、组织和作风建设，支持和保证行政组织、经济组织、群众组织充分行使职权，充分发挥基层党组织战斗堡垒作用和共产党的先锋模范作用。</w:t>
      </w:r>
    </w:p>
    <w:p>
      <w:pPr>
        <w:spacing w:line="60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（二）监督本乡国家公务员和机关工作人员依法行政，秉公办事，领导和组织实施本镇的“两个文明”建设。</w:t>
      </w:r>
    </w:p>
    <w:p>
      <w:pPr>
        <w:spacing w:line="60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（三）执行本级人民代表大会的决议和上级国家行政机关的决定与命令，发布决定。</w:t>
      </w:r>
    </w:p>
    <w:p>
      <w:pPr>
        <w:spacing w:line="60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（四）管理行政区域内的经济、教育、科学、文化、卫生、体育事业和财政、民政优抚、社会治安综合治理、计划生育、乡村建设等行政事务工作。</w:t>
      </w:r>
    </w:p>
    <w:p>
      <w:pPr>
        <w:spacing w:line="60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（五）建立健全农业科技体系，为农民和经济组织服务，调整产业结构，发展特色产业。</w:t>
      </w:r>
    </w:p>
    <w:p>
      <w:pPr>
        <w:spacing w:line="600" w:lineRule="exact"/>
        <w:ind w:firstLine="63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（六）加快全乡公益事业的发展，组织救灾抢险重大工作。</w:t>
      </w:r>
    </w:p>
    <w:p>
      <w:pPr>
        <w:spacing w:line="600" w:lineRule="exact"/>
        <w:ind w:firstLine="630"/>
        <w:rPr>
          <w:rFonts w:hint="eastAsia" w:ascii="黑体" w:hAnsi="黑体" w:eastAsia="黑体"/>
          <w:color w:val="auto"/>
          <w:sz w:val="32"/>
          <w:szCs w:val="32"/>
          <w:highlight w:val="none"/>
        </w:rPr>
      </w:pPr>
      <w:r>
        <w:rPr>
          <w:rFonts w:hint="eastAsia" w:ascii="仿宋_GB2312" w:hAnsi="仿宋_GB2312" w:eastAsia="仿宋_GB2312" w:cs="仿宋_GB2312"/>
          <w:color w:val="auto"/>
          <w:sz w:val="32"/>
          <w:szCs w:val="32"/>
          <w:highlight w:val="none"/>
        </w:rPr>
        <w:t>（七）承办县委、县政府交办的其他工作。</w:t>
      </w:r>
    </w:p>
    <w:p>
      <w:pPr>
        <w:spacing w:line="600" w:lineRule="exact"/>
        <w:ind w:firstLine="63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二、部门基本情况</w:t>
      </w:r>
    </w:p>
    <w:p>
      <w:pPr>
        <w:spacing w:line="600" w:lineRule="exact"/>
        <w:ind w:firstLine="630"/>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纳入本套部门决算汇编范围的单位共1个，包括兴国县高兴镇人民政府。</w:t>
      </w:r>
    </w:p>
    <w:p>
      <w:pPr>
        <w:spacing w:line="600" w:lineRule="exact"/>
        <w:ind w:firstLine="630"/>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本部门2022年年末实有人数</w:t>
      </w:r>
      <w:r>
        <w:rPr>
          <w:rFonts w:hint="eastAsia" w:ascii="仿宋_GB2312" w:hAnsi="仿宋_GB2312" w:eastAsia="仿宋_GB2312"/>
          <w:color w:val="auto"/>
          <w:sz w:val="32"/>
          <w:szCs w:val="32"/>
          <w:highlight w:val="none"/>
          <w:lang w:val="en-US" w:eastAsia="zh-CN"/>
        </w:rPr>
        <w:t>77</w:t>
      </w:r>
      <w:r>
        <w:rPr>
          <w:rFonts w:hint="eastAsia" w:ascii="仿宋_GB2312" w:hAnsi="仿宋_GB2312" w:eastAsia="仿宋_GB2312"/>
          <w:color w:val="auto"/>
          <w:sz w:val="32"/>
          <w:szCs w:val="32"/>
          <w:highlight w:val="none"/>
        </w:rPr>
        <w:t>人，其中在职人员</w:t>
      </w:r>
      <w:r>
        <w:rPr>
          <w:rFonts w:hint="eastAsia" w:ascii="仿宋_GB2312" w:hAnsi="仿宋_GB2312" w:eastAsia="仿宋_GB2312"/>
          <w:color w:val="auto"/>
          <w:sz w:val="32"/>
          <w:szCs w:val="32"/>
          <w:highlight w:val="none"/>
          <w:lang w:val="en-US" w:eastAsia="zh-CN"/>
        </w:rPr>
        <w:t>77</w:t>
      </w:r>
      <w:r>
        <w:rPr>
          <w:rFonts w:hint="eastAsia" w:ascii="仿宋_GB2312" w:hAnsi="仿宋_GB2312" w:eastAsia="仿宋_GB2312"/>
          <w:color w:val="auto"/>
          <w:sz w:val="32"/>
          <w:szCs w:val="32"/>
          <w:highlight w:val="none"/>
        </w:rPr>
        <w:t>人，离休人员</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人，退休人员</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人（不含由养老保险基金发放养老金的离退休人员）；年末其他人员</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人；年末学生人数</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人；由养老保险基金发放养老金的离退休人员</w:t>
      </w:r>
      <w:r>
        <w:rPr>
          <w:rFonts w:hint="eastAsia" w:ascii="仿宋_GB2312" w:hAnsi="仿宋_GB2312" w:eastAsia="仿宋_GB2312"/>
          <w:color w:val="auto"/>
          <w:sz w:val="32"/>
          <w:szCs w:val="32"/>
          <w:highlight w:val="none"/>
          <w:lang w:val="en-US" w:eastAsia="zh-CN"/>
        </w:rPr>
        <w:t>28</w:t>
      </w:r>
      <w:r>
        <w:rPr>
          <w:rFonts w:hint="eastAsia" w:ascii="仿宋_GB2312" w:hAnsi="仿宋_GB2312" w:eastAsia="仿宋_GB2312"/>
          <w:color w:val="auto"/>
          <w:sz w:val="32"/>
          <w:szCs w:val="32"/>
          <w:highlight w:val="none"/>
        </w:rPr>
        <w:t>人。</w:t>
      </w:r>
    </w:p>
    <w:p>
      <w:pPr>
        <w:spacing w:line="600" w:lineRule="exact"/>
        <w:rPr>
          <w:rFonts w:hint="eastAsia" w:ascii="仿宋_GB2312" w:hAnsi="仿宋_GB2312" w:eastAsia="仿宋_GB2312"/>
          <w:color w:val="auto"/>
          <w:sz w:val="30"/>
          <w:szCs w:val="30"/>
          <w:highlight w:val="none"/>
          <w:lang w:eastAsia="zh-CN"/>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rPr>
          <w:rFonts w:hint="eastAsia" w:ascii="仿宋_GB2312" w:hAnsi="仿宋_GB2312" w:eastAsia="仿宋_GB2312"/>
          <w:color w:val="auto"/>
          <w:sz w:val="30"/>
          <w:szCs w:val="30"/>
          <w:highlight w:val="none"/>
        </w:rPr>
      </w:pPr>
    </w:p>
    <w:p>
      <w:pPr>
        <w:spacing w:line="600" w:lineRule="exact"/>
        <w:jc w:val="both"/>
        <w:rPr>
          <w:rFonts w:hint="eastAsia" w:ascii="方正小标宋简体" w:hAnsi="方正小标宋简体" w:eastAsia="方正小标宋简体" w:cs="方正小标宋简体"/>
          <w:bCs/>
          <w:color w:val="auto"/>
          <w:sz w:val="44"/>
          <w:szCs w:val="44"/>
          <w:highlight w:val="none"/>
        </w:rPr>
      </w:pPr>
    </w:p>
    <w:p>
      <w:pPr>
        <w:spacing w:line="600" w:lineRule="exact"/>
        <w:jc w:val="center"/>
        <w:rPr>
          <w:rFonts w:hint="eastAsia"/>
          <w:color w:val="auto"/>
          <w:szCs w:val="30"/>
          <w:highlight w:val="none"/>
        </w:rPr>
      </w:pPr>
      <w:r>
        <w:rPr>
          <w:rFonts w:hint="eastAsia" w:ascii="方正小标宋简体" w:hAnsi="方正小标宋简体" w:eastAsia="方正小标宋简体" w:cs="方正小标宋简体"/>
          <w:bCs/>
          <w:color w:val="auto"/>
          <w:sz w:val="44"/>
          <w:szCs w:val="44"/>
          <w:highlight w:val="none"/>
        </w:rPr>
        <w:t>第二部分2022年度部门决算表</w:t>
      </w: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880100" cy="6348095"/>
            <wp:effectExtent l="0" t="0" r="635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880100" cy="6348095"/>
                    </a:xfrm>
                    <a:prstGeom prst="rect">
                      <a:avLst/>
                    </a:prstGeom>
                    <a:noFill/>
                    <a:ln>
                      <a:noFill/>
                    </a:ln>
                  </pic:spPr>
                </pic:pic>
              </a:graphicData>
            </a:graphic>
          </wp:inline>
        </w:drawing>
      </w:r>
    </w:p>
    <w:p>
      <w:pPr>
        <w:autoSpaceDE w:val="0"/>
        <w:autoSpaceDN w:val="0"/>
        <w:adjustRightInd w:val="0"/>
        <w:spacing w:line="360" w:lineRule="auto"/>
        <w:jc w:val="left"/>
        <w:rPr>
          <w:rFonts w:hint="eastAsia"/>
          <w:color w:val="auto"/>
          <w:highlight w:val="none"/>
        </w:rPr>
      </w:pPr>
    </w:p>
    <w:p>
      <w:pPr>
        <w:autoSpaceDE w:val="0"/>
        <w:autoSpaceDN w:val="0"/>
        <w:adjustRightInd w:val="0"/>
        <w:spacing w:line="360" w:lineRule="auto"/>
        <w:jc w:val="both"/>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904230" cy="8636000"/>
            <wp:effectExtent l="0" t="0" r="1270" b="1270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11"/>
                    <a:stretch>
                      <a:fillRect/>
                    </a:stretch>
                  </pic:blipFill>
                  <pic:spPr>
                    <a:xfrm>
                      <a:off x="0" y="0"/>
                      <a:ext cx="5904230" cy="8636000"/>
                    </a:xfrm>
                    <a:prstGeom prst="rect">
                      <a:avLst/>
                    </a:prstGeom>
                    <a:noFill/>
                    <a:ln>
                      <a:noFill/>
                    </a:ln>
                  </pic:spPr>
                </pic:pic>
              </a:graphicData>
            </a:graphic>
          </wp:inline>
        </w:drawing>
      </w:r>
    </w:p>
    <w:p>
      <w:pPr>
        <w:autoSpaceDE w:val="0"/>
        <w:autoSpaceDN w:val="0"/>
        <w:adjustRightInd w:val="0"/>
        <w:spacing w:line="360" w:lineRule="auto"/>
        <w:jc w:val="left"/>
        <w:rPr>
          <w:color w:val="auto"/>
          <w:highlight w:val="none"/>
        </w:rPr>
      </w:pPr>
      <w:r>
        <w:rPr>
          <w:color w:val="auto"/>
          <w:highlight w:val="none"/>
        </w:rPr>
        <w:drawing>
          <wp:inline distT="0" distB="0" distL="114300" distR="114300">
            <wp:extent cx="5904230" cy="7446645"/>
            <wp:effectExtent l="0" t="0" r="1270" b="1905"/>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12"/>
                    <a:stretch>
                      <a:fillRect/>
                    </a:stretch>
                  </pic:blipFill>
                  <pic:spPr>
                    <a:xfrm>
                      <a:off x="0" y="0"/>
                      <a:ext cx="5904230" cy="7446645"/>
                    </a:xfrm>
                    <a:prstGeom prst="rect">
                      <a:avLst/>
                    </a:prstGeom>
                    <a:noFill/>
                    <a:ln>
                      <a:noFill/>
                    </a:ln>
                  </pic:spPr>
                </pic:pic>
              </a:graphicData>
            </a:graphic>
          </wp:inline>
        </w:drawing>
      </w: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r>
        <w:rPr>
          <w:color w:val="auto"/>
          <w:highlight w:val="none"/>
        </w:rPr>
        <w:drawing>
          <wp:inline distT="0" distB="0" distL="114300" distR="114300">
            <wp:extent cx="6405880" cy="8366125"/>
            <wp:effectExtent l="0" t="0" r="13970" b="15875"/>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13"/>
                    <a:stretch>
                      <a:fillRect/>
                    </a:stretch>
                  </pic:blipFill>
                  <pic:spPr>
                    <a:xfrm>
                      <a:off x="0" y="0"/>
                      <a:ext cx="6405880" cy="8366125"/>
                    </a:xfrm>
                    <a:prstGeom prst="rect">
                      <a:avLst/>
                    </a:prstGeom>
                    <a:noFill/>
                    <a:ln>
                      <a:noFill/>
                    </a:ln>
                  </pic:spPr>
                </pic:pic>
              </a:graphicData>
            </a:graphic>
          </wp:inline>
        </w:drawing>
      </w:r>
    </w:p>
    <w:p>
      <w:pPr>
        <w:autoSpaceDE w:val="0"/>
        <w:autoSpaceDN w:val="0"/>
        <w:adjustRightInd w:val="0"/>
        <w:spacing w:line="360" w:lineRule="auto"/>
        <w:jc w:val="left"/>
        <w:rPr>
          <w:color w:val="auto"/>
          <w:highlight w:val="none"/>
        </w:rPr>
      </w:pPr>
      <w:r>
        <w:rPr>
          <w:color w:val="auto"/>
          <w:highlight w:val="none"/>
        </w:rPr>
        <w:drawing>
          <wp:inline distT="0" distB="0" distL="114300" distR="114300">
            <wp:extent cx="5898515" cy="5613400"/>
            <wp:effectExtent l="0" t="0" r="6985" b="6350"/>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14"/>
                    <a:stretch>
                      <a:fillRect/>
                    </a:stretch>
                  </pic:blipFill>
                  <pic:spPr>
                    <a:xfrm>
                      <a:off x="0" y="0"/>
                      <a:ext cx="5898515" cy="5613400"/>
                    </a:xfrm>
                    <a:prstGeom prst="rect">
                      <a:avLst/>
                    </a:prstGeom>
                    <a:noFill/>
                    <a:ln>
                      <a:noFill/>
                    </a:ln>
                  </pic:spPr>
                </pic:pic>
              </a:graphicData>
            </a:graphic>
          </wp:inline>
        </w:drawing>
      </w: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r>
        <w:rPr>
          <w:color w:val="auto"/>
          <w:highlight w:val="none"/>
        </w:rPr>
        <w:drawing>
          <wp:inline distT="0" distB="0" distL="114300" distR="114300">
            <wp:extent cx="5898515" cy="7177405"/>
            <wp:effectExtent l="0" t="0" r="6985" b="4445"/>
            <wp:docPr id="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
                    <pic:cNvPicPr>
                      <a:picLocks noChangeAspect="1"/>
                    </pic:cNvPicPr>
                  </pic:nvPicPr>
                  <pic:blipFill>
                    <a:blip r:embed="rId15"/>
                    <a:stretch>
                      <a:fillRect/>
                    </a:stretch>
                  </pic:blipFill>
                  <pic:spPr>
                    <a:xfrm>
                      <a:off x="0" y="0"/>
                      <a:ext cx="5898515" cy="7177405"/>
                    </a:xfrm>
                    <a:prstGeom prst="rect">
                      <a:avLst/>
                    </a:prstGeom>
                    <a:noFill/>
                    <a:ln>
                      <a:noFill/>
                    </a:ln>
                  </pic:spPr>
                </pic:pic>
              </a:graphicData>
            </a:graphic>
          </wp:inline>
        </w:drawing>
      </w: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left"/>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286375" cy="8315325"/>
            <wp:effectExtent l="0" t="0" r="9525" b="9525"/>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pic:cNvPicPr>
                      <a:picLocks noChangeAspect="1"/>
                    </pic:cNvPicPr>
                  </pic:nvPicPr>
                  <pic:blipFill>
                    <a:blip r:embed="rId16"/>
                    <a:stretch>
                      <a:fillRect/>
                    </a:stretch>
                  </pic:blipFill>
                  <pic:spPr>
                    <a:xfrm>
                      <a:off x="0" y="0"/>
                      <a:ext cx="5286375" cy="8315325"/>
                    </a:xfrm>
                    <a:prstGeom prst="rect">
                      <a:avLst/>
                    </a:prstGeom>
                    <a:noFill/>
                    <a:ln>
                      <a:noFill/>
                    </a:ln>
                  </pic:spPr>
                </pic:pic>
              </a:graphicData>
            </a:graphic>
          </wp:inline>
        </w:drawing>
      </w: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286375" cy="8067675"/>
            <wp:effectExtent l="0" t="0" r="9525" b="9525"/>
            <wp:docPr id="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4"/>
                    <pic:cNvPicPr>
                      <a:picLocks noChangeAspect="1"/>
                    </pic:cNvPicPr>
                  </pic:nvPicPr>
                  <pic:blipFill>
                    <a:blip r:embed="rId17"/>
                    <a:stretch>
                      <a:fillRect/>
                    </a:stretch>
                  </pic:blipFill>
                  <pic:spPr>
                    <a:xfrm>
                      <a:off x="0" y="0"/>
                      <a:ext cx="5286375" cy="8067675"/>
                    </a:xfrm>
                    <a:prstGeom prst="rect">
                      <a:avLst/>
                    </a:prstGeom>
                    <a:noFill/>
                    <a:ln>
                      <a:noFill/>
                    </a:ln>
                  </pic:spPr>
                </pic:pic>
              </a:graphicData>
            </a:graphic>
          </wp:inline>
        </w:drawing>
      </w: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903595" cy="8164830"/>
            <wp:effectExtent l="0" t="0" r="1905" b="7620"/>
            <wp:docPr id="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pic:cNvPicPr>
                      <a:picLocks noChangeAspect="1"/>
                    </pic:cNvPicPr>
                  </pic:nvPicPr>
                  <pic:blipFill>
                    <a:blip r:embed="rId18"/>
                    <a:stretch>
                      <a:fillRect/>
                    </a:stretch>
                  </pic:blipFill>
                  <pic:spPr>
                    <a:xfrm>
                      <a:off x="0" y="0"/>
                      <a:ext cx="5903595" cy="8164830"/>
                    </a:xfrm>
                    <a:prstGeom prst="rect">
                      <a:avLst/>
                    </a:prstGeom>
                    <a:noFill/>
                    <a:ln>
                      <a:noFill/>
                    </a:ln>
                  </pic:spPr>
                </pic:pic>
              </a:graphicData>
            </a:graphic>
          </wp:inline>
        </w:drawing>
      </w: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899150" cy="3846830"/>
            <wp:effectExtent l="0" t="0" r="6350" b="1270"/>
            <wp:docPr id="1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6"/>
                    <pic:cNvPicPr>
                      <a:picLocks noChangeAspect="1"/>
                    </pic:cNvPicPr>
                  </pic:nvPicPr>
                  <pic:blipFill>
                    <a:blip r:embed="rId19"/>
                    <a:stretch>
                      <a:fillRect/>
                    </a:stretch>
                  </pic:blipFill>
                  <pic:spPr>
                    <a:xfrm>
                      <a:off x="0" y="0"/>
                      <a:ext cx="5899150" cy="3846830"/>
                    </a:xfrm>
                    <a:prstGeom prst="rect">
                      <a:avLst/>
                    </a:prstGeom>
                    <a:noFill/>
                    <a:ln>
                      <a:noFill/>
                    </a:ln>
                  </pic:spPr>
                </pic:pic>
              </a:graphicData>
            </a:graphic>
          </wp:inline>
        </w:drawing>
      </w: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638800" cy="4264025"/>
            <wp:effectExtent l="0" t="0" r="0" b="3175"/>
            <wp:docPr id="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7"/>
                    <pic:cNvPicPr>
                      <a:picLocks noChangeAspect="1"/>
                    </pic:cNvPicPr>
                  </pic:nvPicPr>
                  <pic:blipFill>
                    <a:blip r:embed="rId20"/>
                    <a:stretch>
                      <a:fillRect/>
                    </a:stretch>
                  </pic:blipFill>
                  <pic:spPr>
                    <a:xfrm>
                      <a:off x="0" y="0"/>
                      <a:ext cx="5638800" cy="4264025"/>
                    </a:xfrm>
                    <a:prstGeom prst="rect">
                      <a:avLst/>
                    </a:prstGeom>
                    <a:noFill/>
                    <a:ln>
                      <a:noFill/>
                    </a:ln>
                  </pic:spPr>
                </pic:pic>
              </a:graphicData>
            </a:graphic>
          </wp:inline>
        </w:drawing>
      </w: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5676900" cy="6619875"/>
            <wp:effectExtent l="0" t="0" r="0" b="9525"/>
            <wp:docPr id="1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8"/>
                    <pic:cNvPicPr>
                      <a:picLocks noChangeAspect="1"/>
                    </pic:cNvPicPr>
                  </pic:nvPicPr>
                  <pic:blipFill>
                    <a:blip r:embed="rId21"/>
                    <a:stretch>
                      <a:fillRect/>
                    </a:stretch>
                  </pic:blipFill>
                  <pic:spPr>
                    <a:xfrm>
                      <a:off x="0" y="0"/>
                      <a:ext cx="5676900" cy="6619875"/>
                    </a:xfrm>
                    <a:prstGeom prst="rect">
                      <a:avLst/>
                    </a:prstGeom>
                    <a:noFill/>
                    <a:ln>
                      <a:noFill/>
                    </a:ln>
                  </pic:spPr>
                </pic:pic>
              </a:graphicData>
            </a:graphic>
          </wp:inline>
        </w:drawing>
      </w: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r>
        <w:rPr>
          <w:color w:val="auto"/>
          <w:highlight w:val="none"/>
        </w:rPr>
        <w:drawing>
          <wp:inline distT="0" distB="0" distL="114300" distR="114300">
            <wp:extent cx="4514850" cy="3676650"/>
            <wp:effectExtent l="0" t="0" r="0" b="0"/>
            <wp:docPr id="1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1"/>
                    <pic:cNvPicPr>
                      <a:picLocks noChangeAspect="1"/>
                    </pic:cNvPicPr>
                  </pic:nvPicPr>
                  <pic:blipFill>
                    <a:blip r:embed="rId22"/>
                    <a:stretch>
                      <a:fillRect/>
                    </a:stretch>
                  </pic:blipFill>
                  <pic:spPr>
                    <a:xfrm>
                      <a:off x="0" y="0"/>
                      <a:ext cx="4514850" cy="3676650"/>
                    </a:xfrm>
                    <a:prstGeom prst="rect">
                      <a:avLst/>
                    </a:prstGeom>
                    <a:noFill/>
                    <a:ln>
                      <a:noFill/>
                    </a:ln>
                  </pic:spPr>
                </pic:pic>
              </a:graphicData>
            </a:graphic>
          </wp:inline>
        </w:drawing>
      </w:r>
    </w:p>
    <w:p>
      <w:pPr>
        <w:autoSpaceDE w:val="0"/>
        <w:autoSpaceDN w:val="0"/>
        <w:adjustRightInd w:val="0"/>
        <w:spacing w:line="360" w:lineRule="auto"/>
        <w:jc w:val="both"/>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center"/>
        <w:rPr>
          <w:color w:val="auto"/>
          <w:highlight w:val="none"/>
        </w:rPr>
      </w:pPr>
    </w:p>
    <w:p>
      <w:pPr>
        <w:autoSpaceDE w:val="0"/>
        <w:autoSpaceDN w:val="0"/>
        <w:adjustRightInd w:val="0"/>
        <w:spacing w:line="360" w:lineRule="auto"/>
        <w:jc w:val="left"/>
        <w:rPr>
          <w:rFonts w:hint="eastAsia" w:ascii="宋体" w:hAnsi="宋体" w:cs="宋体"/>
          <w:b/>
          <w:color w:val="auto"/>
          <w:sz w:val="44"/>
          <w:szCs w:val="44"/>
          <w:highlight w:val="none"/>
        </w:rPr>
      </w:pPr>
    </w:p>
    <w:p>
      <w:pPr>
        <w:widowControl/>
        <w:spacing w:line="600" w:lineRule="exact"/>
        <w:jc w:val="center"/>
        <w:rPr>
          <w:rFonts w:hint="eastAsia"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第三部分2022年度部门决算情况说明</w:t>
      </w:r>
    </w:p>
    <w:p>
      <w:pPr>
        <w:spacing w:line="600" w:lineRule="exact"/>
        <w:ind w:firstLine="630"/>
        <w:rPr>
          <w:rFonts w:hint="eastAsia" w:ascii="仿宋_GB2312" w:hAnsi="仿宋_GB2312" w:eastAsia="仿宋_GB2312"/>
          <w:color w:val="auto"/>
          <w:sz w:val="30"/>
          <w:szCs w:val="30"/>
          <w:highlight w:val="none"/>
        </w:rPr>
      </w:pP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一、收入决算情况说明</w:t>
      </w:r>
    </w:p>
    <w:p>
      <w:pPr>
        <w:keepNext w:val="0"/>
        <w:keepLines w:val="0"/>
        <w:pageBreakBefore w:val="0"/>
        <w:kinsoku/>
        <w:wordWrap/>
        <w:overflowPunct/>
        <w:topLinePunct w:val="0"/>
        <w:bidi w:val="0"/>
        <w:snapToGrid/>
        <w:spacing w:line="560" w:lineRule="exact"/>
        <w:ind w:left="0" w:leftChars="0" w:firstLine="63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本部门2022年度收入总计8153.34万元，其中年初结转和结余0万元，较2021年增加3840.72万元，增长89.</w:t>
      </w:r>
      <w:r>
        <w:rPr>
          <w:rFonts w:hint="eastAsia" w:ascii="仿宋_GB2312" w:hAnsi="仿宋_GB2312" w:eastAsia="仿宋_GB2312"/>
          <w:color w:val="auto"/>
          <w:sz w:val="32"/>
          <w:szCs w:val="32"/>
          <w:highlight w:val="none"/>
          <w:lang w:val="en-US" w:eastAsia="zh-CN"/>
        </w:rPr>
        <w:t>1</w:t>
      </w:r>
      <w:r>
        <w:rPr>
          <w:rFonts w:hint="eastAsia" w:ascii="仿宋_GB2312" w:hAnsi="仿宋_GB2312" w:eastAsia="仿宋_GB2312"/>
          <w:color w:val="auto"/>
          <w:sz w:val="32"/>
          <w:szCs w:val="32"/>
          <w:highlight w:val="none"/>
        </w:rPr>
        <w:t>%；本年收入合计8153.34万元，较2021年增加3840.72万元，增长89.</w:t>
      </w:r>
      <w:r>
        <w:rPr>
          <w:rFonts w:hint="eastAsia" w:ascii="仿宋_GB2312" w:hAnsi="仿宋_GB2312" w:eastAsia="仿宋_GB2312"/>
          <w:color w:val="auto"/>
          <w:sz w:val="32"/>
          <w:szCs w:val="32"/>
          <w:highlight w:val="none"/>
          <w:lang w:val="en-US" w:eastAsia="zh-CN"/>
        </w:rPr>
        <w:t>1</w:t>
      </w:r>
      <w:r>
        <w:rPr>
          <w:rFonts w:hint="eastAsia" w:ascii="仿宋_GB2312" w:hAnsi="仿宋_GB2312" w:eastAsia="仿宋_GB2312"/>
          <w:color w:val="auto"/>
          <w:sz w:val="32"/>
          <w:szCs w:val="32"/>
          <w:highlight w:val="none"/>
        </w:rPr>
        <w:t>%，主要原因是：一般公共预算财政拨款收入增加和政府性基金拨款增加。</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本年收入的具体构成为：财政拨款收入8153.34万元，占100%；事业收入</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万元，占</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%；经营收入</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万元，占</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%；其他收入</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万元，占</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二、支出决算情况说明</w:t>
      </w:r>
    </w:p>
    <w:p>
      <w:pPr>
        <w:keepNext w:val="0"/>
        <w:keepLines w:val="0"/>
        <w:pageBreakBefore w:val="0"/>
        <w:kinsoku/>
        <w:wordWrap/>
        <w:overflowPunct/>
        <w:topLinePunct w:val="0"/>
        <w:bidi w:val="0"/>
        <w:snapToGrid/>
        <w:spacing w:line="560" w:lineRule="exact"/>
        <w:ind w:left="0" w:leftChars="0" w:firstLine="63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本部门2022年度支出总计8153.34万元，其中本年支出合计8153.34万元，较2021年增加3840.72万元，增长89.</w:t>
      </w:r>
      <w:r>
        <w:rPr>
          <w:rFonts w:hint="eastAsia" w:ascii="仿宋_GB2312" w:hAnsi="仿宋_GB2312" w:eastAsia="仿宋_GB2312"/>
          <w:color w:val="auto"/>
          <w:sz w:val="32"/>
          <w:szCs w:val="32"/>
          <w:highlight w:val="none"/>
          <w:lang w:val="en-US" w:eastAsia="zh-CN"/>
        </w:rPr>
        <w:t>1</w:t>
      </w:r>
      <w:r>
        <w:rPr>
          <w:rFonts w:hint="eastAsia" w:ascii="仿宋_GB2312" w:hAnsi="仿宋_GB2312" w:eastAsia="仿宋_GB2312"/>
          <w:color w:val="auto"/>
          <w:sz w:val="32"/>
          <w:szCs w:val="32"/>
          <w:highlight w:val="none"/>
        </w:rPr>
        <w:t>%，主要原因是：财政体制改革。城乡社区支出1820.09万元较2021年增加532.4万元增长29.</w:t>
      </w:r>
      <w:r>
        <w:rPr>
          <w:rFonts w:hint="eastAsia" w:ascii="仿宋_GB2312" w:hAnsi="仿宋_GB2312" w:eastAsia="仿宋_GB2312"/>
          <w:color w:val="auto"/>
          <w:sz w:val="32"/>
          <w:szCs w:val="32"/>
          <w:highlight w:val="none"/>
          <w:lang w:val="en-US" w:eastAsia="zh-CN"/>
        </w:rPr>
        <w:t>3</w:t>
      </w:r>
      <w:r>
        <w:rPr>
          <w:rFonts w:hint="eastAsia" w:ascii="仿宋_GB2312" w:hAnsi="仿宋_GB2312" w:eastAsia="仿宋_GB2312"/>
          <w:color w:val="auto"/>
          <w:sz w:val="32"/>
          <w:szCs w:val="32"/>
          <w:highlight w:val="none"/>
        </w:rPr>
        <w:t>%主要原因是：城乡建设项目增加、农林水支出2334.59万元</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rPr>
        <w:t>较2021年增加1021.18万元</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rPr>
        <w:t>增长43.74%</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rPr>
        <w:t>主要原因是：财政体制改革。其它支出2395.6万元</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rPr>
        <w:t>较2021年增加2395.6万元增长100%</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rPr>
        <w:t>主要原因是财政体制改革。增加；年末结转和结余0万元，较2021年增加</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万元，增长</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%，主要原因是：财政体制改革收入数为实际支出数。</w:t>
      </w:r>
    </w:p>
    <w:p>
      <w:pPr>
        <w:keepNext w:val="0"/>
        <w:keepLines w:val="0"/>
        <w:pageBreakBefore w:val="0"/>
        <w:kinsoku/>
        <w:wordWrap/>
        <w:overflowPunct/>
        <w:topLinePunct w:val="0"/>
        <w:bidi w:val="0"/>
        <w:snapToGrid/>
        <w:spacing w:line="560" w:lineRule="exact"/>
        <w:ind w:left="0" w:leftChars="0" w:firstLine="63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本年支出的具体构成为：基本支出3654.79万元，占44.8%；项目支出</w:t>
      </w:r>
      <w:r>
        <w:rPr>
          <w:rFonts w:hint="eastAsia" w:ascii="仿宋_GB2312" w:hAnsi="仿宋_GB2312" w:eastAsia="仿宋_GB2312"/>
          <w:color w:val="auto"/>
          <w:sz w:val="32"/>
          <w:szCs w:val="32"/>
          <w:highlight w:val="none"/>
          <w:lang w:val="en-US" w:eastAsia="zh-CN"/>
        </w:rPr>
        <w:t>4498.55</w:t>
      </w:r>
      <w:r>
        <w:rPr>
          <w:rFonts w:hint="eastAsia" w:ascii="仿宋_GB2312" w:hAnsi="仿宋_GB2312" w:eastAsia="仿宋_GB2312"/>
          <w:color w:val="auto"/>
          <w:sz w:val="32"/>
          <w:szCs w:val="32"/>
          <w:highlight w:val="none"/>
        </w:rPr>
        <w:t>万元，占</w:t>
      </w:r>
      <w:r>
        <w:rPr>
          <w:rFonts w:hint="eastAsia" w:ascii="仿宋_GB2312" w:hAnsi="仿宋_GB2312" w:eastAsia="仿宋_GB2312"/>
          <w:color w:val="auto"/>
          <w:sz w:val="32"/>
          <w:szCs w:val="32"/>
          <w:highlight w:val="none"/>
          <w:lang w:val="en-US" w:eastAsia="zh-CN"/>
        </w:rPr>
        <w:t>55.2</w:t>
      </w:r>
      <w:r>
        <w:rPr>
          <w:rFonts w:hint="eastAsia" w:ascii="仿宋_GB2312" w:hAnsi="仿宋_GB2312" w:eastAsia="仿宋_GB2312"/>
          <w:color w:val="auto"/>
          <w:sz w:val="32"/>
          <w:szCs w:val="32"/>
          <w:highlight w:val="none"/>
        </w:rPr>
        <w:t>%；经营支出0万元，占</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%；其他支出（对附属单位补助支出、上缴上级支出）</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万元，占</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三、财政拨款支出决算情况说明</w:t>
      </w:r>
    </w:p>
    <w:p>
      <w:pPr>
        <w:keepNext w:val="0"/>
        <w:keepLines w:val="0"/>
        <w:pageBreakBefore w:val="0"/>
        <w:kinsoku/>
        <w:wordWrap/>
        <w:overflowPunct/>
        <w:topLinePunct w:val="0"/>
        <w:bidi w:val="0"/>
        <w:snapToGrid/>
        <w:spacing w:line="560" w:lineRule="exact"/>
        <w:ind w:left="0" w:leftChars="0" w:firstLine="63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w:t>
      </w:r>
      <w:r>
        <w:rPr>
          <w:rFonts w:hint="eastAsia" w:ascii="仿宋_GB2312" w:hAnsi="仿宋_GB2312" w:eastAsia="仿宋_GB2312"/>
          <w:color w:val="auto"/>
          <w:sz w:val="32"/>
          <w:szCs w:val="32"/>
          <w:highlight w:val="none"/>
          <w:lang w:val="en-US" w:eastAsia="zh-CN"/>
        </w:rPr>
        <w:t>2</w:t>
      </w:r>
      <w:r>
        <w:rPr>
          <w:rFonts w:hint="eastAsia" w:ascii="仿宋_GB2312" w:hAnsi="仿宋_GB2312" w:eastAsia="仿宋_GB2312"/>
          <w:color w:val="auto"/>
          <w:sz w:val="32"/>
          <w:szCs w:val="32"/>
          <w:highlight w:val="none"/>
        </w:rPr>
        <w:t>022年度财政拨款本年支出年初预算数为19476.59万元，决算数为8153.34万元，完成年初预算的41.86%。其中：</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（一）</w:t>
      </w:r>
      <w:r>
        <w:rPr>
          <w:rFonts w:hint="eastAsia" w:ascii="仿宋_GB2312" w:hAnsi="仿宋_GB2312" w:eastAsia="仿宋_GB2312" w:cs="仿宋_GB2312"/>
          <w:color w:val="auto"/>
          <w:kern w:val="0"/>
          <w:sz w:val="32"/>
          <w:szCs w:val="32"/>
          <w:highlight w:val="none"/>
        </w:rPr>
        <w:t>一般公共服务</w:t>
      </w:r>
      <w:r>
        <w:rPr>
          <w:rFonts w:hint="eastAsia" w:ascii="仿宋_GB2312" w:hAnsi="仿宋_GB2312" w:eastAsia="仿宋_GB2312"/>
          <w:color w:val="auto"/>
          <w:sz w:val="32"/>
          <w:szCs w:val="32"/>
          <w:highlight w:val="none"/>
        </w:rPr>
        <w:t>支出年初预算数为</w:t>
      </w:r>
      <w:r>
        <w:rPr>
          <w:rFonts w:hint="eastAsia" w:ascii="仿宋_GB2312" w:hAnsi="仿宋_GB2312" w:eastAsia="仿宋_GB2312"/>
          <w:color w:val="auto"/>
          <w:sz w:val="32"/>
          <w:szCs w:val="32"/>
          <w:highlight w:val="none"/>
          <w:lang w:val="en-US" w:eastAsia="zh-CN"/>
        </w:rPr>
        <w:t>998.69</w:t>
      </w:r>
      <w:r>
        <w:rPr>
          <w:rFonts w:hint="eastAsia" w:ascii="仿宋_GB2312" w:hAnsi="仿宋_GB2312" w:eastAsia="仿宋_GB2312"/>
          <w:color w:val="auto"/>
          <w:sz w:val="32"/>
          <w:szCs w:val="32"/>
          <w:highlight w:val="none"/>
        </w:rPr>
        <w:t>万元，决算数为998.69万元，完成年初预算的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%，主要原因是：</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s="仿宋_GB2312"/>
          <w:color w:val="auto"/>
          <w:kern w:val="0"/>
          <w:sz w:val="32"/>
          <w:szCs w:val="32"/>
          <w:highlight w:val="none"/>
        </w:rPr>
        <w:t>（二）国防</w:t>
      </w:r>
      <w:r>
        <w:rPr>
          <w:rFonts w:hint="eastAsia" w:ascii="仿宋_GB2312" w:hAnsi="仿宋_GB2312" w:eastAsia="仿宋_GB2312"/>
          <w:color w:val="auto"/>
          <w:sz w:val="32"/>
          <w:szCs w:val="32"/>
          <w:highlight w:val="none"/>
        </w:rPr>
        <w:t>支出年初预算数为4万元，决算数为4万元，完成年初预算的100%，主要原因是完成征兵等国防工作。</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（三）</w:t>
      </w:r>
      <w:r>
        <w:rPr>
          <w:rFonts w:hint="eastAsia" w:ascii="仿宋_GB2312" w:hAnsi="仿宋_GB2312" w:eastAsia="仿宋_GB2312" w:cs="仿宋_GB2312"/>
          <w:color w:val="auto"/>
          <w:kern w:val="0"/>
          <w:sz w:val="32"/>
          <w:szCs w:val="32"/>
          <w:highlight w:val="none"/>
        </w:rPr>
        <w:t>社会保障和就业</w:t>
      </w:r>
      <w:r>
        <w:rPr>
          <w:rFonts w:hint="eastAsia" w:ascii="仿宋_GB2312" w:hAnsi="仿宋_GB2312" w:eastAsia="仿宋_GB2312"/>
          <w:color w:val="auto"/>
          <w:sz w:val="32"/>
          <w:szCs w:val="32"/>
          <w:highlight w:val="none"/>
        </w:rPr>
        <w:t>支出年初预算数为</w:t>
      </w:r>
      <w:r>
        <w:rPr>
          <w:rFonts w:hint="eastAsia" w:ascii="仿宋_GB2312" w:hAnsi="仿宋_GB2312" w:eastAsia="仿宋_GB2312"/>
          <w:color w:val="auto"/>
          <w:sz w:val="32"/>
          <w:szCs w:val="32"/>
          <w:highlight w:val="none"/>
          <w:lang w:val="en-US" w:eastAsia="zh-CN"/>
        </w:rPr>
        <w:t>370.11</w:t>
      </w:r>
      <w:r>
        <w:rPr>
          <w:rFonts w:hint="eastAsia" w:ascii="仿宋_GB2312" w:hAnsi="仿宋_GB2312" w:eastAsia="仿宋_GB2312"/>
          <w:color w:val="auto"/>
          <w:sz w:val="32"/>
          <w:szCs w:val="32"/>
          <w:highlight w:val="none"/>
        </w:rPr>
        <w:t>万元，决算数为370.11万元，完成年初预算的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%，主要原因是</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（四）卫生健康支出年初预算数为</w:t>
      </w:r>
      <w:r>
        <w:rPr>
          <w:rFonts w:hint="eastAsia" w:ascii="仿宋_GB2312" w:hAnsi="仿宋_GB2312" w:eastAsia="仿宋_GB2312"/>
          <w:color w:val="auto"/>
          <w:sz w:val="32"/>
          <w:szCs w:val="32"/>
          <w:highlight w:val="none"/>
          <w:lang w:val="en-US" w:eastAsia="zh-CN"/>
        </w:rPr>
        <w:t>56.47</w:t>
      </w:r>
      <w:r>
        <w:rPr>
          <w:rFonts w:hint="eastAsia" w:ascii="仿宋_GB2312" w:hAnsi="仿宋_GB2312" w:eastAsia="仿宋_GB2312"/>
          <w:color w:val="auto"/>
          <w:sz w:val="32"/>
          <w:szCs w:val="32"/>
          <w:highlight w:val="none"/>
        </w:rPr>
        <w:t>万元，决算数为56.47万元，完成年初预算的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%，主要原因是</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（五）节能环保支出年初预算数为</w:t>
      </w:r>
      <w:r>
        <w:rPr>
          <w:rFonts w:hint="eastAsia" w:ascii="仿宋_GB2312" w:hAnsi="仿宋_GB2312" w:eastAsia="仿宋_GB2312"/>
          <w:color w:val="auto"/>
          <w:sz w:val="32"/>
          <w:szCs w:val="32"/>
          <w:highlight w:val="none"/>
          <w:lang w:val="en-US" w:eastAsia="zh-CN"/>
        </w:rPr>
        <w:t>31.85</w:t>
      </w:r>
      <w:r>
        <w:rPr>
          <w:rFonts w:hint="eastAsia" w:ascii="仿宋_GB2312" w:hAnsi="仿宋_GB2312" w:eastAsia="仿宋_GB2312"/>
          <w:color w:val="auto"/>
          <w:sz w:val="32"/>
          <w:szCs w:val="32"/>
          <w:highlight w:val="none"/>
        </w:rPr>
        <w:t>万元，决算数为31.85万元，完成年初预算的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%，主要原因是</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319" w:leftChars="152" w:firstLine="320" w:firstLineChars="1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（六）城乡社区支出年初预算数为</w:t>
      </w:r>
      <w:r>
        <w:rPr>
          <w:rFonts w:hint="eastAsia" w:ascii="仿宋_GB2312" w:hAnsi="仿宋_GB2312" w:eastAsia="仿宋_GB2312"/>
          <w:color w:val="auto"/>
          <w:sz w:val="32"/>
          <w:szCs w:val="32"/>
          <w:highlight w:val="none"/>
          <w:lang w:val="en-US" w:eastAsia="zh-CN"/>
        </w:rPr>
        <w:t>1820.09</w:t>
      </w:r>
      <w:r>
        <w:rPr>
          <w:rFonts w:hint="eastAsia" w:ascii="仿宋_GB2312" w:hAnsi="仿宋_GB2312" w:eastAsia="仿宋_GB2312"/>
          <w:color w:val="auto"/>
          <w:sz w:val="32"/>
          <w:szCs w:val="32"/>
          <w:highlight w:val="none"/>
        </w:rPr>
        <w:t>万元，决算数为</w:t>
      </w:r>
      <w:r>
        <w:rPr>
          <w:rFonts w:hint="eastAsia" w:ascii="仿宋_GB2312" w:hAnsi="仿宋_GB2312" w:eastAsia="仿宋_GB2312"/>
          <w:color w:val="auto"/>
          <w:sz w:val="32"/>
          <w:szCs w:val="32"/>
          <w:highlight w:val="none"/>
          <w:lang w:val="en-US" w:eastAsia="zh-CN"/>
        </w:rPr>
        <w:t>1820.09</w:t>
      </w:r>
      <w:r>
        <w:rPr>
          <w:rFonts w:hint="eastAsia" w:ascii="仿宋_GB2312" w:hAnsi="仿宋_GB2312" w:eastAsia="仿宋_GB2312"/>
          <w:color w:val="auto"/>
          <w:sz w:val="32"/>
          <w:szCs w:val="32"/>
          <w:highlight w:val="none"/>
        </w:rPr>
        <w:t>万元，完成年初预算的100%，主要原因是城乡社区建设项目增加。</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（七）农林水支出年初预算数为2334.59万元，决算数为2334.59万元，完成年初预算的100%，主要原因是</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（八）住房保障支出年初预算数为73.36万元，决算数为73.36万元，完成年初预算的100%，主要原因是</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（九）其它支出年初预算数为</w:t>
      </w:r>
      <w:r>
        <w:rPr>
          <w:rFonts w:hint="eastAsia" w:ascii="仿宋_GB2312" w:hAnsi="仿宋_GB2312" w:eastAsia="仿宋_GB2312"/>
          <w:color w:val="auto"/>
          <w:sz w:val="32"/>
          <w:szCs w:val="32"/>
          <w:highlight w:val="none"/>
          <w:lang w:val="en-US" w:eastAsia="zh-CN"/>
        </w:rPr>
        <w:t>2395.6</w:t>
      </w:r>
      <w:r>
        <w:rPr>
          <w:rFonts w:hint="eastAsia" w:ascii="仿宋_GB2312" w:hAnsi="仿宋_GB2312" w:eastAsia="仿宋_GB2312"/>
          <w:color w:val="auto"/>
          <w:sz w:val="32"/>
          <w:szCs w:val="32"/>
          <w:highlight w:val="none"/>
        </w:rPr>
        <w:t>万元，决算数为</w:t>
      </w:r>
      <w:r>
        <w:rPr>
          <w:rFonts w:hint="eastAsia" w:ascii="仿宋_GB2312" w:hAnsi="仿宋_GB2312" w:eastAsia="仿宋_GB2312"/>
          <w:color w:val="auto"/>
          <w:sz w:val="32"/>
          <w:szCs w:val="32"/>
          <w:highlight w:val="none"/>
          <w:lang w:val="en-US" w:eastAsia="zh-CN"/>
        </w:rPr>
        <w:t>2395.6</w:t>
      </w:r>
      <w:r>
        <w:rPr>
          <w:rFonts w:hint="eastAsia" w:ascii="仿宋_GB2312" w:hAnsi="仿宋_GB2312" w:eastAsia="仿宋_GB2312"/>
          <w:color w:val="auto"/>
          <w:sz w:val="32"/>
          <w:szCs w:val="32"/>
          <w:highlight w:val="none"/>
        </w:rPr>
        <w:t>万元，完成年初预算的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%，主要原因是</w:t>
      </w:r>
      <w:r>
        <w:rPr>
          <w:rFonts w:hint="eastAsia" w:ascii="仿宋_GB2312" w:hAnsi="仿宋_GB2312" w:eastAsia="仿宋_GB2312"/>
          <w:color w:val="auto"/>
          <w:sz w:val="32"/>
          <w:szCs w:val="32"/>
          <w:highlight w:val="none"/>
          <w:lang w:eastAsia="zh-CN"/>
        </w:rPr>
        <w:t>：</w:t>
      </w:r>
      <w:r>
        <w:rPr>
          <w:rFonts w:hint="eastAsia" w:ascii="仿宋_GB2312" w:hAnsi="仿宋_GB2312" w:eastAsia="仿宋_GB2312"/>
          <w:color w:val="auto"/>
          <w:sz w:val="32"/>
          <w:szCs w:val="32"/>
          <w:highlight w:val="none"/>
          <w:lang w:val="en-US" w:eastAsia="zh-CN"/>
        </w:rPr>
        <w:t>严格按照年初预算执行</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四、一般公共预算财政拨款基本支出决算情况说明</w:t>
      </w:r>
    </w:p>
    <w:p>
      <w:pPr>
        <w:keepNext w:val="0"/>
        <w:keepLines w:val="0"/>
        <w:pageBreakBefore w:val="0"/>
        <w:kinsoku/>
        <w:wordWrap/>
        <w:overflowPunct/>
        <w:topLinePunct w:val="0"/>
        <w:bidi w:val="0"/>
        <w:snapToGrid/>
        <w:spacing w:line="560" w:lineRule="exact"/>
        <w:ind w:left="0" w:leftChars="0" w:firstLine="585"/>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本部门2022年度一般公共预算财政拨款基本支出</w:t>
      </w:r>
      <w:r>
        <w:rPr>
          <w:rFonts w:hint="eastAsia" w:ascii="仿宋_GB2312" w:hAnsi="仿宋_GB2312" w:eastAsia="仿宋_GB2312"/>
          <w:color w:val="auto"/>
          <w:sz w:val="32"/>
          <w:szCs w:val="32"/>
          <w:highlight w:val="none"/>
          <w:lang w:val="en-US" w:eastAsia="zh-CN"/>
        </w:rPr>
        <w:t>6922.08</w:t>
      </w:r>
      <w:r>
        <w:rPr>
          <w:rFonts w:hint="eastAsia" w:ascii="仿宋_GB2312" w:hAnsi="仿宋_GB2312" w:eastAsia="仿宋_GB2312"/>
          <w:color w:val="auto"/>
          <w:sz w:val="32"/>
          <w:szCs w:val="32"/>
          <w:highlight w:val="none"/>
        </w:rPr>
        <w:t>万元，其中：</w:t>
      </w:r>
    </w:p>
    <w:p>
      <w:pPr>
        <w:keepNext w:val="0"/>
        <w:keepLines w:val="0"/>
        <w:pageBreakBefore w:val="0"/>
        <w:kinsoku/>
        <w:wordWrap/>
        <w:overflowPunct/>
        <w:topLinePunct w:val="0"/>
        <w:bidi w:val="0"/>
        <w:snapToGrid/>
        <w:spacing w:line="560" w:lineRule="exact"/>
        <w:ind w:left="0" w:leftChars="0" w:firstLine="585"/>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（一）工资福利支出1062.0</w:t>
      </w:r>
      <w:r>
        <w:rPr>
          <w:rFonts w:hint="eastAsia" w:ascii="仿宋_GB2312" w:hAnsi="仿宋_GB2312" w:eastAsia="仿宋_GB2312"/>
          <w:color w:val="auto"/>
          <w:sz w:val="32"/>
          <w:szCs w:val="32"/>
          <w:highlight w:val="none"/>
          <w:lang w:val="en-US" w:eastAsia="zh-CN"/>
        </w:rPr>
        <w:t>6</w:t>
      </w:r>
      <w:r>
        <w:rPr>
          <w:rFonts w:hint="eastAsia" w:ascii="仿宋_GB2312" w:hAnsi="仿宋_GB2312" w:eastAsia="仿宋_GB2312"/>
          <w:color w:val="auto"/>
          <w:sz w:val="32"/>
          <w:szCs w:val="32"/>
          <w:highlight w:val="none"/>
        </w:rPr>
        <w:t>万元，较2021年增加361.84万元，增长34.07%，主要原因是：财政体制改革、事业编制人员下放到乡镇。</w:t>
      </w:r>
    </w:p>
    <w:p>
      <w:pPr>
        <w:keepNext w:val="0"/>
        <w:keepLines w:val="0"/>
        <w:pageBreakBefore w:val="0"/>
        <w:kinsoku/>
        <w:wordWrap/>
        <w:overflowPunct/>
        <w:topLinePunct w:val="0"/>
        <w:bidi w:val="0"/>
        <w:snapToGrid/>
        <w:spacing w:line="560" w:lineRule="exact"/>
        <w:ind w:left="0" w:leftChars="0" w:firstLine="585"/>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（二）商品和服务支出1295.59万元，较2021年增加824.08万元，增长63.61%，主要原因是：财政体制改革。</w:t>
      </w:r>
    </w:p>
    <w:p>
      <w:pPr>
        <w:keepNext w:val="0"/>
        <w:keepLines w:val="0"/>
        <w:pageBreakBefore w:val="0"/>
        <w:kinsoku/>
        <w:wordWrap/>
        <w:overflowPunct/>
        <w:topLinePunct w:val="0"/>
        <w:bidi w:val="0"/>
        <w:snapToGrid/>
        <w:spacing w:line="560" w:lineRule="exact"/>
        <w:ind w:left="0" w:leftChars="0" w:firstLine="585"/>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（三）对个人和家庭补助支出1297.15万元，较2021年增加667.09万元，增长51.43%，主要原因是：财政体制改革。</w:t>
      </w:r>
    </w:p>
    <w:p>
      <w:pPr>
        <w:keepNext w:val="0"/>
        <w:keepLines w:val="0"/>
        <w:pageBreakBefore w:val="0"/>
        <w:kinsoku/>
        <w:wordWrap/>
        <w:overflowPunct/>
        <w:topLinePunct w:val="0"/>
        <w:bidi w:val="0"/>
        <w:snapToGrid/>
        <w:spacing w:line="560" w:lineRule="exact"/>
        <w:ind w:left="0" w:leftChars="0" w:firstLine="585"/>
        <w:textAlignment w:val="auto"/>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（四）资本性支出</w:t>
      </w:r>
      <w:r>
        <w:rPr>
          <w:rFonts w:hint="eastAsia" w:ascii="仿宋_GB2312" w:hAnsi="仿宋_GB2312" w:eastAsia="仿宋_GB2312"/>
          <w:color w:val="auto"/>
          <w:sz w:val="32"/>
          <w:szCs w:val="32"/>
          <w:highlight w:val="none"/>
          <w:lang w:val="en-US" w:eastAsia="zh-CN"/>
        </w:rPr>
        <w:t>3267.28</w:t>
      </w:r>
      <w:r>
        <w:rPr>
          <w:rFonts w:hint="eastAsia" w:ascii="仿宋_GB2312" w:hAnsi="仿宋_GB2312" w:eastAsia="仿宋_GB2312"/>
          <w:color w:val="auto"/>
          <w:sz w:val="32"/>
          <w:szCs w:val="32"/>
          <w:highlight w:val="none"/>
        </w:rPr>
        <w:t>万元，较2021年增加</w:t>
      </w:r>
      <w:r>
        <w:rPr>
          <w:rFonts w:hint="default" w:ascii="仿宋_GB2312" w:hAnsi="仿宋_GB2312" w:eastAsia="仿宋_GB2312"/>
          <w:color w:val="auto"/>
          <w:sz w:val="32"/>
          <w:szCs w:val="32"/>
          <w:highlight w:val="none"/>
          <w:lang w:val="en-US"/>
        </w:rPr>
        <w:t>2510.83</w:t>
      </w:r>
      <w:r>
        <w:rPr>
          <w:rFonts w:hint="eastAsia" w:ascii="仿宋_GB2312" w:hAnsi="仿宋_GB2312" w:eastAsia="仿宋_GB2312"/>
          <w:color w:val="auto"/>
          <w:sz w:val="32"/>
          <w:szCs w:val="32"/>
          <w:highlight w:val="none"/>
        </w:rPr>
        <w:t>万元，增长</w:t>
      </w:r>
      <w:r>
        <w:rPr>
          <w:rFonts w:hint="default" w:ascii="仿宋_GB2312" w:hAnsi="仿宋_GB2312" w:eastAsia="仿宋_GB2312"/>
          <w:color w:val="auto"/>
          <w:sz w:val="32"/>
          <w:szCs w:val="32"/>
          <w:highlight w:val="none"/>
          <w:lang w:val="en-US" w:eastAsia="zh-CN"/>
        </w:rPr>
        <w:t>23.2</w:t>
      </w:r>
      <w:r>
        <w:rPr>
          <w:rFonts w:hint="eastAsia" w:ascii="仿宋_GB2312" w:hAnsi="仿宋_GB2312" w:eastAsia="仿宋_GB2312"/>
          <w:color w:val="auto"/>
          <w:sz w:val="32"/>
          <w:szCs w:val="32"/>
          <w:highlight w:val="none"/>
        </w:rPr>
        <w:t>%，主要原因是：</w:t>
      </w:r>
      <w:r>
        <w:rPr>
          <w:rFonts w:hint="eastAsia" w:ascii="仿宋_GB2312" w:hAnsi="仿宋_GB2312" w:eastAsia="仿宋_GB2312"/>
          <w:color w:val="auto"/>
          <w:sz w:val="32"/>
          <w:szCs w:val="32"/>
          <w:highlight w:val="none"/>
          <w:lang w:val="en-US" w:eastAsia="zh-CN"/>
        </w:rPr>
        <w:t>乡村振兴项目投入增加</w:t>
      </w:r>
      <w:r>
        <w:rPr>
          <w:rFonts w:hint="eastAsia" w:ascii="仿宋_GB2312" w:hAnsi="仿宋_GB2312" w:eastAsia="仿宋_GB2312"/>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五、财政拨款“三公”经费支出决算情况说明</w:t>
      </w:r>
    </w:p>
    <w:p>
      <w:pPr>
        <w:keepNext w:val="0"/>
        <w:keepLines w:val="0"/>
        <w:pageBreakBefore w:val="0"/>
        <w:kinsoku/>
        <w:wordWrap/>
        <w:overflowPunct/>
        <w:topLinePunct w:val="0"/>
        <w:bidi w:val="0"/>
        <w:snapToGrid/>
        <w:spacing w:line="560" w:lineRule="exact"/>
        <w:ind w:left="0" w:leftChars="0" w:firstLine="630"/>
        <w:textAlignment w:val="auto"/>
        <w:rPr>
          <w:rFonts w:hint="eastAsia" w:ascii="仿宋_GB2312" w:hAnsi="仿宋_GB2312" w:eastAsia="仿宋_GB2312"/>
          <w:b w:val="0"/>
          <w:bCs w:val="0"/>
          <w:color w:val="auto"/>
          <w:sz w:val="32"/>
          <w:szCs w:val="32"/>
          <w:highlight w:val="none"/>
        </w:rPr>
      </w:pPr>
      <w:r>
        <w:rPr>
          <w:rFonts w:hint="eastAsia" w:ascii="仿宋_GB2312" w:hAnsi="仿宋_GB2312" w:eastAsia="仿宋_GB2312"/>
          <w:color w:val="auto"/>
          <w:sz w:val="32"/>
          <w:szCs w:val="32"/>
          <w:highlight w:val="none"/>
        </w:rPr>
        <w:t>本部门2022年度财政拨款“三</w:t>
      </w:r>
      <w:r>
        <w:rPr>
          <w:rFonts w:hint="eastAsia" w:ascii="仿宋_GB2312" w:hAnsi="仿宋_GB2312" w:eastAsia="仿宋_GB2312"/>
          <w:b w:val="0"/>
          <w:bCs w:val="0"/>
          <w:color w:val="auto"/>
          <w:sz w:val="32"/>
          <w:szCs w:val="32"/>
          <w:highlight w:val="none"/>
        </w:rPr>
        <w:t>公”经费支出全年预算数为</w:t>
      </w:r>
      <w:r>
        <w:rPr>
          <w:rFonts w:hint="eastAsia" w:ascii="仿宋_GB2312" w:hAnsi="仿宋_GB2312" w:eastAsia="仿宋_GB2312"/>
          <w:b w:val="0"/>
          <w:bCs w:val="0"/>
          <w:color w:val="auto"/>
          <w:sz w:val="32"/>
          <w:szCs w:val="32"/>
          <w:highlight w:val="none"/>
          <w:lang w:val="en-US" w:eastAsia="zh-CN"/>
        </w:rPr>
        <w:t>64.04</w:t>
      </w:r>
      <w:r>
        <w:rPr>
          <w:rFonts w:hint="eastAsia" w:ascii="仿宋_GB2312" w:hAnsi="仿宋_GB2312" w:eastAsia="仿宋_GB2312"/>
          <w:b w:val="0"/>
          <w:bCs w:val="0"/>
          <w:color w:val="auto"/>
          <w:sz w:val="32"/>
          <w:szCs w:val="32"/>
          <w:highlight w:val="none"/>
        </w:rPr>
        <w:t>万元，决算数为64.04万元，完成全年预算</w:t>
      </w:r>
      <w:r>
        <w:rPr>
          <w:rFonts w:hint="eastAsia" w:ascii="仿宋_GB2312" w:hAnsi="仿宋_GB2312" w:eastAsia="仿宋_GB2312"/>
          <w:b w:val="0"/>
          <w:bCs w:val="0"/>
          <w:color w:val="auto"/>
          <w:sz w:val="32"/>
          <w:szCs w:val="32"/>
          <w:highlight w:val="none"/>
          <w:lang w:val="en-US" w:eastAsia="zh-CN"/>
        </w:rPr>
        <w:t>数</w:t>
      </w:r>
      <w:r>
        <w:rPr>
          <w:rFonts w:hint="eastAsia" w:ascii="仿宋_GB2312" w:hAnsi="仿宋_GB2312" w:eastAsia="仿宋_GB2312"/>
          <w:b w:val="0"/>
          <w:bCs w:val="0"/>
          <w:color w:val="auto"/>
          <w:sz w:val="32"/>
          <w:szCs w:val="32"/>
          <w:highlight w:val="none"/>
        </w:rPr>
        <w:t>的100%，决算数较2021年增加14.04万元，增长28.08%，其中：</w:t>
      </w:r>
    </w:p>
    <w:p>
      <w:pPr>
        <w:keepNext w:val="0"/>
        <w:keepLines w:val="0"/>
        <w:pageBreakBefore w:val="0"/>
        <w:kinsoku/>
        <w:wordWrap/>
        <w:overflowPunct/>
        <w:topLinePunct w:val="0"/>
        <w:bidi w:val="0"/>
        <w:snapToGrid/>
        <w:spacing w:line="560" w:lineRule="exact"/>
        <w:ind w:left="0" w:leftChars="0" w:firstLine="630"/>
        <w:textAlignment w:val="auto"/>
        <w:rPr>
          <w:rFonts w:ascii="仿宋_GB2312" w:hAnsi="仿宋_GB2312" w:eastAsia="仿宋_GB2312"/>
          <w:b w:val="0"/>
          <w:bCs w:val="0"/>
          <w:color w:val="auto"/>
          <w:sz w:val="32"/>
          <w:szCs w:val="32"/>
          <w:highlight w:val="none"/>
        </w:rPr>
      </w:pPr>
      <w:r>
        <w:rPr>
          <w:rFonts w:hint="eastAsia" w:ascii="仿宋_GB2312" w:hAnsi="仿宋_GB2312" w:eastAsia="仿宋_GB2312"/>
          <w:b w:val="0"/>
          <w:bCs w:val="0"/>
          <w:color w:val="auto"/>
          <w:sz w:val="32"/>
          <w:szCs w:val="32"/>
          <w:highlight w:val="none"/>
        </w:rPr>
        <w:t>（一）因公出国（境）支出全年预算数为0万元，决算数为万元，完成全年预算的</w:t>
      </w:r>
      <w:r>
        <w:rPr>
          <w:rFonts w:hint="eastAsia" w:ascii="仿宋_GB2312" w:hAnsi="仿宋_GB2312" w:eastAsia="仿宋_GB2312"/>
          <w:b w:val="0"/>
          <w:bCs w:val="0"/>
          <w:color w:val="auto"/>
          <w:sz w:val="32"/>
          <w:szCs w:val="32"/>
          <w:highlight w:val="none"/>
          <w:lang w:val="en-US" w:eastAsia="zh-CN"/>
        </w:rPr>
        <w:t>0</w:t>
      </w:r>
      <w:r>
        <w:rPr>
          <w:rFonts w:hint="eastAsia" w:ascii="仿宋_GB2312" w:hAnsi="仿宋_GB2312" w:eastAsia="仿宋_GB2312"/>
          <w:b w:val="0"/>
          <w:bCs w:val="0"/>
          <w:color w:val="auto"/>
          <w:sz w:val="32"/>
          <w:szCs w:val="32"/>
          <w:highlight w:val="none"/>
        </w:rPr>
        <w:t>%，决算数较2021年增加</w:t>
      </w:r>
      <w:r>
        <w:rPr>
          <w:rFonts w:hint="eastAsia" w:ascii="仿宋_GB2312" w:hAnsi="仿宋_GB2312" w:eastAsia="仿宋_GB2312"/>
          <w:b w:val="0"/>
          <w:bCs w:val="0"/>
          <w:color w:val="auto"/>
          <w:sz w:val="32"/>
          <w:szCs w:val="32"/>
          <w:highlight w:val="none"/>
          <w:lang w:eastAsia="zh-CN"/>
        </w:rPr>
        <w:t>0</w:t>
      </w:r>
      <w:r>
        <w:rPr>
          <w:rFonts w:hint="eastAsia" w:ascii="仿宋_GB2312" w:hAnsi="仿宋_GB2312" w:eastAsia="仿宋_GB2312"/>
          <w:b w:val="0"/>
          <w:bCs w:val="0"/>
          <w:color w:val="auto"/>
          <w:sz w:val="32"/>
          <w:szCs w:val="32"/>
          <w:highlight w:val="none"/>
        </w:rPr>
        <w:t>万元，增长</w:t>
      </w:r>
      <w:r>
        <w:rPr>
          <w:rFonts w:hint="eastAsia" w:ascii="仿宋_GB2312" w:hAnsi="仿宋_GB2312" w:eastAsia="仿宋_GB2312"/>
          <w:b w:val="0"/>
          <w:bCs w:val="0"/>
          <w:color w:val="auto"/>
          <w:sz w:val="32"/>
          <w:szCs w:val="32"/>
          <w:highlight w:val="none"/>
          <w:lang w:eastAsia="zh-CN"/>
        </w:rPr>
        <w:t>0</w:t>
      </w:r>
      <w:r>
        <w:rPr>
          <w:rFonts w:hint="eastAsia" w:ascii="仿宋_GB2312" w:hAnsi="仿宋_GB2312" w:eastAsia="仿宋_GB2312"/>
          <w:b w:val="0"/>
          <w:bCs w:val="0"/>
          <w:color w:val="auto"/>
          <w:sz w:val="32"/>
          <w:szCs w:val="32"/>
          <w:highlight w:val="none"/>
        </w:rPr>
        <w:t>%</w:t>
      </w:r>
      <w:r>
        <w:rPr>
          <w:rFonts w:hint="eastAsia" w:ascii="仿宋_GB2312" w:hAnsi="仿宋_GB2312" w:eastAsia="仿宋_GB2312"/>
          <w:b w:val="0"/>
          <w:bCs w:val="0"/>
          <w:color w:val="auto"/>
          <w:sz w:val="32"/>
          <w:szCs w:val="32"/>
          <w:highlight w:val="none"/>
          <w:lang w:eastAsia="zh-CN"/>
        </w:rPr>
        <w:t>，</w:t>
      </w:r>
      <w:r>
        <w:rPr>
          <w:rFonts w:hint="eastAsia" w:ascii="仿宋_GB2312" w:hAnsi="仿宋_GB2312" w:eastAsia="仿宋_GB2312"/>
          <w:b w:val="0"/>
          <w:bCs w:val="0"/>
          <w:color w:val="auto"/>
          <w:sz w:val="32"/>
          <w:szCs w:val="32"/>
          <w:highlight w:val="none"/>
        </w:rPr>
        <w:t>全年安排因公出国（境）团组</w:t>
      </w:r>
      <w:r>
        <w:rPr>
          <w:rFonts w:hint="eastAsia" w:ascii="仿宋_GB2312" w:hAnsi="仿宋_GB2312" w:eastAsia="仿宋_GB2312"/>
          <w:b w:val="0"/>
          <w:bCs w:val="0"/>
          <w:color w:val="auto"/>
          <w:sz w:val="32"/>
          <w:szCs w:val="32"/>
          <w:highlight w:val="none"/>
          <w:lang w:val="en-US" w:eastAsia="zh-CN"/>
        </w:rPr>
        <w:t>0</w:t>
      </w:r>
      <w:r>
        <w:rPr>
          <w:rFonts w:hint="eastAsia" w:ascii="仿宋_GB2312" w:hAnsi="仿宋_GB2312" w:eastAsia="仿宋_GB2312"/>
          <w:b w:val="0"/>
          <w:bCs w:val="0"/>
          <w:color w:val="auto"/>
          <w:sz w:val="32"/>
          <w:szCs w:val="32"/>
          <w:highlight w:val="none"/>
        </w:rPr>
        <w:t>个，累计</w:t>
      </w:r>
      <w:r>
        <w:rPr>
          <w:rFonts w:hint="eastAsia" w:ascii="仿宋_GB2312" w:hAnsi="仿宋_GB2312" w:eastAsia="仿宋_GB2312"/>
          <w:b w:val="0"/>
          <w:bCs w:val="0"/>
          <w:color w:val="auto"/>
          <w:sz w:val="32"/>
          <w:szCs w:val="32"/>
          <w:highlight w:val="none"/>
          <w:lang w:val="en-US" w:eastAsia="zh-CN"/>
        </w:rPr>
        <w:t>0</w:t>
      </w:r>
      <w:r>
        <w:rPr>
          <w:rFonts w:hint="eastAsia" w:ascii="仿宋_GB2312" w:hAnsi="仿宋_GB2312" w:eastAsia="仿宋_GB2312"/>
          <w:b w:val="0"/>
          <w:bCs w:val="0"/>
          <w:color w:val="auto"/>
          <w:sz w:val="32"/>
          <w:szCs w:val="32"/>
          <w:highlight w:val="none"/>
        </w:rPr>
        <w:t>人次。</w:t>
      </w:r>
    </w:p>
    <w:p>
      <w:pPr>
        <w:keepNext w:val="0"/>
        <w:keepLines w:val="0"/>
        <w:pageBreakBefore w:val="0"/>
        <w:kinsoku/>
        <w:wordWrap/>
        <w:overflowPunct/>
        <w:topLinePunct w:val="0"/>
        <w:bidi w:val="0"/>
        <w:snapToGrid/>
        <w:spacing w:line="560" w:lineRule="exact"/>
        <w:ind w:left="0" w:leftChars="0" w:firstLine="630"/>
        <w:textAlignment w:val="auto"/>
        <w:rPr>
          <w:rFonts w:ascii="仿宋_GB2312" w:hAnsi="仿宋_GB2312" w:eastAsia="仿宋_GB2312"/>
          <w:b w:val="0"/>
          <w:bCs w:val="0"/>
          <w:color w:val="auto"/>
          <w:sz w:val="32"/>
          <w:szCs w:val="32"/>
          <w:highlight w:val="none"/>
        </w:rPr>
      </w:pPr>
      <w:r>
        <w:rPr>
          <w:rFonts w:hint="eastAsia" w:ascii="仿宋_GB2312" w:hAnsi="仿宋_GB2312" w:eastAsia="仿宋_GB2312"/>
          <w:b w:val="0"/>
          <w:bCs w:val="0"/>
          <w:color w:val="auto"/>
          <w:sz w:val="32"/>
          <w:szCs w:val="32"/>
          <w:highlight w:val="none"/>
        </w:rPr>
        <w:t>（二）公务接待费支出全年预算数为39.63万元，决算数为39.63万元，完成全年预算的100%，决算数较2021年减少2.8万元，下降6.63%，主要原因是压缩开支。决算数较全年预算数减少0元的主要原因是：严格预算执行。全年国内公务接待552批，累计接待4302人次，其中外事接待</w:t>
      </w:r>
      <w:r>
        <w:rPr>
          <w:rFonts w:hint="eastAsia" w:ascii="仿宋_GB2312" w:hAnsi="仿宋_GB2312" w:eastAsia="仿宋_GB2312"/>
          <w:b w:val="0"/>
          <w:bCs w:val="0"/>
          <w:color w:val="auto"/>
          <w:sz w:val="32"/>
          <w:szCs w:val="32"/>
          <w:highlight w:val="none"/>
          <w:lang w:val="en-US" w:eastAsia="zh-CN"/>
        </w:rPr>
        <w:t>0</w:t>
      </w:r>
      <w:r>
        <w:rPr>
          <w:rFonts w:hint="eastAsia" w:ascii="仿宋_GB2312" w:hAnsi="仿宋_GB2312" w:eastAsia="仿宋_GB2312"/>
          <w:b w:val="0"/>
          <w:bCs w:val="0"/>
          <w:color w:val="auto"/>
          <w:sz w:val="32"/>
          <w:szCs w:val="32"/>
          <w:highlight w:val="none"/>
        </w:rPr>
        <w:t>批，累计接待人</w:t>
      </w:r>
      <w:r>
        <w:rPr>
          <w:rFonts w:hint="eastAsia" w:ascii="仿宋_GB2312" w:hAnsi="仿宋_GB2312" w:eastAsia="仿宋_GB2312"/>
          <w:b w:val="0"/>
          <w:bCs w:val="0"/>
          <w:color w:val="auto"/>
          <w:sz w:val="32"/>
          <w:szCs w:val="32"/>
          <w:highlight w:val="none"/>
          <w:lang w:val="en-US" w:eastAsia="zh-CN"/>
        </w:rPr>
        <w:t>0</w:t>
      </w:r>
      <w:r>
        <w:rPr>
          <w:rFonts w:hint="eastAsia" w:ascii="仿宋_GB2312" w:hAnsi="仿宋_GB2312" w:eastAsia="仿宋_GB2312"/>
          <w:b w:val="0"/>
          <w:bCs w:val="0"/>
          <w:color w:val="auto"/>
          <w:sz w:val="32"/>
          <w:szCs w:val="32"/>
          <w:highlight w:val="none"/>
        </w:rPr>
        <w:t>次，主要为：上级领导检查指导工作。</w:t>
      </w:r>
    </w:p>
    <w:p>
      <w:pPr>
        <w:keepNext w:val="0"/>
        <w:keepLines w:val="0"/>
        <w:pageBreakBefore w:val="0"/>
        <w:kinsoku/>
        <w:wordWrap/>
        <w:overflowPunct/>
        <w:topLinePunct w:val="0"/>
        <w:bidi w:val="0"/>
        <w:snapToGrid/>
        <w:spacing w:line="560" w:lineRule="exact"/>
        <w:ind w:left="0" w:leftChars="0" w:firstLine="630"/>
        <w:textAlignment w:val="auto"/>
        <w:rPr>
          <w:rFonts w:hint="eastAsia" w:ascii="仿宋_GB2312" w:hAnsi="仿宋_GB2312" w:eastAsia="仿宋_GB2312"/>
          <w:b w:val="0"/>
          <w:bCs w:val="0"/>
          <w:color w:val="auto"/>
          <w:sz w:val="32"/>
          <w:szCs w:val="32"/>
          <w:highlight w:val="none"/>
        </w:rPr>
      </w:pPr>
      <w:r>
        <w:rPr>
          <w:rFonts w:hint="eastAsia" w:ascii="仿宋_GB2312" w:hAnsi="仿宋_GB2312" w:eastAsia="仿宋_GB2312"/>
          <w:b w:val="0"/>
          <w:bCs w:val="0"/>
          <w:color w:val="auto"/>
          <w:sz w:val="32"/>
          <w:szCs w:val="32"/>
          <w:highlight w:val="none"/>
        </w:rPr>
        <w:t>（三）公务用车购置及运行维护费支出24.4万元，其中公务用车购置全年预算数为17.98万元，决算数为17.98万元，完成全年预算的100%，决算数较2021年增加17.98万元，增长100%，主要原因是新增公务车一辆，全年购置公务用车1辆。决算数较全年预算数增加（减少）的主要原因是：新增公务车一辆；公务用车运行维护费支出全年预算数为6.42万元，决算数为6.42万元，完成全年预算的100%，决算数较2021年减少</w:t>
      </w:r>
      <w:r>
        <w:rPr>
          <w:rFonts w:hint="eastAsia" w:ascii="仿宋_GB2312" w:hAnsi="仿宋_GB2312" w:eastAsia="仿宋_GB2312"/>
          <w:b w:val="0"/>
          <w:bCs w:val="0"/>
          <w:color w:val="auto"/>
          <w:sz w:val="32"/>
          <w:szCs w:val="32"/>
          <w:highlight w:val="none"/>
          <w:lang w:val="en-US" w:eastAsia="zh-CN"/>
        </w:rPr>
        <w:t>1.15</w:t>
      </w:r>
      <w:r>
        <w:rPr>
          <w:rFonts w:hint="eastAsia" w:ascii="仿宋_GB2312" w:hAnsi="仿宋_GB2312" w:eastAsia="仿宋_GB2312"/>
          <w:b w:val="0"/>
          <w:bCs w:val="0"/>
          <w:color w:val="auto"/>
          <w:sz w:val="32"/>
          <w:szCs w:val="32"/>
          <w:highlight w:val="none"/>
        </w:rPr>
        <w:t>万元，下降</w:t>
      </w:r>
      <w:r>
        <w:rPr>
          <w:rFonts w:hint="eastAsia" w:ascii="仿宋_GB2312" w:hAnsi="仿宋_GB2312" w:eastAsia="仿宋_GB2312"/>
          <w:b w:val="0"/>
          <w:bCs w:val="0"/>
          <w:color w:val="auto"/>
          <w:sz w:val="32"/>
          <w:szCs w:val="32"/>
          <w:highlight w:val="none"/>
          <w:lang w:val="en-US" w:eastAsia="zh-CN"/>
        </w:rPr>
        <w:t>15.2</w:t>
      </w:r>
      <w:r>
        <w:rPr>
          <w:rFonts w:hint="eastAsia" w:ascii="仿宋_GB2312" w:hAnsi="仿宋_GB2312" w:eastAsia="仿宋_GB2312"/>
          <w:b w:val="0"/>
          <w:bCs w:val="0"/>
          <w:color w:val="auto"/>
          <w:sz w:val="32"/>
          <w:szCs w:val="32"/>
          <w:highlight w:val="none"/>
        </w:rPr>
        <w:t>%，主要原因是</w:t>
      </w:r>
      <w:r>
        <w:rPr>
          <w:rFonts w:hint="eastAsia" w:ascii="仿宋_GB2312" w:hAnsi="仿宋_GB2312" w:eastAsia="仿宋_GB2312"/>
          <w:b w:val="0"/>
          <w:bCs w:val="0"/>
          <w:color w:val="auto"/>
          <w:sz w:val="32"/>
          <w:szCs w:val="32"/>
          <w:highlight w:val="none"/>
          <w:lang w:val="en-US" w:eastAsia="zh-CN"/>
        </w:rPr>
        <w:t>新车修理和燃油下降</w:t>
      </w:r>
      <w:r>
        <w:rPr>
          <w:rFonts w:hint="eastAsia" w:ascii="仿宋_GB2312" w:hAnsi="仿宋_GB2312" w:eastAsia="仿宋_GB2312"/>
          <w:b w:val="0"/>
          <w:bCs w:val="0"/>
          <w:color w:val="auto"/>
          <w:sz w:val="32"/>
          <w:szCs w:val="32"/>
          <w:highlight w:val="none"/>
        </w:rPr>
        <w:t>，年末公务用车保有</w:t>
      </w:r>
      <w:r>
        <w:rPr>
          <w:rFonts w:hint="eastAsia" w:ascii="仿宋_GB2312" w:hAnsi="仿宋_GB2312" w:eastAsia="仿宋_GB2312"/>
          <w:b w:val="0"/>
          <w:bCs w:val="0"/>
          <w:color w:val="auto"/>
          <w:sz w:val="32"/>
          <w:szCs w:val="32"/>
          <w:highlight w:val="none"/>
          <w:lang w:val="en-US" w:eastAsia="zh-CN"/>
        </w:rPr>
        <w:t>5</w:t>
      </w:r>
      <w:r>
        <w:rPr>
          <w:rFonts w:hint="eastAsia" w:ascii="仿宋_GB2312" w:hAnsi="仿宋_GB2312" w:eastAsia="仿宋_GB2312"/>
          <w:b w:val="0"/>
          <w:bCs w:val="0"/>
          <w:color w:val="auto"/>
          <w:sz w:val="32"/>
          <w:szCs w:val="32"/>
          <w:highlight w:val="none"/>
        </w:rPr>
        <w:t>辆。决算数较全年预算数增加（减少）的主要原因是：</w:t>
      </w:r>
      <w:r>
        <w:rPr>
          <w:rFonts w:hint="eastAsia" w:ascii="仿宋_GB2312" w:hAnsi="仿宋_GB2312" w:eastAsia="仿宋_GB2312"/>
          <w:b w:val="0"/>
          <w:bCs w:val="0"/>
          <w:color w:val="auto"/>
          <w:sz w:val="32"/>
          <w:szCs w:val="32"/>
          <w:highlight w:val="none"/>
          <w:lang w:val="en-US" w:eastAsia="zh-CN"/>
        </w:rPr>
        <w:t>根据工作需要新增公务用车1辆</w:t>
      </w:r>
      <w:r>
        <w:rPr>
          <w:rFonts w:hint="eastAsia" w:ascii="仿宋_GB2312" w:hAnsi="仿宋_GB2312" w:eastAsia="仿宋_GB2312"/>
          <w:b w:val="0"/>
          <w:bCs w:val="0"/>
          <w:color w:val="auto"/>
          <w:sz w:val="32"/>
          <w:szCs w:val="32"/>
          <w:highlight w:val="none"/>
        </w:rPr>
        <w:t>。</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六、机关运行经费支出情况说明</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olor w:val="000000" w:themeColor="text1"/>
          <w:sz w:val="32"/>
          <w:szCs w:val="32"/>
          <w:highlight w:val="none"/>
          <w14:textFill>
            <w14:solidFill>
              <w14:schemeClr w14:val="tx1"/>
            </w14:solidFill>
          </w14:textFill>
        </w:rPr>
        <w:t>本部门2022年度机关运行经费支出</w:t>
      </w:r>
      <w:r>
        <w:rPr>
          <w:rFonts w:hint="eastAsia" w:ascii="仿宋_GB2312" w:hAnsi="仿宋_GB2312" w:eastAsia="仿宋_GB2312"/>
          <w:color w:val="000000" w:themeColor="text1"/>
          <w:sz w:val="32"/>
          <w:szCs w:val="32"/>
          <w:highlight w:val="none"/>
          <w:lang w:eastAsia="zh-CN"/>
          <w14:textFill>
            <w14:solidFill>
              <w14:schemeClr w14:val="tx1"/>
            </w14:solidFill>
          </w14:textFill>
        </w:rPr>
        <w:t>1</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295.59</w:t>
      </w:r>
      <w:r>
        <w:rPr>
          <w:rFonts w:hint="eastAsia" w:ascii="仿宋_GB2312" w:hAnsi="仿宋_GB2312" w:eastAsia="仿宋_GB2312"/>
          <w:color w:val="000000" w:themeColor="text1"/>
          <w:sz w:val="32"/>
          <w:szCs w:val="32"/>
          <w:highlight w:val="none"/>
          <w14:textFill>
            <w14:solidFill>
              <w14:schemeClr w14:val="tx1"/>
            </w14:solidFill>
          </w14:textFill>
        </w:rPr>
        <w:t>万元，</w:t>
      </w:r>
      <w:r>
        <w:rPr>
          <w:rFonts w:hint="eastAsia" w:ascii="仿宋_GB2312" w:hAnsi="仿宋_GB2312" w:eastAsia="仿宋_GB2312"/>
          <w:b w:val="0"/>
          <w:bCs w:val="0"/>
          <w:color w:val="000000" w:themeColor="text1"/>
          <w:sz w:val="32"/>
          <w:szCs w:val="32"/>
          <w:highlight w:val="none"/>
          <w14:textFill>
            <w14:solidFill>
              <w14:schemeClr w14:val="tx1"/>
            </w14:solidFill>
          </w14:textFill>
        </w:rPr>
        <w:t>较上年决算数</w:t>
      </w:r>
      <w:r>
        <w:rPr>
          <w:rFonts w:hint="eastAsia" w:ascii="仿宋_GB2312" w:hAnsi="仿宋_GB2312" w:eastAsia="仿宋_GB2312"/>
          <w:b w:val="0"/>
          <w:bCs w:val="0"/>
          <w:color w:val="000000" w:themeColor="text1"/>
          <w:sz w:val="32"/>
          <w:szCs w:val="32"/>
          <w:highlight w:val="none"/>
          <w:lang w:val="en-US" w:eastAsia="zh-CN"/>
          <w14:textFill>
            <w14:solidFill>
              <w14:schemeClr w14:val="tx1"/>
            </w14:solidFill>
          </w14:textFill>
        </w:rPr>
        <w:t>增加824.08</w:t>
      </w:r>
      <w:r>
        <w:rPr>
          <w:rFonts w:hint="eastAsia" w:ascii="仿宋_GB2312" w:hAnsi="仿宋_GB2312" w:eastAsia="仿宋_GB2312"/>
          <w:b w:val="0"/>
          <w:bCs w:val="0"/>
          <w:color w:val="000000" w:themeColor="text1"/>
          <w:sz w:val="32"/>
          <w:szCs w:val="32"/>
          <w:highlight w:val="none"/>
          <w14:textFill>
            <w14:solidFill>
              <w14:schemeClr w14:val="tx1"/>
            </w14:solidFill>
          </w14:textFill>
        </w:rPr>
        <w:t>万元，</w:t>
      </w:r>
      <w:r>
        <w:rPr>
          <w:rFonts w:hint="eastAsia" w:ascii="仿宋_GB2312" w:hAnsi="仿宋_GB2312" w:eastAsia="仿宋_GB2312"/>
          <w:b w:val="0"/>
          <w:bCs w:val="0"/>
          <w:color w:val="000000" w:themeColor="text1"/>
          <w:sz w:val="32"/>
          <w:szCs w:val="32"/>
          <w:highlight w:val="none"/>
          <w:lang w:val="en-US" w:eastAsia="zh-CN"/>
          <w14:textFill>
            <w14:solidFill>
              <w14:schemeClr w14:val="tx1"/>
            </w14:solidFill>
          </w14:textFill>
        </w:rPr>
        <w:t>增加174.8</w:t>
      </w:r>
      <w:r>
        <w:rPr>
          <w:rFonts w:hint="eastAsia" w:ascii="仿宋_GB2312" w:hAnsi="仿宋_GB2312" w:eastAsia="仿宋_GB2312"/>
          <w:b w:val="0"/>
          <w:bCs w:val="0"/>
          <w:color w:val="000000" w:themeColor="text1"/>
          <w:sz w:val="32"/>
          <w:szCs w:val="32"/>
          <w:highlight w:val="none"/>
          <w14:textFill>
            <w14:solidFill>
              <w14:schemeClr w14:val="tx1"/>
            </w14:solidFill>
          </w14:textFill>
        </w:rPr>
        <w:t>%，主要原因是：办公设施设备</w:t>
      </w:r>
      <w:r>
        <w:rPr>
          <w:rFonts w:hint="eastAsia" w:ascii="仿宋_GB2312" w:hAnsi="仿宋_GB2312" w:eastAsia="仿宋_GB2312"/>
          <w:color w:val="000000" w:themeColor="text1"/>
          <w:sz w:val="32"/>
          <w:szCs w:val="32"/>
          <w:highlight w:val="none"/>
          <w14:textFill>
            <w14:solidFill>
              <w14:schemeClr w14:val="tx1"/>
            </w14:solidFill>
          </w14:textFill>
        </w:rPr>
        <w:t>购置经费增加，资产运行维护支出增加，人员编制数量增加。</w:t>
      </w:r>
    </w:p>
    <w:p>
      <w:pPr>
        <w:keepNext w:val="0"/>
        <w:keepLines w:val="0"/>
        <w:pageBreakBefore w:val="0"/>
        <w:kinsoku/>
        <w:wordWrap/>
        <w:overflowPunct/>
        <w:topLinePunct w:val="0"/>
        <w:bidi w:val="0"/>
        <w:snapToGrid/>
        <w:spacing w:line="560" w:lineRule="exact"/>
        <w:ind w:left="0" w:leftChars="0" w:firstLine="640" w:firstLineChars="200"/>
        <w:textAlignment w:val="auto"/>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七、政府采购支出情况说明</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14:textFill>
            <w14:solidFill>
              <w14:schemeClr w14:val="tx1"/>
            </w14:solidFill>
          </w14:textFill>
        </w:rPr>
        <w:t>本部门2022年度政府采购支出总额</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0</w:t>
      </w:r>
      <w:r>
        <w:rPr>
          <w:rFonts w:hint="eastAsia" w:ascii="仿宋_GB2312" w:hAnsi="仿宋_GB2312" w:eastAsia="仿宋_GB2312"/>
          <w:color w:val="000000" w:themeColor="text1"/>
          <w:sz w:val="32"/>
          <w:szCs w:val="32"/>
          <w:highlight w:val="none"/>
          <w14:textFill>
            <w14:solidFill>
              <w14:schemeClr w14:val="tx1"/>
            </w14:solidFill>
          </w14:textFill>
        </w:rPr>
        <w:t>万元，其中：政府采购货物支出</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0</w:t>
      </w:r>
      <w:r>
        <w:rPr>
          <w:rFonts w:hint="eastAsia" w:ascii="仿宋_GB2312" w:hAnsi="仿宋_GB2312" w:eastAsia="仿宋_GB2312"/>
          <w:color w:val="000000" w:themeColor="text1"/>
          <w:sz w:val="32"/>
          <w:szCs w:val="32"/>
          <w:highlight w:val="none"/>
          <w14:textFill>
            <w14:solidFill>
              <w14:schemeClr w14:val="tx1"/>
            </w14:solidFill>
          </w14:textFill>
        </w:rPr>
        <w:t>万元、政府采购工程支出0万元、政府采购服务支出0万元。授予中小企业合同金额0万元，占政府采购支出总额的0%，其中：授予小微企业合同金额0万元，占授予中小企业合同金额的0%；货物采购授予中小企业合同金额占货物支出金额的0%，工程采购授予中小企业合同金额占工程支出金额的0%，服务采购授予中小企业合同金额占服务支出金额的0%。</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八、国有资产占用情况说明</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lang w:eastAsia="zh-CN"/>
        </w:rPr>
        <w:t>截至2022年</w:t>
      </w:r>
      <w:r>
        <w:rPr>
          <w:rFonts w:hint="eastAsia" w:ascii="仿宋_GB2312" w:hAnsi="仿宋_GB2312" w:eastAsia="仿宋_GB2312"/>
          <w:color w:val="auto"/>
          <w:kern w:val="0"/>
          <w:sz w:val="32"/>
          <w:szCs w:val="32"/>
          <w:highlight w:val="none"/>
        </w:rPr>
        <w:t>12月31日，本部门国有资产占用情况见公开10表《国有资产占用情况表》。其中车辆中的其他用车主要是</w:t>
      </w:r>
      <w:r>
        <w:rPr>
          <w:rFonts w:hint="eastAsia" w:ascii="仿宋_GB2312" w:hAnsi="仿宋_GB2312" w:eastAsia="仿宋_GB2312"/>
          <w:color w:val="auto"/>
          <w:kern w:val="0"/>
          <w:sz w:val="32"/>
          <w:szCs w:val="32"/>
          <w:highlight w:val="none"/>
          <w:lang w:val="en-US" w:eastAsia="zh-CN"/>
        </w:rPr>
        <w:t>无</w:t>
      </w:r>
      <w:r>
        <w:rPr>
          <w:rFonts w:hint="eastAsia" w:ascii="仿宋_GB2312" w:hAnsi="仿宋_GB2312" w:eastAsia="仿宋_GB2312"/>
          <w:color w:val="auto"/>
          <w:kern w:val="0"/>
          <w:sz w:val="32"/>
          <w:szCs w:val="32"/>
          <w:highlight w:val="none"/>
        </w:rPr>
        <w:t>。</w:t>
      </w:r>
    </w:p>
    <w:p>
      <w:pPr>
        <w:keepNext w:val="0"/>
        <w:keepLines w:val="0"/>
        <w:pageBreakBefore w:val="0"/>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九、预算绩效评价情况说明</w:t>
      </w:r>
    </w:p>
    <w:p>
      <w:pPr>
        <w:keepNext w:val="0"/>
        <w:keepLines w:val="0"/>
        <w:pageBreakBefore w:val="0"/>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（一）绩效</w:t>
      </w:r>
      <w:r>
        <w:rPr>
          <w:rFonts w:hint="eastAsia" w:ascii="楷体_GB2312" w:hAnsi="楷体_GB2312" w:eastAsia="楷体_GB2312" w:cs="楷体_GB2312"/>
          <w:b w:val="0"/>
          <w:bCs w:val="0"/>
          <w:color w:val="auto"/>
          <w:kern w:val="0"/>
          <w:sz w:val="32"/>
          <w:szCs w:val="32"/>
          <w:highlight w:val="none"/>
        </w:rPr>
        <w:t>评价</w:t>
      </w:r>
      <w:r>
        <w:rPr>
          <w:rFonts w:hint="eastAsia" w:ascii="楷体_GB2312" w:hAnsi="楷体_GB2312" w:eastAsia="楷体_GB2312" w:cs="楷体_GB2312"/>
          <w:color w:val="auto"/>
          <w:kern w:val="0"/>
          <w:sz w:val="32"/>
          <w:szCs w:val="32"/>
          <w:highlight w:val="none"/>
        </w:rPr>
        <w:t>工作开展情况。</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rPr>
        <w:t>根据预算绩效管理要求，我部门组织对纳入2022年度部门预算范围的二级项目19个全面开展绩效自评，共涉及资金4498.55万元，占项目支出总额的100%。</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组织对“示范镇管网工程</w:t>
      </w:r>
      <w:r>
        <w:rPr>
          <w:rFonts w:hint="eastAsia" w:ascii="仿宋_GB2312" w:hAnsi="仿宋_GB2312" w:eastAsia="仿宋_GB2312"/>
          <w:color w:val="auto"/>
          <w:kern w:val="0"/>
          <w:sz w:val="32"/>
          <w:szCs w:val="32"/>
          <w:highlight w:val="none"/>
          <w:lang w:eastAsia="zh-CN"/>
        </w:rPr>
        <w:t>”“</w:t>
      </w:r>
      <w:r>
        <w:rPr>
          <w:rFonts w:hint="eastAsia" w:ascii="仿宋_GB2312" w:hAnsi="仿宋_GB2312" w:eastAsia="仿宋_GB2312"/>
          <w:color w:val="auto"/>
          <w:kern w:val="0"/>
          <w:sz w:val="32"/>
          <w:szCs w:val="32"/>
          <w:highlight w:val="none"/>
        </w:rPr>
        <w:t>污水处理项目”等19个项目开展了部门评价，涉及一般公共预算支出3267.28万元，政府性基金预算支出1231.27万元，国有资本预算支出万元。从评价情况来看，绩效评价质量正常（请对预算绩效评价情况进行简单说明）。</w:t>
      </w:r>
    </w:p>
    <w:p>
      <w:pPr>
        <w:keepNext w:val="0"/>
        <w:keepLines w:val="0"/>
        <w:pageBreakBefore w:val="0"/>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组织开展部门整体支出绩效评价，涉及一般公共预算支出3267.28万元，政府性基金预算支出1231.27万元。从评价情况来看，绩效评价质量正常……（请对整体支出绩效评价情况进行简单说明）。</w:t>
      </w:r>
    </w:p>
    <w:p>
      <w:pPr>
        <w:keepNext w:val="0"/>
        <w:keepLines w:val="0"/>
        <w:pageBreakBefore w:val="0"/>
        <w:kinsoku/>
        <w:wordWrap/>
        <w:overflowPunct/>
        <w:topLinePunct w:val="0"/>
        <w:autoSpaceDE w:val="0"/>
        <w:autoSpaceDN w:val="0"/>
        <w:bidi w:val="0"/>
        <w:adjustRightInd w:val="0"/>
        <w:snapToGrid/>
        <w:spacing w:line="560" w:lineRule="exact"/>
        <w:ind w:left="0" w:leftChars="0" w:firstLine="640" w:firstLineChars="200"/>
        <w:textAlignment w:val="auto"/>
        <w:rPr>
          <w:rFonts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（二）部门决算中项目绩效自评结果。</w:t>
      </w:r>
    </w:p>
    <w:p>
      <w:pPr>
        <w:keepNext w:val="0"/>
        <w:keepLines w:val="0"/>
        <w:pageBreakBefore w:val="0"/>
        <w:kinsoku/>
        <w:wordWrap/>
        <w:overflowPunct/>
        <w:topLinePunct w:val="0"/>
        <w:bidi w:val="0"/>
        <w:snapToGrid/>
        <w:spacing w:line="560" w:lineRule="exact"/>
        <w:ind w:left="0" w:leftChars="0"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通过自评，</w:t>
      </w:r>
      <w:r>
        <w:rPr>
          <w:rFonts w:ascii="仿宋" w:hAnsi="仿宋" w:eastAsia="仿宋"/>
          <w:color w:val="auto"/>
          <w:sz w:val="32"/>
          <w:szCs w:val="32"/>
          <w:highlight w:val="none"/>
        </w:rPr>
        <w:t>我单位财务管理制度健全规范，无违规违纪现象，</w:t>
      </w:r>
      <w:r>
        <w:rPr>
          <w:rFonts w:hint="eastAsia" w:ascii="仿宋" w:hAnsi="仿宋" w:eastAsia="仿宋"/>
          <w:color w:val="auto"/>
          <w:sz w:val="32"/>
          <w:szCs w:val="32"/>
          <w:highlight w:val="none"/>
        </w:rPr>
        <w:t>项目实际完成绩效值均已达到预期绩效目标，项目实施效果明显，达到预期要求，提高了资金的使用效益，2021年部门整体支出自评得分为</w:t>
      </w:r>
      <w:r>
        <w:rPr>
          <w:rFonts w:hint="eastAsia" w:ascii="仿宋" w:hAnsi="仿宋" w:eastAsia="仿宋" w:cs="仿宋_GB2312"/>
          <w:color w:val="auto"/>
          <w:kern w:val="0"/>
          <w:sz w:val="30"/>
          <w:szCs w:val="30"/>
          <w:highlight w:val="none"/>
        </w:rPr>
        <w:t>98.5</w:t>
      </w:r>
      <w:r>
        <w:rPr>
          <w:rFonts w:hint="eastAsia" w:ascii="仿宋" w:hAnsi="仿宋" w:eastAsia="仿宋"/>
          <w:color w:val="auto"/>
          <w:sz w:val="32"/>
          <w:szCs w:val="32"/>
          <w:highlight w:val="none"/>
        </w:rPr>
        <w:t>分，自评结果为优秀。</w:t>
      </w:r>
      <w:bookmarkStart w:id="0" w:name="_GoBack"/>
      <w:bookmarkEnd w:id="0"/>
    </w:p>
    <w:p>
      <w:pPr>
        <w:keepNext w:val="0"/>
        <w:keepLines w:val="0"/>
        <w:pageBreakBefore w:val="0"/>
        <w:kinsoku/>
        <w:wordWrap/>
        <w:overflowPunct/>
        <w:topLinePunct w:val="0"/>
        <w:bidi w:val="0"/>
        <w:snapToGrid/>
        <w:spacing w:line="560" w:lineRule="exact"/>
        <w:ind w:left="0" w:leftChars="0" w:firstLine="640" w:firstLineChars="200"/>
        <w:textAlignment w:val="auto"/>
        <w:rPr>
          <w:rFonts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反映2022年度部门绩效自评总报告（</w:t>
      </w:r>
      <w:r>
        <w:rPr>
          <w:rFonts w:ascii="仿宋_GB2312" w:hAnsi="仿宋_GB2312" w:eastAsia="仿宋_GB2312"/>
          <w:color w:val="auto"/>
          <w:kern w:val="0"/>
          <w:sz w:val="32"/>
          <w:szCs w:val="32"/>
          <w:highlight w:val="none"/>
        </w:rPr>
        <w:t>绩效自评总报告主要包括本部门项目绩效目标情况、单位自评工作开展情况、综合评价结论、绩效目标完成情况总体分析、偏离绩效目标的原因和改进措施、绩效自评结果应用情况</w:t>
      </w:r>
      <w:r>
        <w:rPr>
          <w:rFonts w:hint="eastAsia" w:ascii="仿宋_GB2312" w:hAnsi="仿宋_GB2312" w:eastAsia="仿宋_GB2312"/>
          <w:color w:val="auto"/>
          <w:kern w:val="0"/>
          <w:sz w:val="32"/>
          <w:szCs w:val="32"/>
          <w:highlight w:val="none"/>
        </w:rPr>
        <w:t>。）和《项目支出绩效自评表》（自选2个项目）。</w:t>
      </w:r>
    </w:p>
    <w:p>
      <w:pPr>
        <w:widowControl/>
        <w:numPr>
          <w:ilvl w:val="0"/>
          <w:numId w:val="1"/>
        </w:numPr>
        <w:autoSpaceDE w:val="0"/>
        <w:autoSpaceDN w:val="0"/>
        <w:adjustRightInd w:val="0"/>
        <w:spacing w:line="560" w:lineRule="exact"/>
        <w:ind w:firstLine="640" w:firstLineChars="200"/>
        <w:jc w:val="left"/>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kern w:val="0"/>
          <w:sz w:val="32"/>
          <w:szCs w:val="32"/>
          <w:highlight w:val="none"/>
        </w:rPr>
        <w:t>部门评价项目绩效评价情况。</w:t>
      </w:r>
    </w:p>
    <w:p>
      <w:pPr>
        <w:keepNext w:val="0"/>
        <w:keepLines w:val="0"/>
        <w:widowControl/>
        <w:suppressLineNumbers w:val="0"/>
        <w:spacing w:line="560" w:lineRule="exact"/>
        <w:ind w:firstLine="640" w:firstLineChars="200"/>
        <w:jc w:val="left"/>
        <w:rPr>
          <w:rFonts w:ascii="仿宋_GB2312" w:hAnsi="仿宋_GB2312" w:eastAsia="仿宋_GB2312"/>
          <w:color w:val="auto"/>
          <w:kern w:val="0"/>
          <w:sz w:val="32"/>
          <w:szCs w:val="32"/>
          <w:highlight w:val="none"/>
        </w:rPr>
      </w:pPr>
      <w:r>
        <w:rPr>
          <w:rFonts w:ascii="仿宋_GB2312" w:hAnsi="仿宋_GB2312" w:eastAsia="仿宋_GB2312" w:cs="Times New Roman"/>
          <w:b w:val="0"/>
          <w:bCs w:val="0"/>
          <w:color w:val="auto"/>
          <w:kern w:val="0"/>
          <w:sz w:val="32"/>
          <w:szCs w:val="32"/>
          <w:highlight w:val="none"/>
          <w:lang w:val="en-US" w:eastAsia="zh-CN" w:bidi="ar"/>
        </w:rPr>
        <w:t>本部门公开“</w:t>
      </w:r>
      <w:r>
        <w:rPr>
          <w:rFonts w:hint="default" w:ascii="仿宋_GB2312" w:hAnsi="仿宋_GB2312" w:eastAsia="仿宋_GB2312" w:cs="Times New Roman"/>
          <w:color w:val="auto"/>
          <w:kern w:val="0"/>
          <w:sz w:val="32"/>
          <w:szCs w:val="32"/>
          <w:highlight w:val="none"/>
        </w:rPr>
        <w:t>高兴镇示范镇市政道路管网第二期工程进度款和监理费</w:t>
      </w:r>
      <w:r>
        <w:rPr>
          <w:rFonts w:hint="eastAsia" w:ascii="仿宋_GB2312" w:hAnsi="仿宋_GB2312" w:eastAsia="仿宋_GB2312" w:cs="Times New Roman"/>
          <w:color w:val="auto"/>
          <w:kern w:val="0"/>
          <w:sz w:val="32"/>
          <w:szCs w:val="32"/>
          <w:highlight w:val="none"/>
          <w:lang w:eastAsia="zh-CN"/>
        </w:rPr>
        <w:t>”“</w:t>
      </w:r>
      <w:r>
        <w:rPr>
          <w:rFonts w:hint="default" w:ascii="仿宋_GB2312" w:hAnsi="仿宋_GB2312" w:eastAsia="仿宋_GB2312" w:cs="Times New Roman"/>
          <w:color w:val="auto"/>
          <w:kern w:val="0"/>
          <w:sz w:val="32"/>
          <w:szCs w:val="32"/>
          <w:highlight w:val="none"/>
        </w:rPr>
        <w:t>农业农村局拨高兴镇标准化示范蜂场及蜂</w:t>
      </w:r>
      <w:r>
        <w:rPr>
          <w:rFonts w:hint="eastAsia" w:ascii="仿宋_GB2312" w:hAnsi="仿宋_GB2312" w:eastAsia="仿宋_GB2312" w:cs="Times New Roman"/>
          <w:color w:val="auto"/>
          <w:kern w:val="0"/>
          <w:sz w:val="32"/>
          <w:szCs w:val="32"/>
          <w:highlight w:val="none"/>
          <w:lang w:eastAsia="zh-CN"/>
        </w:rPr>
        <w:t>场建</w:t>
      </w:r>
      <w:r>
        <w:rPr>
          <w:rFonts w:hint="default" w:ascii="仿宋_GB2312" w:hAnsi="仿宋_GB2312" w:eastAsia="仿宋_GB2312" w:cs="Times New Roman"/>
          <w:color w:val="auto"/>
          <w:kern w:val="0"/>
          <w:sz w:val="32"/>
          <w:szCs w:val="32"/>
          <w:highlight w:val="none"/>
        </w:rPr>
        <w:t>设</w:t>
      </w:r>
      <w:r>
        <w:rPr>
          <w:rFonts w:hint="default" w:ascii="仿宋_GB2312" w:hAnsi="仿宋_GB2312" w:eastAsia="仿宋_GB2312" w:cs="Times New Roman"/>
          <w:b w:val="0"/>
          <w:bCs w:val="0"/>
          <w:color w:val="auto"/>
          <w:kern w:val="0"/>
          <w:sz w:val="32"/>
          <w:szCs w:val="32"/>
          <w:highlight w:val="none"/>
          <w:lang w:val="en-US" w:eastAsia="zh-CN" w:bidi="ar"/>
        </w:rPr>
        <w:t>”项目部门评价报告（见附件）。</w:t>
      </w: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p>
    <w:p>
      <w:pPr>
        <w:widowControl/>
        <w:spacing w:line="240" w:lineRule="auto"/>
        <w:jc w:val="left"/>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br w:type="page"/>
      </w:r>
    </w:p>
    <w:p>
      <w:pPr>
        <w:widowControl/>
        <w:spacing w:line="570" w:lineRule="exact"/>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第四部分</w:t>
      </w:r>
      <w:r>
        <w:rPr>
          <w:rFonts w:hint="eastAsia" w:ascii="方正小标宋简体" w:hAnsi="方正小标宋简体" w:eastAsia="方正小标宋简体" w:cs="方正小标宋简体"/>
          <w:color w:val="auto"/>
          <w:sz w:val="44"/>
          <w:szCs w:val="44"/>
          <w:highlight w:val="none"/>
          <w:lang w:val="en-US" w:eastAsia="zh-CN"/>
        </w:rPr>
        <w:t xml:space="preserve">  </w:t>
      </w:r>
      <w:r>
        <w:rPr>
          <w:rFonts w:hint="eastAsia" w:ascii="方正小标宋简体" w:hAnsi="方正小标宋简体" w:eastAsia="方正小标宋简体" w:cs="方正小标宋简体"/>
          <w:color w:val="auto"/>
          <w:sz w:val="44"/>
          <w:szCs w:val="44"/>
          <w:highlight w:val="none"/>
        </w:rPr>
        <w:t>名词解释</w:t>
      </w:r>
    </w:p>
    <w:p>
      <w:pPr>
        <w:pStyle w:val="11"/>
        <w:spacing w:line="570" w:lineRule="exact"/>
        <w:ind w:firstLine="640" w:firstLineChars="200"/>
        <w:rPr>
          <w:rFonts w:hint="eastAsia" w:ascii="仿宋_GB2312" w:hAnsi="仿宋_GB2312" w:eastAsia="仿宋_GB2312"/>
          <w:color w:val="auto"/>
          <w:sz w:val="32"/>
          <w:szCs w:val="32"/>
          <w:highlight w:val="none"/>
        </w:rPr>
      </w:pP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1．财政拨款收入：指本年度从本级财政部门取得的财政拨款，包括一般公共预算财政拨款和政府性基金预算财政拨款。</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2．事业收入：指事业单位开展专业业务活动及其辅助活动取得的收入；事业单位收到的财政专户实际核拨的教育收费等资金在此反映。</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3．经营收入：指事业单位在专业业务活动及其辅助活动之外开展非独立核算经营活动取得的收入。</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4.年初结转和结余：指单位上年结转本年使用的基本支出结转、项目支出结转和结余、经营结余。不包括事业单位净资产项下的事业基金和专用基金。</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 xml:space="preserve">5．年末结转和结余：指单位结转下年的基本支出结转、项目支出结转和结余、经营结余。不包括事业单位净资产项下的事业基金和专用基金。 </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6．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7．项目支出：指在基本支出之外为完成特定行政任务和事业发展目标所发生的支出。</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8．经营支出：指事业单位在专业业务活动及其辅助活动之外开展非独立核算经营活动发生的支出。</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9．“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10．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11．工资福利支出（支出经济分类科目类级）：反映单位开支的在职职工和编制外长期聘用人员的各类劳动报酬，以及为上述人员缴纳的各项社会保险费等。</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12．商品和服务支出（支出经济分类科目类级）：反映单位购买商品和服务的支出（不包括用于购置固定资产的支出、战略性和应急储备支出）。</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13．对个人和家庭的补助（支出经济分类科目类级）：反映用于对个人和家庭的补助支出。</w:t>
      </w:r>
    </w:p>
    <w:p>
      <w:pPr>
        <w:keepNext w:val="0"/>
        <w:keepLines w:val="0"/>
        <w:widowControl/>
        <w:suppressLineNumbers w:val="0"/>
        <w:adjustRightInd w:val="0"/>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bidi="ar"/>
        </w:rPr>
        <w:t>14．其他资本性支出（支出经济分类科目类级）：反映非各级发展与改革部门集中安排的用于购置固定资产、战略性和应急性储备、土地和无形资产，以及构建基础设施、大型修缮和财政支持企业更新改造所发生的支出。</w:t>
      </w:r>
    </w:p>
    <w:p>
      <w:pPr>
        <w:spacing w:line="600" w:lineRule="exact"/>
        <w:ind w:firstLine="600"/>
        <w:rPr>
          <w:rFonts w:hint="eastAsia" w:ascii="仿宋_GB2312" w:hAnsi="仿宋_GB2312" w:eastAsia="仿宋_GB2312"/>
          <w:color w:val="auto"/>
          <w:kern w:val="0"/>
          <w:sz w:val="32"/>
          <w:szCs w:val="32"/>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spacing w:line="240" w:lineRule="auto"/>
        <w:jc w:val="left"/>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br w:type="page"/>
      </w:r>
    </w:p>
    <w:p>
      <w:pPr>
        <w:spacing w:line="600" w:lineRule="exact"/>
        <w:jc w:val="center"/>
        <w:rPr>
          <w:rFonts w:hint="eastAsia" w:ascii="方正小标宋简体" w:hAnsi="方正小标宋简体" w:eastAsia="方正小标宋简体" w:cs="方正小标宋简体"/>
          <w:color w:val="auto"/>
          <w:sz w:val="44"/>
          <w:szCs w:val="44"/>
          <w:highlight w:val="none"/>
        </w:rPr>
      </w:pPr>
    </w:p>
    <w:p>
      <w:pPr>
        <w:numPr>
          <w:ilvl w:val="0"/>
          <w:numId w:val="2"/>
        </w:numPr>
        <w:spacing w:line="600" w:lineRule="exact"/>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附件</w:t>
      </w:r>
    </w:p>
    <w:p>
      <w:pPr>
        <w:numPr>
          <w:ilvl w:val="0"/>
          <w:numId w:val="0"/>
        </w:numPr>
        <w:spacing w:line="600" w:lineRule="exact"/>
        <w:jc w:val="both"/>
        <w:rPr>
          <w:rFonts w:hint="eastAsia" w:ascii="方正小标宋简体" w:hAnsi="方正小标宋简体" w:eastAsia="方正小标宋简体" w:cs="方正小标宋简体"/>
          <w:color w:val="auto"/>
          <w:sz w:val="44"/>
          <w:szCs w:val="44"/>
          <w:highlight w:val="none"/>
        </w:rPr>
      </w:pPr>
    </w:p>
    <w:tbl>
      <w:tblPr>
        <w:tblStyle w:val="6"/>
        <w:tblW w:w="9220" w:type="dxa"/>
        <w:tblInd w:w="89" w:type="dxa"/>
        <w:tblLayout w:type="fixed"/>
        <w:tblCellMar>
          <w:top w:w="0" w:type="dxa"/>
          <w:left w:w="108" w:type="dxa"/>
          <w:bottom w:w="0" w:type="dxa"/>
          <w:right w:w="108" w:type="dxa"/>
        </w:tblCellMar>
      </w:tblPr>
      <w:tblGrid>
        <w:gridCol w:w="457"/>
        <w:gridCol w:w="98"/>
        <w:gridCol w:w="1008"/>
        <w:gridCol w:w="96"/>
        <w:gridCol w:w="1321"/>
        <w:gridCol w:w="48"/>
        <w:gridCol w:w="938"/>
        <w:gridCol w:w="848"/>
        <w:gridCol w:w="139"/>
        <w:gridCol w:w="1103"/>
        <w:gridCol w:w="222"/>
        <w:gridCol w:w="297"/>
        <w:gridCol w:w="169"/>
        <w:gridCol w:w="917"/>
        <w:gridCol w:w="1061"/>
        <w:gridCol w:w="498"/>
      </w:tblGrid>
      <w:tr>
        <w:tblPrEx>
          <w:tblCellMar>
            <w:top w:w="0" w:type="dxa"/>
            <w:left w:w="108" w:type="dxa"/>
            <w:bottom w:w="0" w:type="dxa"/>
            <w:right w:w="108" w:type="dxa"/>
          </w:tblCellMar>
        </w:tblPrEx>
        <w:trPr>
          <w:trHeight w:val="312" w:hRule="atLeast"/>
        </w:trPr>
        <w:tc>
          <w:tcPr>
            <w:tcW w:w="9220" w:type="dxa"/>
            <w:gridSpan w:val="16"/>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color w:val="auto"/>
                <w:kern w:val="0"/>
                <w:sz w:val="44"/>
                <w:szCs w:val="44"/>
                <w:highlight w:val="none"/>
              </w:rPr>
            </w:pPr>
            <w:r>
              <w:rPr>
                <w:rFonts w:hint="eastAsia" w:ascii="宋体" w:hAnsi="宋体" w:cs="宋体"/>
                <w:color w:val="auto"/>
                <w:kern w:val="0"/>
                <w:sz w:val="44"/>
                <w:szCs w:val="44"/>
                <w:highlight w:val="none"/>
              </w:rPr>
              <w:t>项目绩效自评导出表</w:t>
            </w:r>
          </w:p>
        </w:tc>
      </w:tr>
      <w:tr>
        <w:tblPrEx>
          <w:tblCellMar>
            <w:top w:w="0" w:type="dxa"/>
            <w:left w:w="108" w:type="dxa"/>
            <w:bottom w:w="0" w:type="dxa"/>
            <w:right w:w="108" w:type="dxa"/>
          </w:tblCellMar>
        </w:tblPrEx>
        <w:trPr>
          <w:trHeight w:val="312" w:hRule="atLeast"/>
        </w:trPr>
        <w:tc>
          <w:tcPr>
            <w:tcW w:w="9220" w:type="dxa"/>
            <w:gridSpan w:val="16"/>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auto"/>
                <w:kern w:val="0"/>
                <w:sz w:val="44"/>
                <w:szCs w:val="44"/>
                <w:highlight w:val="none"/>
              </w:rPr>
            </w:pPr>
          </w:p>
        </w:tc>
      </w:tr>
      <w:tr>
        <w:tblPrEx>
          <w:tblCellMar>
            <w:top w:w="0" w:type="dxa"/>
            <w:left w:w="108" w:type="dxa"/>
            <w:bottom w:w="0" w:type="dxa"/>
            <w:right w:w="108" w:type="dxa"/>
          </w:tblCellMar>
        </w:tblPrEx>
        <w:trPr>
          <w:trHeight w:val="312" w:hRule="atLeast"/>
        </w:trPr>
        <w:tc>
          <w:tcPr>
            <w:tcW w:w="9220" w:type="dxa"/>
            <w:gridSpan w:val="16"/>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auto"/>
                <w:kern w:val="0"/>
                <w:sz w:val="44"/>
                <w:szCs w:val="44"/>
                <w:highlight w:val="none"/>
              </w:rPr>
            </w:pPr>
          </w:p>
        </w:tc>
      </w:tr>
      <w:tr>
        <w:tblPrEx>
          <w:tblCellMar>
            <w:top w:w="0" w:type="dxa"/>
            <w:left w:w="108" w:type="dxa"/>
            <w:bottom w:w="0" w:type="dxa"/>
            <w:right w:w="108" w:type="dxa"/>
          </w:tblCellMar>
        </w:tblPrEx>
        <w:trPr>
          <w:trHeight w:val="90" w:hRule="atLeast"/>
        </w:trPr>
        <w:tc>
          <w:tcPr>
            <w:tcW w:w="9220" w:type="dxa"/>
            <w:gridSpan w:val="16"/>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(2022年度</w:t>
            </w:r>
            <w:r>
              <w:rPr>
                <w:rFonts w:hint="eastAsia" w:ascii="宋体" w:hAnsi="宋体" w:cs="宋体"/>
                <w:color w:val="auto"/>
                <w:kern w:val="0"/>
                <w:sz w:val="18"/>
                <w:szCs w:val="18"/>
                <w:highlight w:val="none"/>
                <w:lang w:eastAsia="zh-CN"/>
              </w:rPr>
              <w:t>）</w:t>
            </w:r>
          </w:p>
        </w:tc>
      </w:tr>
      <w:tr>
        <w:tblPrEx>
          <w:tblCellMar>
            <w:top w:w="0" w:type="dxa"/>
            <w:left w:w="108" w:type="dxa"/>
            <w:bottom w:w="0" w:type="dxa"/>
            <w:right w:w="108" w:type="dxa"/>
          </w:tblCellMar>
        </w:tblPrEx>
        <w:trPr>
          <w:trHeight w:val="90" w:hRule="atLeast"/>
        </w:trPr>
        <w:tc>
          <w:tcPr>
            <w:tcW w:w="1563"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项目名称</w:t>
            </w:r>
          </w:p>
        </w:tc>
        <w:tc>
          <w:tcPr>
            <w:tcW w:w="7657" w:type="dxa"/>
            <w:gridSpan w:val="13"/>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高兴镇示范镇市政道路管网第二期工程进度款和监理费</w:t>
            </w:r>
          </w:p>
        </w:tc>
      </w:tr>
      <w:tr>
        <w:tblPrEx>
          <w:tblCellMar>
            <w:top w:w="0" w:type="dxa"/>
            <w:left w:w="108" w:type="dxa"/>
            <w:bottom w:w="0" w:type="dxa"/>
            <w:right w:w="108" w:type="dxa"/>
          </w:tblCellMar>
        </w:tblPrEx>
        <w:trPr>
          <w:trHeight w:val="90" w:hRule="atLeast"/>
        </w:trPr>
        <w:tc>
          <w:tcPr>
            <w:tcW w:w="1563"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主管部门</w:t>
            </w:r>
          </w:p>
        </w:tc>
        <w:tc>
          <w:tcPr>
            <w:tcW w:w="3390" w:type="dxa"/>
            <w:gridSpan w:val="6"/>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兴国县高兴镇人民政府</w:t>
            </w:r>
          </w:p>
        </w:tc>
        <w:tc>
          <w:tcPr>
            <w:tcW w:w="1622" w:type="dxa"/>
            <w:gridSpan w:val="3"/>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实施单位</w:t>
            </w:r>
          </w:p>
        </w:tc>
        <w:tc>
          <w:tcPr>
            <w:tcW w:w="2645" w:type="dxa"/>
            <w:gridSpan w:val="4"/>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兴国县高兴镇人民政府</w:t>
            </w:r>
          </w:p>
        </w:tc>
      </w:tr>
      <w:tr>
        <w:tblPrEx>
          <w:tblCellMar>
            <w:top w:w="0" w:type="dxa"/>
            <w:left w:w="108" w:type="dxa"/>
            <w:bottom w:w="0" w:type="dxa"/>
            <w:right w:w="108" w:type="dxa"/>
          </w:tblCellMar>
        </w:tblPrEx>
        <w:trPr>
          <w:trHeight w:val="90" w:hRule="atLeast"/>
        </w:trPr>
        <w:tc>
          <w:tcPr>
            <w:tcW w:w="1563"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41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9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年初预算数</w:t>
            </w:r>
          </w:p>
        </w:tc>
        <w:tc>
          <w:tcPr>
            <w:tcW w:w="98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全年预算数</w:t>
            </w:r>
          </w:p>
        </w:tc>
        <w:tc>
          <w:tcPr>
            <w:tcW w:w="1622" w:type="dxa"/>
            <w:gridSpan w:val="3"/>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全年执行数</w:t>
            </w:r>
          </w:p>
        </w:tc>
        <w:tc>
          <w:tcPr>
            <w:tcW w:w="2645" w:type="dxa"/>
            <w:gridSpan w:val="4"/>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分值</w:t>
            </w:r>
          </w:p>
        </w:tc>
      </w:tr>
      <w:tr>
        <w:tblPrEx>
          <w:tblCellMar>
            <w:top w:w="0" w:type="dxa"/>
            <w:left w:w="108" w:type="dxa"/>
            <w:bottom w:w="0" w:type="dxa"/>
            <w:right w:w="108" w:type="dxa"/>
          </w:tblCellMar>
        </w:tblPrEx>
        <w:trPr>
          <w:trHeight w:val="90" w:hRule="atLeast"/>
        </w:trPr>
        <w:tc>
          <w:tcPr>
            <w:tcW w:w="1563"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项目资金（万元）</w:t>
            </w:r>
          </w:p>
        </w:tc>
        <w:tc>
          <w:tcPr>
            <w:tcW w:w="141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其中：财政拨款</w:t>
            </w:r>
          </w:p>
        </w:tc>
        <w:tc>
          <w:tcPr>
            <w:tcW w:w="9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481.7</w:t>
            </w:r>
          </w:p>
        </w:tc>
        <w:tc>
          <w:tcPr>
            <w:tcW w:w="98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481.7</w:t>
            </w:r>
          </w:p>
        </w:tc>
        <w:tc>
          <w:tcPr>
            <w:tcW w:w="1622" w:type="dxa"/>
            <w:gridSpan w:val="3"/>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481.7</w:t>
            </w:r>
          </w:p>
        </w:tc>
        <w:tc>
          <w:tcPr>
            <w:tcW w:w="2645" w:type="dxa"/>
            <w:gridSpan w:val="4"/>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r>
      <w:tr>
        <w:tblPrEx>
          <w:tblCellMar>
            <w:top w:w="0" w:type="dxa"/>
            <w:left w:w="108" w:type="dxa"/>
            <w:bottom w:w="0" w:type="dxa"/>
            <w:right w:w="108" w:type="dxa"/>
          </w:tblCellMar>
        </w:tblPrEx>
        <w:trPr>
          <w:trHeight w:val="90" w:hRule="atLeast"/>
        </w:trPr>
        <w:tc>
          <w:tcPr>
            <w:tcW w:w="156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其他资金</w:t>
            </w:r>
          </w:p>
        </w:tc>
        <w:tc>
          <w:tcPr>
            <w:tcW w:w="9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0</w:t>
            </w:r>
          </w:p>
        </w:tc>
        <w:tc>
          <w:tcPr>
            <w:tcW w:w="98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0</w:t>
            </w:r>
          </w:p>
        </w:tc>
        <w:tc>
          <w:tcPr>
            <w:tcW w:w="1622" w:type="dxa"/>
            <w:gridSpan w:val="3"/>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0</w:t>
            </w:r>
          </w:p>
        </w:tc>
        <w:tc>
          <w:tcPr>
            <w:tcW w:w="2645" w:type="dxa"/>
            <w:gridSpan w:val="4"/>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r>
      <w:tr>
        <w:tblPrEx>
          <w:tblCellMar>
            <w:top w:w="0" w:type="dxa"/>
            <w:left w:w="108" w:type="dxa"/>
            <w:bottom w:w="0" w:type="dxa"/>
            <w:right w:w="108" w:type="dxa"/>
          </w:tblCellMar>
        </w:tblPrEx>
        <w:trPr>
          <w:trHeight w:val="90" w:hRule="atLeast"/>
        </w:trPr>
        <w:tc>
          <w:tcPr>
            <w:tcW w:w="156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年度资金总额</w:t>
            </w:r>
          </w:p>
        </w:tc>
        <w:tc>
          <w:tcPr>
            <w:tcW w:w="9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481.7</w:t>
            </w:r>
          </w:p>
        </w:tc>
        <w:tc>
          <w:tcPr>
            <w:tcW w:w="98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481.7</w:t>
            </w:r>
          </w:p>
        </w:tc>
        <w:tc>
          <w:tcPr>
            <w:tcW w:w="1622" w:type="dxa"/>
            <w:gridSpan w:val="3"/>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481.7</w:t>
            </w:r>
          </w:p>
        </w:tc>
        <w:tc>
          <w:tcPr>
            <w:tcW w:w="2645" w:type="dxa"/>
            <w:gridSpan w:val="4"/>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r>
      <w:tr>
        <w:tblPrEx>
          <w:tblCellMar>
            <w:top w:w="0" w:type="dxa"/>
            <w:left w:w="108" w:type="dxa"/>
            <w:bottom w:w="0" w:type="dxa"/>
            <w:right w:w="108" w:type="dxa"/>
          </w:tblCellMar>
        </w:tblPrEx>
        <w:trPr>
          <w:trHeight w:val="90" w:hRule="atLeast"/>
        </w:trPr>
        <w:tc>
          <w:tcPr>
            <w:tcW w:w="9220" w:type="dxa"/>
            <w:gridSpan w:val="16"/>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1563"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执行率偏差原因及整改措施</w:t>
            </w:r>
          </w:p>
        </w:tc>
        <w:tc>
          <w:tcPr>
            <w:tcW w:w="7657" w:type="dxa"/>
            <w:gridSpan w:val="13"/>
            <w:tcBorders>
              <w:top w:val="single" w:color="auto" w:sz="4" w:space="0"/>
              <w:left w:val="nil"/>
              <w:bottom w:val="single" w:color="auto" w:sz="4" w:space="0"/>
              <w:right w:val="single" w:color="auto" w:sz="4" w:space="0"/>
            </w:tcBorders>
            <w:noWrap/>
            <w:vAlign w:val="top"/>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1563" w:type="dxa"/>
            <w:gridSpan w:val="3"/>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年度总体目标</w:t>
            </w:r>
          </w:p>
        </w:tc>
        <w:tc>
          <w:tcPr>
            <w:tcW w:w="3390" w:type="dxa"/>
            <w:gridSpan w:val="6"/>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预期目标</w:t>
            </w:r>
          </w:p>
        </w:tc>
        <w:tc>
          <w:tcPr>
            <w:tcW w:w="4267" w:type="dxa"/>
            <w:gridSpan w:val="7"/>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实际完成情况</w:t>
            </w:r>
          </w:p>
        </w:tc>
      </w:tr>
      <w:tr>
        <w:tblPrEx>
          <w:tblCellMar>
            <w:top w:w="0" w:type="dxa"/>
            <w:left w:w="108" w:type="dxa"/>
            <w:bottom w:w="0" w:type="dxa"/>
            <w:right w:w="108" w:type="dxa"/>
          </w:tblCellMar>
        </w:tblPrEx>
        <w:trPr>
          <w:trHeight w:val="90" w:hRule="atLeast"/>
        </w:trPr>
        <w:tc>
          <w:tcPr>
            <w:tcW w:w="156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3390" w:type="dxa"/>
            <w:gridSpan w:val="6"/>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高兴镇示范镇市政道路管网第二期工程进度款和监理费</w:t>
            </w:r>
          </w:p>
        </w:tc>
        <w:tc>
          <w:tcPr>
            <w:tcW w:w="4267" w:type="dxa"/>
            <w:gridSpan w:val="7"/>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全面完成</w:t>
            </w:r>
          </w:p>
        </w:tc>
      </w:tr>
      <w:tr>
        <w:tblPrEx>
          <w:tblCellMar>
            <w:top w:w="0" w:type="dxa"/>
            <w:left w:w="108" w:type="dxa"/>
            <w:bottom w:w="0" w:type="dxa"/>
            <w:right w:w="108" w:type="dxa"/>
          </w:tblCellMar>
        </w:tblPrEx>
        <w:trPr>
          <w:trHeight w:val="90" w:hRule="atLeast"/>
        </w:trPr>
        <w:tc>
          <w:tcPr>
            <w:tcW w:w="555"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008"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一级指标</w:t>
            </w:r>
          </w:p>
        </w:tc>
        <w:tc>
          <w:tcPr>
            <w:tcW w:w="141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二级指标</w:t>
            </w:r>
          </w:p>
        </w:tc>
        <w:tc>
          <w:tcPr>
            <w:tcW w:w="1973" w:type="dxa"/>
            <w:gridSpan w:val="4"/>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三级指标</w:t>
            </w:r>
          </w:p>
        </w:tc>
        <w:tc>
          <w:tcPr>
            <w:tcW w:w="1103"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实际完成值</w:t>
            </w:r>
          </w:p>
        </w:tc>
        <w:tc>
          <w:tcPr>
            <w:tcW w:w="51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分值</w:t>
            </w:r>
          </w:p>
        </w:tc>
        <w:tc>
          <w:tcPr>
            <w:tcW w:w="2645" w:type="dxa"/>
            <w:gridSpan w:val="4"/>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得分</w:t>
            </w:r>
          </w:p>
        </w:tc>
      </w:tr>
      <w:tr>
        <w:tblPrEx>
          <w:tblCellMar>
            <w:top w:w="0" w:type="dxa"/>
            <w:left w:w="108" w:type="dxa"/>
            <w:bottom w:w="0" w:type="dxa"/>
            <w:right w:w="108" w:type="dxa"/>
          </w:tblCellMar>
        </w:tblPrEx>
        <w:trPr>
          <w:trHeight w:val="90" w:hRule="atLeast"/>
        </w:trPr>
        <w:tc>
          <w:tcPr>
            <w:tcW w:w="555" w:type="dxa"/>
            <w:gridSpan w:val="2"/>
            <w:vMerge w:val="restart"/>
            <w:tcBorders>
              <w:top w:val="nil"/>
              <w:left w:val="single" w:color="auto" w:sz="4" w:space="0"/>
              <w:bottom w:val="single" w:color="auto" w:sz="4" w:space="0"/>
              <w:right w:val="single" w:color="auto" w:sz="4" w:space="0"/>
            </w:tcBorders>
            <w:noWrap/>
            <w:textDirection w:val="tbRlV"/>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绩效目标</w:t>
            </w:r>
          </w:p>
        </w:tc>
        <w:tc>
          <w:tcPr>
            <w:tcW w:w="100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产出指标</w:t>
            </w: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数量</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资金拨付及时性（%）</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r>
      <w:tr>
        <w:tblPrEx>
          <w:tblCellMar>
            <w:top w:w="0" w:type="dxa"/>
            <w:left w:w="108" w:type="dxa"/>
            <w:bottom w:w="0" w:type="dxa"/>
            <w:right w:w="108" w:type="dxa"/>
          </w:tblCellMar>
        </w:tblPrEx>
        <w:trPr>
          <w:trHeight w:val="90" w:hRule="atLeast"/>
        </w:trPr>
        <w:tc>
          <w:tcPr>
            <w:tcW w:w="55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质量</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资金分配准确率（%）</w:t>
            </w:r>
          </w:p>
        </w:tc>
        <w:tc>
          <w:tcPr>
            <w:tcW w:w="110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51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2645"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r>
      <w:tr>
        <w:tblPrEx>
          <w:tblCellMar>
            <w:top w:w="0" w:type="dxa"/>
            <w:left w:w="108" w:type="dxa"/>
            <w:bottom w:w="0" w:type="dxa"/>
            <w:right w:w="108" w:type="dxa"/>
          </w:tblCellMar>
        </w:tblPrEx>
        <w:trPr>
          <w:trHeight w:val="90" w:hRule="atLeast"/>
        </w:trPr>
        <w:tc>
          <w:tcPr>
            <w:tcW w:w="55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时效</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工程完工率（%）</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r>
      <w:tr>
        <w:tblPrEx>
          <w:tblCellMar>
            <w:top w:w="0" w:type="dxa"/>
            <w:left w:w="108" w:type="dxa"/>
            <w:bottom w:w="0" w:type="dxa"/>
            <w:right w:w="108" w:type="dxa"/>
          </w:tblCellMar>
        </w:tblPrEx>
        <w:trPr>
          <w:trHeight w:val="90" w:hRule="atLeast"/>
        </w:trPr>
        <w:tc>
          <w:tcPr>
            <w:tcW w:w="55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成本</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三算一致性（%）</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r>
      <w:tr>
        <w:tblPrEx>
          <w:tblCellMar>
            <w:top w:w="0" w:type="dxa"/>
            <w:left w:w="108" w:type="dxa"/>
            <w:bottom w:w="0" w:type="dxa"/>
            <w:right w:w="108" w:type="dxa"/>
          </w:tblCellMar>
        </w:tblPrEx>
        <w:trPr>
          <w:trHeight w:val="90" w:hRule="atLeast"/>
        </w:trPr>
        <w:tc>
          <w:tcPr>
            <w:tcW w:w="55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效益指标</w:t>
            </w: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经济效益</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55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社会效益</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10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51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2645"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55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生态效益</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公众满意度（%）</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r>
      <w:tr>
        <w:tblPrEx>
          <w:tblCellMar>
            <w:top w:w="0" w:type="dxa"/>
            <w:left w:w="108" w:type="dxa"/>
            <w:bottom w:w="0" w:type="dxa"/>
            <w:right w:w="108" w:type="dxa"/>
          </w:tblCellMar>
        </w:tblPrEx>
        <w:trPr>
          <w:trHeight w:val="90" w:hRule="atLeast"/>
        </w:trPr>
        <w:tc>
          <w:tcPr>
            <w:tcW w:w="55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可持续影响</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55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008"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满意度</w:t>
            </w:r>
          </w:p>
        </w:tc>
        <w:tc>
          <w:tcPr>
            <w:tcW w:w="1417"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满意度</w:t>
            </w:r>
          </w:p>
        </w:tc>
        <w:tc>
          <w:tcPr>
            <w:tcW w:w="1973" w:type="dxa"/>
            <w:gridSpan w:val="4"/>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群众满意度（%）</w:t>
            </w:r>
          </w:p>
        </w:tc>
        <w:tc>
          <w:tcPr>
            <w:tcW w:w="1103"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51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2645" w:type="dxa"/>
            <w:gridSpan w:val="4"/>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r>
      <w:tr>
        <w:tblPrEx>
          <w:tblCellMar>
            <w:top w:w="0" w:type="dxa"/>
            <w:left w:w="108" w:type="dxa"/>
            <w:bottom w:w="0" w:type="dxa"/>
            <w:right w:w="108" w:type="dxa"/>
          </w:tblCellMar>
        </w:tblPrEx>
        <w:trPr>
          <w:trHeight w:val="90" w:hRule="atLeast"/>
        </w:trPr>
        <w:tc>
          <w:tcPr>
            <w:tcW w:w="9220" w:type="dxa"/>
            <w:gridSpan w:val="16"/>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6056" w:type="dxa"/>
            <w:gridSpan w:val="10"/>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总分</w:t>
            </w:r>
          </w:p>
        </w:tc>
        <w:tc>
          <w:tcPr>
            <w:tcW w:w="51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2645" w:type="dxa"/>
            <w:gridSpan w:val="4"/>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r>
      <w:tr>
        <w:tblPrEx>
          <w:tblCellMar>
            <w:top w:w="0" w:type="dxa"/>
            <w:left w:w="108" w:type="dxa"/>
            <w:bottom w:w="0" w:type="dxa"/>
            <w:right w:w="108" w:type="dxa"/>
          </w:tblCellMar>
        </w:tblPrEx>
        <w:trPr>
          <w:trHeight w:val="312" w:hRule="atLeast"/>
        </w:trPr>
        <w:tc>
          <w:tcPr>
            <w:tcW w:w="9220" w:type="dxa"/>
            <w:gridSpan w:val="16"/>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44"/>
                <w:szCs w:val="44"/>
                <w:highlight w:val="none"/>
              </w:rPr>
            </w:pPr>
          </w:p>
          <w:p>
            <w:pPr>
              <w:widowControl/>
              <w:jc w:val="both"/>
              <w:rPr>
                <w:rFonts w:hint="eastAsia" w:ascii="宋体" w:hAnsi="宋体" w:cs="宋体"/>
                <w:color w:val="auto"/>
                <w:kern w:val="0"/>
                <w:sz w:val="44"/>
                <w:szCs w:val="44"/>
                <w:highlight w:val="none"/>
              </w:rPr>
            </w:pPr>
          </w:p>
          <w:p>
            <w:pPr>
              <w:widowControl/>
              <w:jc w:val="both"/>
              <w:rPr>
                <w:rFonts w:hint="eastAsia" w:ascii="宋体" w:hAnsi="宋体" w:cs="宋体"/>
                <w:color w:val="auto"/>
                <w:kern w:val="0"/>
                <w:sz w:val="44"/>
                <w:szCs w:val="44"/>
                <w:highlight w:val="none"/>
              </w:rPr>
            </w:pPr>
          </w:p>
          <w:p>
            <w:pPr>
              <w:widowControl/>
              <w:jc w:val="center"/>
              <w:rPr>
                <w:rFonts w:ascii="宋体" w:hAnsi="宋体" w:cs="宋体"/>
                <w:color w:val="auto"/>
                <w:kern w:val="0"/>
                <w:sz w:val="44"/>
                <w:szCs w:val="44"/>
                <w:highlight w:val="none"/>
              </w:rPr>
            </w:pPr>
            <w:r>
              <w:rPr>
                <w:rFonts w:hint="eastAsia" w:ascii="宋体" w:hAnsi="宋体" w:cs="宋体"/>
                <w:color w:val="auto"/>
                <w:kern w:val="0"/>
                <w:sz w:val="44"/>
                <w:szCs w:val="44"/>
                <w:highlight w:val="none"/>
              </w:rPr>
              <w:t>项目绩效自评导出表</w:t>
            </w:r>
          </w:p>
        </w:tc>
      </w:tr>
      <w:tr>
        <w:tblPrEx>
          <w:tblCellMar>
            <w:top w:w="0" w:type="dxa"/>
            <w:left w:w="108" w:type="dxa"/>
            <w:bottom w:w="0" w:type="dxa"/>
            <w:right w:w="108" w:type="dxa"/>
          </w:tblCellMar>
        </w:tblPrEx>
        <w:trPr>
          <w:trHeight w:val="312" w:hRule="atLeast"/>
        </w:trPr>
        <w:tc>
          <w:tcPr>
            <w:tcW w:w="9220" w:type="dxa"/>
            <w:gridSpan w:val="16"/>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44"/>
                <w:szCs w:val="44"/>
                <w:highlight w:val="none"/>
              </w:rPr>
            </w:pPr>
          </w:p>
        </w:tc>
      </w:tr>
      <w:tr>
        <w:tblPrEx>
          <w:tblCellMar>
            <w:top w:w="0" w:type="dxa"/>
            <w:left w:w="108" w:type="dxa"/>
            <w:bottom w:w="0" w:type="dxa"/>
            <w:right w:w="108" w:type="dxa"/>
          </w:tblCellMar>
        </w:tblPrEx>
        <w:trPr>
          <w:trHeight w:val="312" w:hRule="atLeast"/>
        </w:trPr>
        <w:tc>
          <w:tcPr>
            <w:tcW w:w="9220" w:type="dxa"/>
            <w:gridSpan w:val="16"/>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44"/>
                <w:szCs w:val="44"/>
                <w:highlight w:val="none"/>
              </w:rPr>
            </w:pPr>
          </w:p>
        </w:tc>
      </w:tr>
      <w:tr>
        <w:tblPrEx>
          <w:tblCellMar>
            <w:top w:w="0" w:type="dxa"/>
            <w:left w:w="108" w:type="dxa"/>
            <w:bottom w:w="0" w:type="dxa"/>
            <w:right w:w="108" w:type="dxa"/>
          </w:tblCellMar>
        </w:tblPrEx>
        <w:trPr>
          <w:trHeight w:val="90" w:hRule="atLeast"/>
        </w:trPr>
        <w:tc>
          <w:tcPr>
            <w:tcW w:w="9220" w:type="dxa"/>
            <w:gridSpan w:val="1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(2022年度</w:t>
            </w:r>
            <w:r>
              <w:rPr>
                <w:rFonts w:hint="eastAsia" w:ascii="宋体" w:hAnsi="宋体" w:cs="宋体"/>
                <w:color w:val="auto"/>
                <w:kern w:val="0"/>
                <w:sz w:val="18"/>
                <w:szCs w:val="18"/>
                <w:highlight w:val="none"/>
                <w:lang w:eastAsia="zh-CN"/>
              </w:rPr>
              <w:t>）</w:t>
            </w:r>
          </w:p>
        </w:tc>
      </w:tr>
      <w:tr>
        <w:tblPrEx>
          <w:tblCellMar>
            <w:top w:w="0" w:type="dxa"/>
            <w:left w:w="108" w:type="dxa"/>
            <w:bottom w:w="0" w:type="dxa"/>
            <w:right w:w="108" w:type="dxa"/>
          </w:tblCellMar>
        </w:tblPrEx>
        <w:trPr>
          <w:trHeight w:val="90" w:hRule="atLeast"/>
        </w:trPr>
        <w:tc>
          <w:tcPr>
            <w:tcW w:w="1659" w:type="dxa"/>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项目名称</w:t>
            </w:r>
          </w:p>
        </w:tc>
        <w:tc>
          <w:tcPr>
            <w:tcW w:w="7561" w:type="dxa"/>
            <w:gridSpan w:val="12"/>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农业农村局拨高兴镇标准化示范蜂场及蜂场设</w:t>
            </w:r>
          </w:p>
        </w:tc>
      </w:tr>
      <w:tr>
        <w:tblPrEx>
          <w:tblCellMar>
            <w:top w:w="0" w:type="dxa"/>
            <w:left w:w="108" w:type="dxa"/>
            <w:bottom w:w="0" w:type="dxa"/>
            <w:right w:w="108" w:type="dxa"/>
          </w:tblCellMar>
        </w:tblPrEx>
        <w:trPr>
          <w:trHeight w:val="90" w:hRule="atLeast"/>
        </w:trPr>
        <w:tc>
          <w:tcPr>
            <w:tcW w:w="1659" w:type="dxa"/>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主管部门</w:t>
            </w:r>
          </w:p>
        </w:tc>
        <w:tc>
          <w:tcPr>
            <w:tcW w:w="3155" w:type="dxa"/>
            <w:gridSpan w:val="4"/>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兴国县高兴镇人民政府</w:t>
            </w:r>
          </w:p>
        </w:tc>
        <w:tc>
          <w:tcPr>
            <w:tcW w:w="1930"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实施单位</w:t>
            </w:r>
          </w:p>
        </w:tc>
        <w:tc>
          <w:tcPr>
            <w:tcW w:w="2476" w:type="dxa"/>
            <w:gridSpan w:val="3"/>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兴国县高兴镇人民政府</w:t>
            </w:r>
          </w:p>
        </w:tc>
      </w:tr>
      <w:tr>
        <w:tblPrEx>
          <w:tblCellMar>
            <w:top w:w="0" w:type="dxa"/>
            <w:left w:w="108" w:type="dxa"/>
            <w:bottom w:w="0" w:type="dxa"/>
            <w:right w:w="108" w:type="dxa"/>
          </w:tblCellMar>
        </w:tblPrEx>
        <w:trPr>
          <w:trHeight w:val="90" w:hRule="atLeast"/>
        </w:trPr>
        <w:tc>
          <w:tcPr>
            <w:tcW w:w="1659" w:type="dxa"/>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369"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786"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年初预算数</w:t>
            </w:r>
          </w:p>
        </w:tc>
        <w:tc>
          <w:tcPr>
            <w:tcW w:w="1930"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全年执行数</w:t>
            </w:r>
          </w:p>
        </w:tc>
        <w:tc>
          <w:tcPr>
            <w:tcW w:w="91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分值</w:t>
            </w:r>
          </w:p>
        </w:tc>
        <w:tc>
          <w:tcPr>
            <w:tcW w:w="106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执行率</w:t>
            </w:r>
            <w:r>
              <w:rPr>
                <w:rFonts w:hint="eastAsia" w:ascii="宋体" w:hAnsi="宋体" w:cs="宋体"/>
                <w:color w:val="auto"/>
                <w:kern w:val="0"/>
                <w:sz w:val="22"/>
                <w:highlight w:val="none"/>
                <w:lang w:eastAsia="zh-CN"/>
              </w:rPr>
              <w:t>（</w:t>
            </w:r>
            <w:r>
              <w:rPr>
                <w:rFonts w:hint="eastAsia" w:ascii="宋体" w:hAnsi="宋体" w:cs="宋体"/>
                <w:color w:val="auto"/>
                <w:kern w:val="0"/>
                <w:sz w:val="22"/>
                <w:highlight w:val="none"/>
              </w:rPr>
              <w:t>%)</w:t>
            </w:r>
          </w:p>
        </w:tc>
        <w:tc>
          <w:tcPr>
            <w:tcW w:w="49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得分</w:t>
            </w:r>
          </w:p>
        </w:tc>
      </w:tr>
      <w:tr>
        <w:tblPrEx>
          <w:tblCellMar>
            <w:top w:w="0" w:type="dxa"/>
            <w:left w:w="108" w:type="dxa"/>
            <w:bottom w:w="0" w:type="dxa"/>
            <w:right w:w="108" w:type="dxa"/>
          </w:tblCellMar>
        </w:tblPrEx>
        <w:trPr>
          <w:trHeight w:val="90" w:hRule="atLeast"/>
        </w:trPr>
        <w:tc>
          <w:tcPr>
            <w:tcW w:w="1659"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项目资金（万元）</w:t>
            </w:r>
          </w:p>
        </w:tc>
        <w:tc>
          <w:tcPr>
            <w:tcW w:w="136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其他资金</w:t>
            </w:r>
          </w:p>
        </w:tc>
        <w:tc>
          <w:tcPr>
            <w:tcW w:w="17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24.3315</w:t>
            </w:r>
          </w:p>
        </w:tc>
        <w:tc>
          <w:tcPr>
            <w:tcW w:w="1930"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19.9145</w:t>
            </w:r>
          </w:p>
        </w:tc>
        <w:tc>
          <w:tcPr>
            <w:tcW w:w="917"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c>
          <w:tcPr>
            <w:tcW w:w="1061"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81.85</w:t>
            </w:r>
          </w:p>
        </w:tc>
        <w:tc>
          <w:tcPr>
            <w:tcW w:w="498"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r>
      <w:tr>
        <w:tblPrEx>
          <w:tblCellMar>
            <w:top w:w="0" w:type="dxa"/>
            <w:left w:w="108" w:type="dxa"/>
            <w:bottom w:w="0" w:type="dxa"/>
            <w:right w:w="108" w:type="dxa"/>
          </w:tblCellMar>
        </w:tblPrEx>
        <w:trPr>
          <w:trHeight w:val="90" w:hRule="atLeast"/>
        </w:trPr>
        <w:tc>
          <w:tcPr>
            <w:tcW w:w="1659"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年度资金总额</w:t>
            </w:r>
          </w:p>
        </w:tc>
        <w:tc>
          <w:tcPr>
            <w:tcW w:w="17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24.3315</w:t>
            </w:r>
          </w:p>
        </w:tc>
        <w:tc>
          <w:tcPr>
            <w:tcW w:w="1930"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19.9145</w:t>
            </w:r>
          </w:p>
        </w:tc>
        <w:tc>
          <w:tcPr>
            <w:tcW w:w="917"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061"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81.85</w:t>
            </w:r>
          </w:p>
        </w:tc>
        <w:tc>
          <w:tcPr>
            <w:tcW w:w="498"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7</w:t>
            </w:r>
          </w:p>
        </w:tc>
      </w:tr>
      <w:tr>
        <w:tblPrEx>
          <w:tblCellMar>
            <w:top w:w="0" w:type="dxa"/>
            <w:left w:w="108" w:type="dxa"/>
            <w:bottom w:w="0" w:type="dxa"/>
            <w:right w:w="108" w:type="dxa"/>
          </w:tblCellMar>
        </w:tblPrEx>
        <w:trPr>
          <w:trHeight w:val="90" w:hRule="atLeast"/>
        </w:trPr>
        <w:tc>
          <w:tcPr>
            <w:tcW w:w="1659"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其中：财政拨款</w:t>
            </w:r>
          </w:p>
        </w:tc>
        <w:tc>
          <w:tcPr>
            <w:tcW w:w="17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0</w:t>
            </w:r>
          </w:p>
        </w:tc>
        <w:tc>
          <w:tcPr>
            <w:tcW w:w="1930"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0</w:t>
            </w:r>
          </w:p>
        </w:tc>
        <w:tc>
          <w:tcPr>
            <w:tcW w:w="917"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c>
          <w:tcPr>
            <w:tcW w:w="1061"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0</w:t>
            </w:r>
          </w:p>
        </w:tc>
        <w:tc>
          <w:tcPr>
            <w:tcW w:w="498"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r>
      <w:tr>
        <w:tblPrEx>
          <w:tblCellMar>
            <w:top w:w="0" w:type="dxa"/>
            <w:left w:w="108" w:type="dxa"/>
            <w:bottom w:w="0" w:type="dxa"/>
            <w:right w:w="108" w:type="dxa"/>
          </w:tblCellMar>
        </w:tblPrEx>
        <w:trPr>
          <w:trHeight w:val="90" w:hRule="atLeast"/>
        </w:trPr>
        <w:tc>
          <w:tcPr>
            <w:tcW w:w="9220" w:type="dxa"/>
            <w:gridSpan w:val="16"/>
            <w:tcBorders>
              <w:top w:val="single" w:color="auto" w:sz="4" w:space="0"/>
              <w:left w:val="single" w:color="auto" w:sz="4" w:space="0"/>
              <w:bottom w:val="single" w:color="auto" w:sz="4" w:space="0"/>
              <w:right w:val="nil"/>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1659"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执行率偏差原因及整改措施</w:t>
            </w:r>
          </w:p>
        </w:tc>
        <w:tc>
          <w:tcPr>
            <w:tcW w:w="7561" w:type="dxa"/>
            <w:gridSpan w:val="12"/>
            <w:tcBorders>
              <w:top w:val="single" w:color="auto" w:sz="4" w:space="0"/>
              <w:left w:val="nil"/>
              <w:bottom w:val="single" w:color="auto" w:sz="4" w:space="0"/>
              <w:right w:val="single" w:color="auto" w:sz="4" w:space="0"/>
            </w:tcBorders>
            <w:noWrap/>
            <w:vAlign w:val="top"/>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1659" w:type="dxa"/>
            <w:gridSpan w:val="4"/>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年度总体目标</w:t>
            </w:r>
          </w:p>
        </w:tc>
        <w:tc>
          <w:tcPr>
            <w:tcW w:w="3155" w:type="dxa"/>
            <w:gridSpan w:val="4"/>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预期目标</w:t>
            </w:r>
          </w:p>
        </w:tc>
        <w:tc>
          <w:tcPr>
            <w:tcW w:w="4406" w:type="dxa"/>
            <w:gridSpan w:val="8"/>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实际完成情况</w:t>
            </w:r>
          </w:p>
        </w:tc>
      </w:tr>
      <w:tr>
        <w:tblPrEx>
          <w:tblCellMar>
            <w:top w:w="0" w:type="dxa"/>
            <w:left w:w="108" w:type="dxa"/>
            <w:bottom w:w="0" w:type="dxa"/>
            <w:right w:w="108" w:type="dxa"/>
          </w:tblCellMar>
        </w:tblPrEx>
        <w:trPr>
          <w:trHeight w:val="90" w:hRule="atLeast"/>
        </w:trPr>
        <w:tc>
          <w:tcPr>
            <w:tcW w:w="1659"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3155" w:type="dxa"/>
            <w:gridSpan w:val="4"/>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高兴镇标准化示范蜂场及蜂场设</w:t>
            </w:r>
          </w:p>
        </w:tc>
        <w:tc>
          <w:tcPr>
            <w:tcW w:w="4406" w:type="dxa"/>
            <w:gridSpan w:val="8"/>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r>
              <w:rPr>
                <w:rFonts w:hint="eastAsia" w:ascii="宋体" w:hAnsi="宋体" w:cs="宋体"/>
                <w:color w:val="auto"/>
                <w:kern w:val="0"/>
                <w:sz w:val="22"/>
                <w:highlight w:val="none"/>
              </w:rPr>
              <w:t>完成工程项目，项目审计慢</w:t>
            </w:r>
          </w:p>
        </w:tc>
      </w:tr>
      <w:tr>
        <w:tblPrEx>
          <w:tblCellMar>
            <w:top w:w="0" w:type="dxa"/>
            <w:left w:w="108" w:type="dxa"/>
            <w:bottom w:w="0" w:type="dxa"/>
            <w:right w:w="108" w:type="dxa"/>
          </w:tblCellMar>
        </w:tblPrEx>
        <w:trPr>
          <w:trHeight w:val="90" w:hRule="atLeast"/>
        </w:trPr>
        <w:tc>
          <w:tcPr>
            <w:tcW w:w="4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202" w:type="dxa"/>
            <w:gridSpan w:val="3"/>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一级指标</w:t>
            </w:r>
          </w:p>
        </w:tc>
        <w:tc>
          <w:tcPr>
            <w:tcW w:w="136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二级指标</w:t>
            </w:r>
          </w:p>
        </w:tc>
        <w:tc>
          <w:tcPr>
            <w:tcW w:w="178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三级指标</w:t>
            </w:r>
          </w:p>
        </w:tc>
        <w:tc>
          <w:tcPr>
            <w:tcW w:w="1464" w:type="dxa"/>
            <w:gridSpan w:val="3"/>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实际完成值</w:t>
            </w:r>
          </w:p>
        </w:tc>
        <w:tc>
          <w:tcPr>
            <w:tcW w:w="46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分值</w:t>
            </w:r>
          </w:p>
        </w:tc>
        <w:tc>
          <w:tcPr>
            <w:tcW w:w="917"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得分</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偏差原因及整改措施</w:t>
            </w:r>
          </w:p>
        </w:tc>
      </w:tr>
      <w:tr>
        <w:tblPrEx>
          <w:tblCellMar>
            <w:top w:w="0" w:type="dxa"/>
            <w:left w:w="108" w:type="dxa"/>
            <w:bottom w:w="0" w:type="dxa"/>
            <w:right w:w="108" w:type="dxa"/>
          </w:tblCellMar>
        </w:tblPrEx>
        <w:trPr>
          <w:trHeight w:val="90" w:hRule="atLeast"/>
        </w:trPr>
        <w:tc>
          <w:tcPr>
            <w:tcW w:w="457" w:type="dxa"/>
            <w:vMerge w:val="restart"/>
            <w:tcBorders>
              <w:top w:val="nil"/>
              <w:left w:val="single" w:color="auto" w:sz="4" w:space="0"/>
              <w:bottom w:val="single" w:color="auto" w:sz="4" w:space="0"/>
              <w:right w:val="single" w:color="auto" w:sz="4" w:space="0"/>
            </w:tcBorders>
            <w:noWrap/>
            <w:textDirection w:val="tbRlV"/>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绩效目标</w:t>
            </w:r>
          </w:p>
        </w:tc>
        <w:tc>
          <w:tcPr>
            <w:tcW w:w="1202" w:type="dxa"/>
            <w:gridSpan w:val="3"/>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产出指标</w:t>
            </w: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数量</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资金拨付及时性（%）</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质量</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考核质量达标率（%）</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15</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时效</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工程完工率（%）</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100%</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成本</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三算一致性（%）</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效益指标</w:t>
            </w: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经济效益</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经济效益</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50万元</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社会效益</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社会公众满意度（%）</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生态效益</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农村环境生态环境改善情况</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可持续影响</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4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2"/>
                <w:highlight w:val="none"/>
              </w:rPr>
            </w:pPr>
          </w:p>
        </w:tc>
        <w:tc>
          <w:tcPr>
            <w:tcW w:w="1202"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满意度</w:t>
            </w:r>
          </w:p>
        </w:tc>
        <w:tc>
          <w:tcPr>
            <w:tcW w:w="1369"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满意度</w:t>
            </w:r>
          </w:p>
        </w:tc>
        <w:tc>
          <w:tcPr>
            <w:tcW w:w="1786" w:type="dxa"/>
            <w:gridSpan w:val="2"/>
            <w:tcBorders>
              <w:top w:val="nil"/>
              <w:left w:val="nil"/>
              <w:bottom w:val="single" w:color="auto" w:sz="4" w:space="0"/>
              <w:right w:val="nil"/>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群众满意度（%）</w:t>
            </w:r>
          </w:p>
        </w:tc>
        <w:tc>
          <w:tcPr>
            <w:tcW w:w="146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95%</w:t>
            </w:r>
          </w:p>
        </w:tc>
        <w:tc>
          <w:tcPr>
            <w:tcW w:w="466"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9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10</w:t>
            </w:r>
          </w:p>
        </w:tc>
        <w:tc>
          <w:tcPr>
            <w:tcW w:w="155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9220" w:type="dxa"/>
            <w:gridSpan w:val="16"/>
            <w:tcBorders>
              <w:top w:val="single" w:color="auto" w:sz="4" w:space="0"/>
              <w:left w:val="single" w:color="auto" w:sz="4" w:space="0"/>
              <w:bottom w:val="single" w:color="auto" w:sz="4" w:space="0"/>
              <w:right w:val="nil"/>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CellMar>
            <w:top w:w="0" w:type="dxa"/>
            <w:left w:w="108" w:type="dxa"/>
            <w:bottom w:w="0" w:type="dxa"/>
            <w:right w:w="108" w:type="dxa"/>
          </w:tblCellMar>
        </w:tblPrEx>
        <w:trPr>
          <w:trHeight w:val="90" w:hRule="atLeast"/>
        </w:trPr>
        <w:tc>
          <w:tcPr>
            <w:tcW w:w="6278" w:type="dxa"/>
            <w:gridSpan w:val="11"/>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总分</w:t>
            </w:r>
          </w:p>
        </w:tc>
        <w:tc>
          <w:tcPr>
            <w:tcW w:w="46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w:t>
            </w:r>
          </w:p>
        </w:tc>
        <w:tc>
          <w:tcPr>
            <w:tcW w:w="917"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97</w:t>
            </w:r>
          </w:p>
        </w:tc>
        <w:tc>
          <w:tcPr>
            <w:tcW w:w="1559"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auto"/>
                <w:kern w:val="0"/>
                <w:sz w:val="22"/>
                <w:highlight w:val="none"/>
              </w:rPr>
            </w:pPr>
            <w:r>
              <w:rPr>
                <w:rFonts w:hint="eastAsia" w:ascii="宋体" w:hAnsi="宋体" w:cs="宋体"/>
                <w:color w:val="auto"/>
                <w:kern w:val="0"/>
                <w:sz w:val="22"/>
                <w:highlight w:val="none"/>
              </w:rPr>
              <w:t>　</w:t>
            </w:r>
          </w:p>
        </w:tc>
      </w:tr>
    </w:tbl>
    <w:p>
      <w:pPr>
        <w:numPr>
          <w:ilvl w:val="0"/>
          <w:numId w:val="0"/>
        </w:numPr>
        <w:spacing w:line="600" w:lineRule="exact"/>
        <w:jc w:val="both"/>
        <w:rPr>
          <w:rFonts w:hint="eastAsia" w:ascii="方正小标宋简体" w:hAnsi="方正小标宋简体" w:eastAsia="方正小标宋简体" w:cs="方正小标宋简体"/>
          <w:color w:val="auto"/>
          <w:sz w:val="44"/>
          <w:szCs w:val="44"/>
          <w:highlight w:val="none"/>
        </w:rPr>
      </w:pPr>
    </w:p>
    <w:sectPr>
      <w:headerReference r:id="rId5" w:type="first"/>
      <w:footerReference r:id="rId8" w:type="first"/>
      <w:headerReference r:id="rId3" w:type="default"/>
      <w:footerReference r:id="rId6" w:type="default"/>
      <w:headerReference r:id="rId4" w:type="even"/>
      <w:footerReference r:id="rId7" w:type="even"/>
      <w:pgSz w:w="11906" w:h="16838"/>
      <w:pgMar w:top="1587" w:right="1474" w:bottom="1417" w:left="1134" w:header="851" w:footer="1417" w:gutter="0"/>
      <w:pgNumType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E14B89-EC36-48AB-B2C3-786F5B2135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0409922C-9585-40A8-9E2D-E63CF871C884}"/>
  </w:font>
  <w:font w:name="方正小标宋简体">
    <w:panose1 w:val="03000509000000000000"/>
    <w:charset w:val="86"/>
    <w:family w:val="auto"/>
    <w:pitch w:val="default"/>
    <w:sig w:usb0="00000001" w:usb1="080E0000" w:usb2="00000000" w:usb3="00000000" w:csb0="00040000" w:csb1="00000000"/>
    <w:embedRegular r:id="rId3" w:fontKey="{8A61C9B2-8469-4CD8-9BE5-C336820DA459}"/>
  </w:font>
  <w:font w:name="仿宋_GB2312">
    <w:panose1 w:val="02010609030101010101"/>
    <w:charset w:val="86"/>
    <w:family w:val="modern"/>
    <w:pitch w:val="default"/>
    <w:sig w:usb0="00000001" w:usb1="080E0000" w:usb2="00000000" w:usb3="00000000" w:csb0="00040000" w:csb1="00000000"/>
    <w:embedRegular r:id="rId4" w:fontKey="{06B94D8C-7A0B-43AD-802E-F91D9C4C6C63}"/>
  </w:font>
  <w:font w:name="楷体_GB2312">
    <w:panose1 w:val="02010609030101010101"/>
    <w:charset w:val="86"/>
    <w:family w:val="auto"/>
    <w:pitch w:val="default"/>
    <w:sig w:usb0="00000001" w:usb1="080E0000" w:usb2="00000000" w:usb3="00000000" w:csb0="00040000" w:csb1="00000000"/>
    <w:embedRegular r:id="rId5" w:fontKey="{8F553876-C7F7-419F-837C-8414779DA865}"/>
  </w:font>
  <w:font w:name="仿宋">
    <w:panose1 w:val="02010609060101010101"/>
    <w:charset w:val="86"/>
    <w:family w:val="modern"/>
    <w:pitch w:val="default"/>
    <w:sig w:usb0="800002BF" w:usb1="38CF7CFA" w:usb2="00000016" w:usb3="00000000" w:csb0="00040001" w:csb1="00000000"/>
    <w:embedRegular r:id="rId6" w:fontKey="{7F75F078-5EBE-486D-9949-CFED6CCC702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11835" cy="230505"/>
              <wp:effectExtent l="0" t="0" r="0" b="0"/>
              <wp:wrapNone/>
              <wp:docPr id="14" name="文本框 1"/>
              <wp:cNvGraphicFramePr/>
              <a:graphic xmlns:a="http://schemas.openxmlformats.org/drawingml/2006/main">
                <a:graphicData uri="http://schemas.microsoft.com/office/word/2010/wordprocessingShape">
                  <wps:wsp>
                    <wps:cNvSpPr txBox="1"/>
                    <wps:spPr>
                      <a:xfrm>
                        <a:off x="0" y="0"/>
                        <a:ext cx="711835" cy="230505"/>
                      </a:xfrm>
                      <a:prstGeom prst="rect">
                        <a:avLst/>
                      </a:prstGeom>
                      <a:noFill/>
                      <a:ln>
                        <a:noFill/>
                      </a:ln>
                    </wps:spPr>
                    <wps:txbx>
                      <w:txbxContent>
                        <w:p>
                          <w:pPr>
                            <w:pStyle w:val="4"/>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t>—</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8.15pt;width:56.05pt;mso-position-horizontal:outside;mso-position-horizontal-relative:margin;mso-wrap-style:none;z-index:251659264;mso-width-relative:page;mso-height-relative:page;" filled="f" stroked="f" coordsize="21600,21600" o:gfxdata="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HlRLzLRAAAABAEAAA8AAAAAAAAAAQAgAAAAIgAAAGRycy9kb3du&#10;cmV2LnhtbFBLAQIUABQAAAAIAIdO4kDcZVFszQEAAJgDAAAOAAAAAAAAAAEAIAAAACABAABkcnMv&#10;ZTJvRG9jLnhtbFBLBQYAAAAABgAGAFkBAABfBQAAAAA=&#10;">
              <v:fill on="f" focussize="0,0"/>
              <v:stroke on="f"/>
              <v:imagedata o:title=""/>
              <o:lock v:ext="edit" aspectratio="f"/>
              <v:textbox inset="0mm,0mm,0mm,0mm" style="mso-fit-shape-to-text:t;">
                <w:txbxContent>
                  <w:p>
                    <w:pPr>
                      <w:pStyle w:val="4"/>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23</w:t>
                    </w:r>
                    <w:r>
                      <w:rPr>
                        <w:rFonts w:hint="eastAsia" w:ascii="宋体" w:hAnsi="宋体" w:cs="宋体"/>
                        <w:sz w:val="28"/>
                        <w:szCs w:val="28"/>
                      </w:rPr>
                      <w:fldChar w:fldCharType="end"/>
                    </w:r>
                    <w:r>
                      <w:rPr>
                        <w:rFonts w:hint="eastAsia" w:ascii="宋体" w:hAnsi="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F37C3E"/>
    <w:multiLevelType w:val="singleLevel"/>
    <w:tmpl w:val="2EF37C3E"/>
    <w:lvl w:ilvl="0" w:tentative="0">
      <w:start w:val="5"/>
      <w:numFmt w:val="chineseCounting"/>
      <w:suff w:val="space"/>
      <w:lvlText w:val="第%1部分"/>
      <w:lvlJc w:val="left"/>
      <w:rPr>
        <w:rFonts w:hint="eastAsia"/>
      </w:rPr>
    </w:lvl>
  </w:abstractNum>
  <w:abstractNum w:abstractNumId="1">
    <w:nsid w:val="4ED1D272"/>
    <w:multiLevelType w:val="singleLevel"/>
    <w:tmpl w:val="4ED1D27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3ZWJjZDFkNzQxZTkwMzI2NmJiZjQ0MTI5NjhlYTQifQ=="/>
  </w:docVars>
  <w:rsids>
    <w:rsidRoot w:val="00172A27"/>
    <w:rsid w:val="00194468"/>
    <w:rsid w:val="002C38CE"/>
    <w:rsid w:val="003736B7"/>
    <w:rsid w:val="00376A26"/>
    <w:rsid w:val="004A6499"/>
    <w:rsid w:val="00631764"/>
    <w:rsid w:val="00653549"/>
    <w:rsid w:val="006F26BA"/>
    <w:rsid w:val="00707C76"/>
    <w:rsid w:val="00734115"/>
    <w:rsid w:val="007656DB"/>
    <w:rsid w:val="007B16D7"/>
    <w:rsid w:val="008A382E"/>
    <w:rsid w:val="00903CA6"/>
    <w:rsid w:val="009237EA"/>
    <w:rsid w:val="00943A4E"/>
    <w:rsid w:val="00A27A9C"/>
    <w:rsid w:val="00AF672F"/>
    <w:rsid w:val="00BC52C9"/>
    <w:rsid w:val="00D924C3"/>
    <w:rsid w:val="00DB0BC7"/>
    <w:rsid w:val="00E04248"/>
    <w:rsid w:val="00E31A0D"/>
    <w:rsid w:val="00EF09E0"/>
    <w:rsid w:val="00F00340"/>
    <w:rsid w:val="00F01C99"/>
    <w:rsid w:val="00F73DBD"/>
    <w:rsid w:val="00FA6EB5"/>
    <w:rsid w:val="00FE7C2A"/>
    <w:rsid w:val="0121313F"/>
    <w:rsid w:val="076D374E"/>
    <w:rsid w:val="08C4255F"/>
    <w:rsid w:val="0A17634F"/>
    <w:rsid w:val="0A655902"/>
    <w:rsid w:val="0A770B95"/>
    <w:rsid w:val="0B485C04"/>
    <w:rsid w:val="0EA75D9A"/>
    <w:rsid w:val="0EBE0AB4"/>
    <w:rsid w:val="0F5054C6"/>
    <w:rsid w:val="0F541B90"/>
    <w:rsid w:val="10246EEB"/>
    <w:rsid w:val="11A61B2C"/>
    <w:rsid w:val="124B5167"/>
    <w:rsid w:val="138253AD"/>
    <w:rsid w:val="16FC47B8"/>
    <w:rsid w:val="17636C08"/>
    <w:rsid w:val="18122978"/>
    <w:rsid w:val="19053C22"/>
    <w:rsid w:val="194160B8"/>
    <w:rsid w:val="195A6CF6"/>
    <w:rsid w:val="1A2E751A"/>
    <w:rsid w:val="1B562253"/>
    <w:rsid w:val="1C9F6334"/>
    <w:rsid w:val="1F0E682A"/>
    <w:rsid w:val="202D7E2E"/>
    <w:rsid w:val="23AE2541"/>
    <w:rsid w:val="240A09E0"/>
    <w:rsid w:val="24201257"/>
    <w:rsid w:val="249100E9"/>
    <w:rsid w:val="274A4FD5"/>
    <w:rsid w:val="297F4D32"/>
    <w:rsid w:val="298C4C0E"/>
    <w:rsid w:val="29D26308"/>
    <w:rsid w:val="29E14C3E"/>
    <w:rsid w:val="2B953A38"/>
    <w:rsid w:val="2D9519C3"/>
    <w:rsid w:val="2E36470C"/>
    <w:rsid w:val="2E966C28"/>
    <w:rsid w:val="2E9C7730"/>
    <w:rsid w:val="2F945E80"/>
    <w:rsid w:val="2FDD0FE4"/>
    <w:rsid w:val="3007192A"/>
    <w:rsid w:val="34D756E7"/>
    <w:rsid w:val="366D62CE"/>
    <w:rsid w:val="36716B17"/>
    <w:rsid w:val="3A8723CC"/>
    <w:rsid w:val="3C27476B"/>
    <w:rsid w:val="3D0F50C1"/>
    <w:rsid w:val="3FA0387F"/>
    <w:rsid w:val="409E4722"/>
    <w:rsid w:val="4129422F"/>
    <w:rsid w:val="4188273A"/>
    <w:rsid w:val="42486415"/>
    <w:rsid w:val="436E45C4"/>
    <w:rsid w:val="437B31CE"/>
    <w:rsid w:val="45837FCF"/>
    <w:rsid w:val="46202199"/>
    <w:rsid w:val="47A75357"/>
    <w:rsid w:val="487E3E45"/>
    <w:rsid w:val="4AB85A1B"/>
    <w:rsid w:val="4B260AF5"/>
    <w:rsid w:val="4D6F3997"/>
    <w:rsid w:val="4E8A037B"/>
    <w:rsid w:val="4EED34E2"/>
    <w:rsid w:val="508634C3"/>
    <w:rsid w:val="540D3DDF"/>
    <w:rsid w:val="542E714C"/>
    <w:rsid w:val="54BA05FB"/>
    <w:rsid w:val="54C37059"/>
    <w:rsid w:val="561D5DFC"/>
    <w:rsid w:val="578255AE"/>
    <w:rsid w:val="57C35C95"/>
    <w:rsid w:val="57DA6522"/>
    <w:rsid w:val="589B7671"/>
    <w:rsid w:val="58BC455C"/>
    <w:rsid w:val="59500529"/>
    <w:rsid w:val="59D026DC"/>
    <w:rsid w:val="5D037EF9"/>
    <w:rsid w:val="5E2341D4"/>
    <w:rsid w:val="625471AD"/>
    <w:rsid w:val="62D67FA6"/>
    <w:rsid w:val="633B56D1"/>
    <w:rsid w:val="647D638E"/>
    <w:rsid w:val="649A7248"/>
    <w:rsid w:val="66095C78"/>
    <w:rsid w:val="660D3CB9"/>
    <w:rsid w:val="663B73C7"/>
    <w:rsid w:val="67874F61"/>
    <w:rsid w:val="68FE035D"/>
    <w:rsid w:val="6D7C1813"/>
    <w:rsid w:val="70311EB7"/>
    <w:rsid w:val="72364A4F"/>
    <w:rsid w:val="734D06AA"/>
    <w:rsid w:val="741B78DB"/>
    <w:rsid w:val="77402A6F"/>
    <w:rsid w:val="775D03C6"/>
    <w:rsid w:val="784E0692"/>
    <w:rsid w:val="796278F6"/>
    <w:rsid w:val="797359FC"/>
    <w:rsid w:val="7A52347F"/>
    <w:rsid w:val="7D8D6FB6"/>
    <w:rsid w:val="7E63061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8"/>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批注框文本 Char"/>
    <w:basedOn w:val="7"/>
    <w:link w:val="3"/>
    <w:qFormat/>
    <w:uiPriority w:val="0"/>
    <w:rPr>
      <w:sz w:val="18"/>
      <w:szCs w:val="18"/>
    </w:rPr>
  </w:style>
  <w:style w:type="character" w:customStyle="1" w:styleId="9">
    <w:name w:val="页脚 Char"/>
    <w:basedOn w:val="7"/>
    <w:link w:val="4"/>
    <w:qFormat/>
    <w:uiPriority w:val="0"/>
    <w:rPr>
      <w:sz w:val="18"/>
      <w:szCs w:val="18"/>
    </w:rPr>
  </w:style>
  <w:style w:type="character" w:customStyle="1" w:styleId="10">
    <w:name w:val="页眉 Char"/>
    <w:basedOn w:val="7"/>
    <w:link w:val="5"/>
    <w:qFormat/>
    <w:uiPriority w:val="0"/>
    <w:rPr>
      <w:sz w:val="18"/>
      <w:szCs w:val="18"/>
    </w:rPr>
  </w:style>
  <w:style w:type="paragraph" w:customStyle="1" w:styleId="11">
    <w:name w:val="p0"/>
    <w:basedOn w:val="1"/>
    <w:qFormat/>
    <w:uiPriority w:val="0"/>
    <w:pPr>
      <w:widowControl/>
    </w:pPr>
    <w:rPr>
      <w:kern w:val="0"/>
      <w:szCs w:val="21"/>
    </w:rPr>
  </w:style>
  <w:style w:type="character" w:customStyle="1" w:styleId="12">
    <w:name w:val="16"/>
    <w:basedOn w:val="7"/>
    <w:qFormat/>
    <w:uiPriority w:val="0"/>
    <w:rPr>
      <w:rFonts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emf"/><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Hewlett-Packard Company</Company>
  <Pages>28</Pages>
  <Words>5405</Words>
  <Characters>6119</Characters>
  <Lines>216</Lines>
  <Paragraphs>61</Paragraphs>
  <TotalTime>5</TotalTime>
  <ScaleCrop>false</ScaleCrop>
  <LinksUpToDate>false</LinksUpToDate>
  <CharactersWithSpaces>6160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2023-10-13T07:41:00Z</dcterms:created>
  <dc:creator>Administrator</dc:creator>
  <cp:lastModifiedBy>浪子膏</cp:lastModifiedBy>
  <cp:lastPrinted>2023-07-26T07:28:00Z</cp:lastPrinted>
  <dcterms:modified xsi:type="dcterms:W3CDTF">2024-06-18T08:23:14Z</dcterms:modified>
  <dc:title>附件1</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29CBF7CAE00E4F9AAB5D26538E6CE0F5_13</vt:lpwstr>
  </property>
</Properties>
</file>