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both"/>
        <w:rPr>
          <w:rFonts w:hint="eastAsia" w:ascii="楷体" w:hAnsi="楷体" w:eastAsia="楷体" w:cs="楷体"/>
          <w:sz w:val="30"/>
          <w:szCs w:val="30"/>
          <w:lang w:val="en-US" w:eastAsia="zh-CN"/>
        </w:rPr>
      </w:pPr>
    </w:p>
    <w:p>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兴国县永丰镇人民政府2024年度部门决算</w:t>
      </w:r>
    </w:p>
    <w:p>
      <w:pPr>
        <w:spacing w:line="600" w:lineRule="exact"/>
        <w:jc w:val="center"/>
        <w:rPr>
          <w:rFonts w:hint="eastAsia" w:ascii="黑体" w:eastAsia="黑体"/>
          <w:sz w:val="44"/>
          <w:szCs w:val="36"/>
          <w:lang w:val="en-US" w:eastAsia="zh-CN"/>
        </w:rPr>
      </w:pPr>
    </w:p>
    <w:p>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pPr>
        <w:widowControl/>
        <w:spacing w:line="600" w:lineRule="exact"/>
        <w:ind w:firstLine="640"/>
        <w:jc w:val="left"/>
        <w:rPr>
          <w:rFonts w:hint="eastAsia" w:ascii="仿宋_GB2312" w:eastAsia="仿宋_GB2312"/>
          <w:sz w:val="32"/>
          <w:szCs w:val="30"/>
          <w:lang w:val="en-US" w:eastAsia="zh-CN"/>
        </w:rPr>
      </w:pPr>
    </w:p>
    <w:p>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兴国县永丰镇人民政府概况</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pPr>
        <w:pageBreakBefore/>
        <w:jc w:val="both"/>
        <w:rPr>
          <w:rFonts w:hint="eastAsia"/>
          <w:sz w:val="32"/>
          <w:szCs w:val="32"/>
          <w:lang w:val="en-US" w:eastAsia="zh-CN"/>
        </w:rPr>
      </w:pPr>
    </w:p>
    <w:p>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兴国县永丰镇人民政府概况</w:t>
      </w:r>
    </w:p>
    <w:p>
      <w:pPr>
        <w:ind w:firstLine="630"/>
        <w:jc w:val="center"/>
        <w:rPr>
          <w:rFonts w:hint="eastAsia"/>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pPr>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shd w:val="clear" w:color="auto" w:fill="FFFFFF"/>
        </w:rPr>
        <w:t>1、制定和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组织</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实施经济、科技和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计划，制定</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资源开发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技术改造和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产业结构</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调整方案，组织指导好各业生产，搞好商品流通，协调好本</w:t>
      </w:r>
      <w:r>
        <w:rPr>
          <w:rFonts w:hint="eastAsia" w:ascii="仿宋" w:hAnsi="仿宋" w:eastAsia="仿宋" w:cs="仿宋"/>
          <w:i w:val="0"/>
          <w:caps w:val="0"/>
          <w:color w:val="auto"/>
          <w:spacing w:val="0"/>
          <w:sz w:val="32"/>
          <w:szCs w:val="32"/>
          <w:shd w:val="clear" w:color="auto" w:fill="FFFFFF"/>
          <w:lang w:eastAsia="zh-CN"/>
        </w:rPr>
        <w:t>镇</w:t>
      </w:r>
      <w:r>
        <w:rPr>
          <w:rFonts w:hint="eastAsia" w:ascii="仿宋" w:hAnsi="仿宋" w:eastAsia="仿宋" w:cs="仿宋"/>
          <w:i w:val="0"/>
          <w:caps w:val="0"/>
          <w:color w:val="auto"/>
          <w:spacing w:val="0"/>
          <w:sz w:val="32"/>
          <w:szCs w:val="32"/>
          <w:shd w:val="clear" w:color="auto" w:fill="FFFFFF"/>
        </w:rPr>
        <w:t>与外地区的经济交流与合作，抓好招商引资，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人才</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引进项目</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开发，不断培育</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市场体系</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，组织经济运行，促进</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经济发展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2、制定并组织实施</w:t>
      </w:r>
      <w:r>
        <w:rPr>
          <w:rFonts w:hint="eastAsia" w:ascii="仿宋" w:hAnsi="仿宋" w:eastAsia="仿宋" w:cs="仿宋"/>
          <w:i w:val="0"/>
          <w:caps w:val="0"/>
          <w:color w:val="auto"/>
          <w:spacing w:val="0"/>
          <w:sz w:val="32"/>
          <w:szCs w:val="32"/>
          <w:shd w:val="clear" w:color="auto" w:fill="FFFFFF"/>
          <w:lang w:eastAsia="zh-CN"/>
        </w:rPr>
        <w:t>镇村</w:t>
      </w:r>
      <w:r>
        <w:rPr>
          <w:rFonts w:hint="eastAsia" w:ascii="仿宋" w:hAnsi="仿宋" w:eastAsia="仿宋" w:cs="仿宋"/>
          <w:i w:val="0"/>
          <w:caps w:val="0"/>
          <w:color w:val="auto"/>
          <w:spacing w:val="0"/>
          <w:sz w:val="32"/>
          <w:szCs w:val="32"/>
          <w:shd w:val="clear" w:color="auto" w:fill="FFFFFF"/>
        </w:rPr>
        <w:t>建设</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规划</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，部署重点工程建设，地方道路建设及公共设施，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水利设施</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的管理，负责</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土地</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林木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、水等自然资源和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生态环境</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的保护，做好护林防火工作。</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3、负责本行政区域内的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民政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"http://www.so.com/s?q=%E8%AE%A1%E5%88%92%E7%94%9F%E8%82%B2&amp;ie=utf-8&amp;src=internal_wenda_recommend_textn"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计划生育</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、文化教育、卫生、体育等</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公益事业的综合性工作，维护一切经济单位和个人的正当经济</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权益</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，取缔非法</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经济活动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，调解和处理</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民事纠纷</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，打击刑事犯罪维护社会稳定。</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4、按计划组织</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本级财政收入</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和税</w:t>
      </w:r>
      <w:r>
        <w:rPr>
          <w:rFonts w:hint="eastAsia" w:ascii="仿宋" w:hAnsi="仿宋" w:eastAsia="仿宋" w:cs="仿宋"/>
          <w:i w:val="0"/>
          <w:caps w:val="0"/>
          <w:color w:val="auto"/>
          <w:spacing w:val="0"/>
          <w:sz w:val="32"/>
          <w:szCs w:val="32"/>
          <w:shd w:val="clear" w:color="auto" w:fill="FFFFFF"/>
          <w:lang w:eastAsia="zh-CN"/>
        </w:rPr>
        <w:t>收</w:t>
      </w:r>
      <w:r>
        <w:rPr>
          <w:rFonts w:hint="eastAsia" w:ascii="仿宋" w:hAnsi="仿宋" w:eastAsia="仿宋" w:cs="仿宋"/>
          <w:i w:val="0"/>
          <w:caps w:val="0"/>
          <w:color w:val="auto"/>
          <w:spacing w:val="0"/>
          <w:sz w:val="32"/>
          <w:szCs w:val="32"/>
          <w:shd w:val="clear" w:color="auto" w:fill="FFFFFF"/>
        </w:rPr>
        <w:t>的征收，完成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国家财政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计划，不断培植</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税源</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，管好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财政资金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，增强财政实力。</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5、抓好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精神文明建设</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，丰富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群众文化</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生活，提倡移风易俗，反对封建迷信，破除陈规陋习，树立</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社会主义</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新风尚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6、完成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上级</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政府交办的其它</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事项</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pPr>
        <w:ind w:firstLine="630"/>
        <w:jc w:val="left"/>
        <w:rPr>
          <w:rFonts w:hint="eastAsia" w:ascii="仿宋_GB2312" w:hAnsi="仿宋_GB2312" w:eastAsia="仿宋_GB2312"/>
          <w:sz w:val="32"/>
          <w:szCs w:val="32"/>
          <w:lang w:val="en-US" w:eastAsia="zh-CN"/>
        </w:rPr>
      </w:pPr>
    </w:p>
    <w:p>
      <w:pPr>
        <w:jc w:val="left"/>
        <w:rPr>
          <w:rFonts w:hint="eastAsia" w:ascii="仿宋_GB2312" w:hAnsi="仿宋_GB2312" w:eastAsia="仿宋_GB2312"/>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兴国县永丰镇人民政府（本级）。</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cs="Times New Roman"/>
          <w:sz w:val="32"/>
          <w:szCs w:val="32"/>
          <w:lang w:val="en-US" w:eastAsia="zh-CN"/>
        </w:rPr>
        <w:t>兴国县永丰镇人民政府（本级）</w:t>
      </w:r>
      <w:r>
        <w:rPr>
          <w:rFonts w:hint="eastAsia" w:ascii="仿宋_GB2312" w:hAnsi="仿宋_GB2312" w:eastAsia="仿宋_GB2312"/>
          <w:sz w:val="32"/>
          <w:szCs w:val="32"/>
          <w:lang w:val="en-US" w:eastAsia="zh-CN"/>
        </w:rPr>
        <w:t>设立5个内设机构，分别是：</w:t>
      </w:r>
      <w:r>
        <w:rPr>
          <w:rFonts w:hint="eastAsia" w:ascii="仿宋" w:hAnsi="仿宋" w:eastAsia="仿宋"/>
          <w:color w:val="auto"/>
          <w:sz w:val="32"/>
          <w:szCs w:val="32"/>
          <w:lang w:eastAsia="zh-CN"/>
        </w:rPr>
        <w:t>党政</w:t>
      </w:r>
      <w:r>
        <w:rPr>
          <w:rFonts w:hint="eastAsia" w:ascii="仿宋" w:hAnsi="仿宋" w:eastAsia="仿宋"/>
          <w:color w:val="auto"/>
          <w:sz w:val="32"/>
          <w:szCs w:val="32"/>
        </w:rPr>
        <w:t>办公室、</w:t>
      </w:r>
      <w:r>
        <w:rPr>
          <w:rFonts w:hint="eastAsia" w:ascii="仿宋" w:hAnsi="仿宋" w:eastAsia="仿宋"/>
          <w:color w:val="auto"/>
          <w:sz w:val="32"/>
          <w:szCs w:val="32"/>
          <w:lang w:eastAsia="zh-CN"/>
        </w:rPr>
        <w:t>经济发展办公室、民生服务办公室、党建办公室、平安法治办公室</w:t>
      </w:r>
      <w:r>
        <w:rPr>
          <w:rFonts w:hint="eastAsia" w:ascii="仿宋_GB2312" w:hAnsi="仿宋_GB2312" w:eastAsia="仿宋_GB2312"/>
          <w:sz w:val="32"/>
          <w:szCs w:val="32"/>
          <w:lang w:val="en-US" w:eastAsia="zh-CN"/>
        </w:rPr>
        <w:t>。</w:t>
      </w:r>
    </w:p>
    <w:p>
      <w:pPr>
        <w:ind w:firstLine="640" w:firstLineChars="200"/>
        <w:jc w:val="left"/>
        <w:rPr>
          <w:rFonts w:hint="eastAsia"/>
          <w:lang w:val="en-US" w:eastAsia="zh-CN"/>
        </w:rPr>
      </w:pPr>
      <w:r>
        <w:rPr>
          <w:rFonts w:hint="eastAsia" w:ascii="仿宋_GB2312" w:hAnsi="仿宋_GB2312" w:eastAsia="仿宋_GB2312"/>
          <w:sz w:val="32"/>
          <w:szCs w:val="32"/>
          <w:lang w:val="en-US" w:eastAsia="zh-CN"/>
        </w:rPr>
        <w:t>本部门年末编制内实有人员60人，其他人员148人。离退休人员</w:t>
      </w:r>
      <w:r>
        <w:rPr>
          <w:rFonts w:hint="eastAsia" w:ascii="仿宋_GB2312" w:eastAsia="仿宋_GB2312" w:cs="仿宋_GB2312"/>
          <w:sz w:val="32"/>
          <w:szCs w:val="32"/>
          <w:lang w:val="en-US" w:eastAsia="zh-CN" w:bidi="ar"/>
        </w:rPr>
        <w:t>24</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人，养老保险基金发放养老金的人员24人。</w:t>
      </w:r>
    </w:p>
    <w:p>
      <w:pPr>
        <w:pageBreakBefore/>
        <w:widowControl/>
        <w:spacing w:line="600" w:lineRule="exact"/>
        <w:ind w:firstLine="641"/>
        <w:jc w:val="center"/>
        <w:outlineLvl w:val="0"/>
        <w:rPr>
          <w:rFonts w:hint="eastAsia" w:ascii="宋体" w:hAnsi="宋体" w:cs="宋体"/>
          <w:b/>
          <w:sz w:val="44"/>
          <w:szCs w:val="44"/>
          <w:lang w:val="en-US" w:eastAsia="zh-CN"/>
        </w:rPr>
      </w:pPr>
    </w:p>
    <w:p>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pPr>
        <w:jc w:val="both"/>
        <w:rPr>
          <w:rFonts w:hint="eastAsia"/>
          <w:lang w:val="en-US" w:eastAsia="zh-CN"/>
        </w:rPr>
      </w:pPr>
    </w:p>
    <w:p>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20"/>
        <w:gridCol w:w="420"/>
        <w:gridCol w:w="1440"/>
        <w:gridCol w:w="2180"/>
        <w:gridCol w:w="42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pPr>
              <w:jc w:val="both"/>
              <w:rPr>
                <w:lang w:val="en-US" w:eastAsia="zh-CN"/>
              </w:rPr>
            </w:pPr>
          </w:p>
        </w:tc>
        <w:tc>
          <w:tcPr>
            <w:tcW w:w="14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4,215.44</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1,480.46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523.01</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1,155.40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492.09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43.02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529.85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1,903.28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67.18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149.78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1,292.96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5,893.84</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5,991.41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292.77</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195.21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6,186.61</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6,186.61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00"/>
        <w:gridCol w:w="180"/>
        <w:gridCol w:w="1840"/>
        <w:gridCol w:w="840"/>
        <w:gridCol w:w="840"/>
        <w:gridCol w:w="840"/>
        <w:gridCol w:w="840"/>
        <w:gridCol w:w="840"/>
        <w:gridCol w:w="840"/>
        <w:gridCol w:w="8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7" w:hRule="exact"/>
          <w:jc w:val="center"/>
        </w:trPr>
        <w:tc>
          <w:tcPr>
            <w:tcW w:w="18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1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1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continue"/>
            <w:tcBorders>
              <w:tl2br w:val="nil"/>
              <w:tr2bl w:val="nil"/>
            </w:tcBorders>
            <w:shd w:val="clear" w:color="auto" w:fill="auto"/>
            <w:noWrap w:val="0"/>
            <w:vAlign w:val="center"/>
          </w:tcPr>
          <w:p>
            <w:pPr>
              <w:jc w:val="both"/>
              <w:rPr>
                <w:lang w:val="en-US" w:eastAsia="zh-CN"/>
              </w:rPr>
            </w:pPr>
          </w:p>
        </w:tc>
        <w:tc>
          <w:tcPr>
            <w:tcW w:w="200" w:type="dxa"/>
            <w:vMerge w:val="continue"/>
            <w:tcBorders>
              <w:tl2br w:val="nil"/>
              <w:tr2bl w:val="nil"/>
            </w:tcBorders>
            <w:shd w:val="clear" w:color="auto" w:fill="auto"/>
            <w:noWrap w:val="0"/>
            <w:vAlign w:val="center"/>
          </w:tcPr>
          <w:p>
            <w:pPr>
              <w:jc w:val="both"/>
              <w:rPr>
                <w:lang w:val="en-US" w:eastAsia="zh-CN"/>
              </w:rPr>
            </w:pPr>
          </w:p>
        </w:tc>
        <w:tc>
          <w:tcPr>
            <w:tcW w:w="180" w:type="dxa"/>
            <w:vMerge w:val="continue"/>
            <w:tcBorders>
              <w:tl2br w:val="nil"/>
              <w:tr2bl w:val="nil"/>
            </w:tcBorders>
            <w:shd w:val="clear" w:color="auto" w:fill="auto"/>
            <w:noWrap w:val="0"/>
            <w:vAlign w:val="center"/>
          </w:tcPr>
          <w:p>
            <w:pPr>
              <w:jc w:val="both"/>
              <w:rPr>
                <w:lang w:val="en-US" w:eastAsia="zh-CN"/>
              </w:rPr>
            </w:pPr>
          </w:p>
        </w:tc>
        <w:tc>
          <w:tcPr>
            <w:tcW w:w="1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5,893.84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4,738.45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1,480.46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1,480.46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人大事务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政府办公厅（室）及相关机构事务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2010301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207</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文化旅游体育与传媒支出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20799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2079999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492.09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492.09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人力资源和社会保障管理事务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民政管理事务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2080299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其他民政管理事务支出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163.10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163.10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78.39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78.39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2080506</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机关事业单位职业年金缴费支出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9.11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9.11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对机关事业单位职业年金的补助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其他行政事业单位养老支出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62.79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62.79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166.31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166.31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2080705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公益性岗位补贴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63.39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63.39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2080799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其他就业补助支出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102.92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102.92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20819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最低生活保障</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2081901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城市最低生活保障金支出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20820</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临时救助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2082001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临时救助支出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20821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特困人员救助供养</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2082102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农村特困人员救助供养支出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17.89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17.89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城乡社区支出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529.85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529.85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城乡社区管理事务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城乡社区公共设施</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2120303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小城镇基础设施建设</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国有土地使用权出让收入安排的支出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483.01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483.01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2120801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征地和拆迁补偿支出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46.31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46.31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2120804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农村基础设施建设支出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139.48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139.48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2120899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其他国有土地使用权出让收入安排的支出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297.22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297.22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其他城乡社区支出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2129999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其他城乡社区支出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农林水支出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1,903.28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1,903.28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农业农村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164.84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164.84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2130106</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科技转化与推广服务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病虫害控制</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2130109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农产品质量安全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7.33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7.33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2130135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农业生态资源保护</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35.95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35.95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2130153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耕地建设与利用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33.54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33.54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2130199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其他农业农村支出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80.23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80.23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林业和草原</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278.43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278.43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2130205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森林资源培育</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47.37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47.37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2130209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森林生态效益补偿</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2130234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林业草原防灾减灾</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117.51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117.51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2130299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其他林业和草原支出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111.16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111.16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巩固脱贫攻坚成果衔接乡村振兴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1,105.13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1,105.13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2130502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一般行政管理事务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90.16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90.16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2130504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农村基础设施建设</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799.40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799.40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2130505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生产发展</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193.00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193.00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2130599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其他巩固脱贫攻坚成果衔接乡村振兴支出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22.57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22.57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21307</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农村综合改革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354.88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354.88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2130701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对村级公益事业建设的补助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2130705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对村民委员会和村党支部的补助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337.24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337.24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2130799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其他农村综合改革支出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7.64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7.64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交通运输支出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21401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公路水路运输</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2140199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其他公路水路运输支出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220</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自然资源海洋气象等支出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22001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自然资源事务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2200199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其他自然资源事务支出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灾害防治及应急管理支出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149.78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149.78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应急管理事务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33.56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33.56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2240104</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灾害风险防治</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2240106</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安全监管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5.76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5.76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2240109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应急管理</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24.80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消防救援事务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2240299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其他消防救援事务支出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22406</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自然灾害防治</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2240601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地质灾害防治</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22407</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自然灾害救灾及恢复重建支出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2240703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自然灾害救灾补助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1,195.40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22960</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彩票公益金安排的支出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2296002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用于社会福利的彩票公益金支出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2299999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1,155.40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220"/>
        <w:gridCol w:w="2000"/>
        <w:gridCol w:w="900"/>
        <w:gridCol w:w="900"/>
        <w:gridCol w:w="900"/>
        <w:gridCol w:w="900"/>
        <w:gridCol w:w="900"/>
        <w:gridCol w:w="11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22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pPr>
              <w:jc w:val="both"/>
              <w:rPr>
                <w:lang w:val="en-US" w:eastAsia="zh-CN"/>
              </w:rPr>
            </w:pPr>
          </w:p>
        </w:tc>
        <w:tc>
          <w:tcPr>
            <w:tcW w:w="20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pPr>
              <w:jc w:val="both"/>
              <w:rPr>
                <w:lang w:val="en-US" w:eastAsia="zh-CN"/>
              </w:rPr>
            </w:pPr>
          </w:p>
        </w:tc>
        <w:tc>
          <w:tcPr>
            <w:tcW w:w="20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tcBorders>
              <w:tl2br w:val="nil"/>
              <w:tr2bl w:val="nil"/>
            </w:tcBorders>
            <w:shd w:val="clear" w:color="auto" w:fill="auto"/>
            <w:noWrap w:val="0"/>
            <w:vAlign w:val="center"/>
          </w:tcPr>
          <w:p>
            <w:pPr>
              <w:jc w:val="both"/>
              <w:rPr>
                <w:lang w:val="en-US" w:eastAsia="zh-CN"/>
              </w:rPr>
            </w:pPr>
          </w:p>
        </w:tc>
        <w:tc>
          <w:tcPr>
            <w:tcW w:w="220" w:type="dxa"/>
            <w:vMerge w:val="continue"/>
            <w:tcBorders>
              <w:tl2br w:val="nil"/>
              <w:tr2bl w:val="nil"/>
            </w:tcBorders>
            <w:shd w:val="clear" w:color="auto" w:fill="auto"/>
            <w:noWrap w:val="0"/>
            <w:vAlign w:val="center"/>
          </w:tcPr>
          <w:p>
            <w:pPr>
              <w:jc w:val="both"/>
              <w:rPr>
                <w:lang w:val="en-US" w:eastAsia="zh-CN"/>
              </w:rPr>
            </w:pPr>
          </w:p>
        </w:tc>
        <w:tc>
          <w:tcPr>
            <w:tcW w:w="220" w:type="dxa"/>
            <w:vMerge w:val="continue"/>
            <w:tcBorders>
              <w:tl2br w:val="nil"/>
              <w:tr2bl w:val="nil"/>
            </w:tcBorders>
            <w:shd w:val="clear" w:color="auto" w:fill="auto"/>
            <w:noWrap w:val="0"/>
            <w:vAlign w:val="center"/>
          </w:tcPr>
          <w:p>
            <w:pPr>
              <w:jc w:val="both"/>
              <w:rPr>
                <w:lang w:val="en-US" w:eastAsia="zh-CN"/>
              </w:rPr>
            </w:pPr>
          </w:p>
        </w:tc>
        <w:tc>
          <w:tcPr>
            <w:tcW w:w="20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5,991.41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1,771.11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4,220.30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1,480.46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1,234.15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246.31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人大事务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政府办公厅（室）及相关机构事务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1,477.05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1,231.62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245.42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2010301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1,477.05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1,231.62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245.42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207</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文化旅游体育与传媒支出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20799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2079999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492.09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274.62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217.47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人力资源和社会保障管理事务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49.79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13.64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49.79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13.64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民政管理事务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78.88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57.60</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21.28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2080299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其他民政管理事务支出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78.88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57.60</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21.28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163.10</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129.69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11.15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78.39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78.39</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2080506</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机关事业单位职业年金缴费支出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9.11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9.11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对机关事业单位职业年金的补助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其他行政事业单位养老支出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62.79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29.39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166.31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47.91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118.40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2080705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公益性岗位补贴</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63.39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6.57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56.82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2080799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其他就业补助支出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102.92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41.34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61.58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20819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最低生活保障</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2081901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城市最低生活保障金支出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20820</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临时救助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2082001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临时救助支出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20821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特困人员救助供养</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2082102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农村特困人员救助供养支出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5.97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2.70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5.97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2.70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17.89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17.89</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城乡社区支出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529.85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529.07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城乡社区管理事务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9.84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9.06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9.84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9.06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城乡社区公共设施</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2120303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小城镇基础设施建设</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征地和拆迁补偿支出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46.31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46.31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2120804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农村基础设施建设支出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139.48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139.48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297.22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297.22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其他城乡社区支出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其他城乡社区支出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农林水支出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1,903.28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1,751.92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农业农村</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164.84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164.84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2130106</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科技转化与推广服务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病虫害控制</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2130109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农产品质量安全</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7.33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7.33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2130135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农业生态资源保护</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35.95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35.95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2130153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耕地建设与利用</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33.54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33.54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2130199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其他农业农村支出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80.23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80.23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林业和草原</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278.43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278.43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2130205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森林资源培育</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47.37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47.37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2130209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森林生态效益补偿</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2130234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林业草原防灾减灾</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117.51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117.51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2130299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其他林业和草原支出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111.16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111.16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巩固脱贫攻坚成果衔接乡村振兴</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1,105.13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1,105.13</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2130502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一般行政管理事务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90.16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90.16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2130504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农村基础设施建设</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799.40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799.40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2130505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生产发展</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193.00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193.00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2130599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其他巩固脱贫攻坚成果衔接乡村振兴支出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22.57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22.57</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21307</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农村综合改革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354.88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203.52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2130701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对村级公益事业建设的补助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2130705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对村民委员会和村党支部的补助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337.24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185.88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2130799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其他农村综合改革支出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7.64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7.64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交通运输支出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21401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公路水路运输</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2140199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其他公路水路运输支出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220</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自然资源海洋气象等支出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22001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自然资源事务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2200199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其他自然资源事务支出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灾害防治及应急管理支出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149.78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149.78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应急管理事务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33.56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33.56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2240104</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灾害风险防治</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2240106</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安全监管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2240109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应急管理</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24.80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消防救援事务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2240299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其他消防救援事务支出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22406</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自然灾害防治</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2240601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地质灾害防治</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22407</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自然灾害救灾及恢复重建支出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2240703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自然灾害救灾补助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1,292.96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1,292.96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22960</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彩票公益金安排的支出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2296002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用于社会福利的彩票公益金支出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500"/>
        <w:gridCol w:w="400"/>
        <w:gridCol w:w="1600"/>
        <w:gridCol w:w="2700"/>
        <w:gridCol w:w="400"/>
        <w:gridCol w:w="1600"/>
        <w:gridCol w:w="1600"/>
        <w:gridCol w:w="1600"/>
        <w:gridCol w:w="15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25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2500" w:type="dxa"/>
            <w:vMerge w:val="continue"/>
            <w:tcBorders>
              <w:tl2br w:val="nil"/>
              <w:tr2bl w:val="nil"/>
            </w:tcBorders>
            <w:shd w:val="clear" w:color="auto" w:fill="auto"/>
            <w:noWrap w:val="0"/>
            <w:vAlign w:val="center"/>
          </w:tcPr>
          <w:p>
            <w:pPr>
              <w:jc w:val="both"/>
              <w:rPr>
                <w:lang w:val="en-US" w:eastAsia="zh-CN"/>
              </w:rPr>
            </w:pPr>
          </w:p>
        </w:tc>
        <w:tc>
          <w:tcPr>
            <w:tcW w:w="4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2700" w:type="dxa"/>
            <w:vMerge w:val="continue"/>
            <w:tcBorders>
              <w:tl2br w:val="nil"/>
              <w:tr2bl w:val="nil"/>
            </w:tcBorders>
            <w:shd w:val="clear" w:color="auto" w:fill="auto"/>
            <w:noWrap w:val="0"/>
            <w:vAlign w:val="center"/>
          </w:tcPr>
          <w:p>
            <w:pPr>
              <w:jc w:val="both"/>
              <w:rPr>
                <w:lang w:val="en-US" w:eastAsia="zh-CN"/>
              </w:rPr>
            </w:pPr>
          </w:p>
        </w:tc>
        <w:tc>
          <w:tcPr>
            <w:tcW w:w="4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558"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4,215.44</w:t>
            </w: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1,480.46</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1,480.46</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523.01</w:t>
            </w: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4.00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4.00</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492.09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492.09</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43.02</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43.02</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529.85</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46.84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483.01</w:t>
            </w: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1,903.28</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1,903.28</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5.80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5.80</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23.00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23.00</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67.18</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67.18</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149.78</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149.78</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40.00</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40.00</w:t>
            </w: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4,738.45</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4,738.45</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4,215.44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523.01</w:t>
            </w: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4,738.45</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4,738.45</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4,215.44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523.01</w:t>
            </w: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40"/>
        <w:gridCol w:w="340"/>
        <w:gridCol w:w="3120"/>
        <w:gridCol w:w="1400"/>
        <w:gridCol w:w="1400"/>
        <w:gridCol w:w="13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9" w:hRule="exact"/>
          <w:jc w:val="center"/>
        </w:trPr>
        <w:tc>
          <w:tcPr>
            <w:tcW w:w="320" w:type="dxa"/>
            <w:gridSpan w:val="3"/>
            <w:vMerge w:val="continue"/>
            <w:tcBorders>
              <w:tl2br w:val="nil"/>
              <w:tr2bl w:val="nil"/>
            </w:tcBorders>
            <w:shd w:val="clear" w:color="auto" w:fill="auto"/>
            <w:noWrap w:val="0"/>
            <w:vAlign w:val="center"/>
          </w:tcPr>
          <w:p>
            <w:pPr>
              <w:jc w:val="both"/>
              <w:rPr>
                <w:lang w:val="en-US" w:eastAsia="zh-CN"/>
              </w:rPr>
            </w:pPr>
          </w:p>
        </w:tc>
        <w:tc>
          <w:tcPr>
            <w:tcW w:w="312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continue"/>
            <w:tcBorders>
              <w:tl2br w:val="nil"/>
              <w:tr2bl w:val="nil"/>
            </w:tcBorders>
            <w:shd w:val="clear" w:color="auto" w:fill="auto"/>
            <w:noWrap w:val="0"/>
            <w:vAlign w:val="center"/>
          </w:tcPr>
          <w:p>
            <w:pPr>
              <w:jc w:val="both"/>
              <w:rPr>
                <w:lang w:val="en-US" w:eastAsia="zh-CN"/>
              </w:rPr>
            </w:pPr>
          </w:p>
        </w:tc>
        <w:tc>
          <w:tcPr>
            <w:tcW w:w="312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1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4,215.44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1,771.11</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2,444.33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一般公共服务支出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1,480.46</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1,234.15</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246.31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人大事务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2.53</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2.53</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2.53</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2.53</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政府办公厅（室）及相关机构事务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1,477.05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1,231.62</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245.42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2010301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1,477.05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1,231.62</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245.42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0.88</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2019999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0.88</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207</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文化旅游体育与传媒支出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20799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2079999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492.09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274.62</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217.47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人力资源和社会保障管理事务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49.79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36.15</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49.79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36.15</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民政管理事务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78.88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57.60</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2080299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其他民政管理事务支出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78.88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57.60</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163.10</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129.69</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11.15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11.15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78.39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78.39</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2080506</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机关事业单位职业年金缴费支出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9.11</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9.11</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对机关事业单位职业年金的补助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其他行政事业单位养老支出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62.79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29.39</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20807</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就业补助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166.31</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47.91</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118.40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2080705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公益性岗位补贴</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63.39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6.57</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56.82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2080799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其他就业补助支出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102.92</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41.34</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61.58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20819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最低生活保障</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2081901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城市最低生活保障金支出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20820</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临时救助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2082001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临时救助支出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20821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特困人员救助供养</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3.04</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2082102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农村特困人员救助供养支出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3.04</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5.97</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3.27</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5.97</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3.27</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43.02</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43.02</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43.02</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43.02</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25.13</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25.13</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17.89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17.89</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城乡社区支出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46.84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46.06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城乡社区管理事务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9.84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2120101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9.84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城乡社区公共设施</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2120303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小城镇基础设施建设</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其他城乡社区支出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2129999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其他城乡社区支出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农林水支出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1,903.28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1,751.92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农业农村</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164.84</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164.84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2130106</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科技转化与推广服务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病虫害控制</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4.80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2130109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农产品质量安全</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7.33</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2130135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农业生态资源保护</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35.95</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35.95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2130153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耕地建设与利用</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33.54</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2130199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其他农业农村支出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80.23</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80.23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林业和草原</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278.43</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278.43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2130205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森林资源培育</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47.37</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47.37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2130209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森林生态效益补偿</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2130234</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林业草原防灾减灾</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117.51</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117.51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2130299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其他林业和草原支出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111.16</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111.16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巩固脱贫攻坚成果衔接乡村振兴</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1,105.13</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1,105.13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2130502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一般行政管理事务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90.16</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2130504</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农村基础设施建设</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799.40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799.40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2130505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生产发展</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193.00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193.00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2130599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其他巩固脱贫攻坚成果衔接乡村振兴支出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22.57</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21307</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农村综合改革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354.88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203.52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2130701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对村级公益事业建设的补助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2130705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对村民委员会和村党支部的补助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337.24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185.88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2130799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其他农村综合改革支出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7.64</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214</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交通运输支出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21401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公路水路运输</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2140199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其他公路水路运输支出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220</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自然资源海洋气象等支出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22001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自然资源事务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2200199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其他自然资源事务支出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灾害防治及应急管理支出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149.78</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149.78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应急管理事务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33.56</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33.56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2240104</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灾害风险防治</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2240106</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安全监管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5.76</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2240109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应急管理</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24.80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24.80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消防救援事务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11.32</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2240299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其他消防救援事务支出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11.32</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22406</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自然灾害防治</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2240601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地质灾害防治</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22407</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自然灾害救灾及恢复重建支出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2240703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自然灾害救灾补助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4.90</w:t>
            </w:r>
          </w:p>
        </w:tc>
        <w:tc>
          <w:tcPr>
            <w:tcW w:w="1400" w:type="dxa"/>
            <w:tcBorders>
              <w:tl2br w:val="nil"/>
              <w:tr2bl w:val="nil"/>
            </w:tcBorders>
            <w:shd w:val="clear" w:color="auto" w:fill="auto"/>
            <w:noWrap w:val="0"/>
            <w:vAlign w:val="center"/>
          </w:tcPr>
          <w:p>
            <w:pPr>
              <w:jc w:val="both"/>
              <w:rPr>
                <w:lang w:val="en-US" w:eastAsia="zh-CN"/>
              </w:rPr>
            </w:pP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80"/>
        <w:gridCol w:w="1340"/>
        <w:gridCol w:w="840"/>
        <w:gridCol w:w="580"/>
        <w:gridCol w:w="940"/>
        <w:gridCol w:w="840"/>
        <w:gridCol w:w="620"/>
        <w:gridCol w:w="1760"/>
        <w:gridCol w:w="8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58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5" w:hRule="exact"/>
          <w:jc w:val="center"/>
        </w:trPr>
        <w:tc>
          <w:tcPr>
            <w:tcW w:w="5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982.73</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499.40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241.70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176.36</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135.04</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16.18</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0.25</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17.87</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32.61</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213.21</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0.35</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77.21</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2.50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6.55</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1.80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27.43</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8.72</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17.89</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3.56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3.37</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68.60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8.42</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158.67</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274.16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1.41</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0.13</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11.10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6.04</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206.34</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0.54</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60.80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140.96</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18.68</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26.20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4.79</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9.77</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29.98</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18.03</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both"/>
              <w:rPr>
                <w:lang w:val="en-US" w:eastAsia="zh-CN"/>
              </w:rPr>
            </w:pPr>
          </w:p>
        </w:tc>
        <w:tc>
          <w:tcPr>
            <w:tcW w:w="1340" w:type="dxa"/>
            <w:tcBorders>
              <w:tl2br w:val="nil"/>
              <w:tr2bl w:val="nil"/>
            </w:tcBorders>
            <w:shd w:val="clear" w:color="auto" w:fill="auto"/>
            <w:noWrap w:val="0"/>
            <w:vAlign w:val="center"/>
          </w:tcPr>
          <w:p>
            <w:pPr>
              <w:jc w:val="both"/>
              <w:rPr>
                <w:lang w:val="en-US" w:eastAsia="zh-CN"/>
              </w:rPr>
            </w:pPr>
          </w:p>
        </w:tc>
        <w:tc>
          <w:tcPr>
            <w:tcW w:w="840" w:type="dxa"/>
            <w:tcBorders>
              <w:tl2br w:val="nil"/>
              <w:tr2bl w:val="nil"/>
            </w:tcBorders>
            <w:shd w:val="clear" w:color="auto" w:fill="auto"/>
            <w:noWrap w:val="0"/>
            <w:vAlign w:val="center"/>
          </w:tcPr>
          <w:p>
            <w:pPr>
              <w:jc w:val="both"/>
              <w:rPr>
                <w:lang w:val="en-US" w:eastAsia="zh-CN"/>
              </w:rPr>
            </w:pP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gridSpan w:val="2"/>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1,256.89</w:t>
            </w:r>
          </w:p>
        </w:tc>
        <w:tc>
          <w:tcPr>
            <w:tcW w:w="580" w:type="dxa"/>
            <w:gridSpan w:val="5"/>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514.22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180"/>
        <w:gridCol w:w="240"/>
        <w:gridCol w:w="2080"/>
        <w:gridCol w:w="940"/>
        <w:gridCol w:w="940"/>
        <w:gridCol w:w="940"/>
        <w:gridCol w:w="940"/>
        <w:gridCol w:w="94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208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208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continue"/>
            <w:tcBorders>
              <w:tl2br w:val="nil"/>
              <w:tr2bl w:val="nil"/>
            </w:tcBorders>
            <w:shd w:val="clear" w:color="auto" w:fill="auto"/>
            <w:noWrap w:val="0"/>
            <w:vAlign w:val="center"/>
          </w:tcPr>
          <w:p>
            <w:pPr>
              <w:jc w:val="both"/>
              <w:rPr>
                <w:lang w:val="en-US" w:eastAsia="zh-CN"/>
              </w:rPr>
            </w:pPr>
          </w:p>
        </w:tc>
        <w:tc>
          <w:tcPr>
            <w:tcW w:w="180" w:type="dxa"/>
            <w:vMerge w:val="continue"/>
            <w:tcBorders>
              <w:tl2br w:val="nil"/>
              <w:tr2bl w:val="nil"/>
            </w:tcBorders>
            <w:shd w:val="clear" w:color="auto" w:fill="auto"/>
            <w:noWrap w:val="0"/>
            <w:vAlign w:val="center"/>
          </w:tcPr>
          <w:p>
            <w:pPr>
              <w:jc w:val="both"/>
              <w:rPr>
                <w:lang w:val="en-US" w:eastAsia="zh-CN"/>
              </w:rPr>
            </w:pPr>
          </w:p>
        </w:tc>
        <w:tc>
          <w:tcPr>
            <w:tcW w:w="240" w:type="dxa"/>
            <w:vMerge w:val="continue"/>
            <w:tcBorders>
              <w:tl2br w:val="nil"/>
              <w:tr2bl w:val="nil"/>
            </w:tcBorders>
            <w:shd w:val="clear" w:color="auto" w:fill="auto"/>
            <w:noWrap w:val="0"/>
            <w:vAlign w:val="center"/>
          </w:tcPr>
          <w:p>
            <w:pPr>
              <w:jc w:val="both"/>
              <w:rPr>
                <w:lang w:val="en-US" w:eastAsia="zh-CN"/>
              </w:rPr>
            </w:pPr>
          </w:p>
        </w:tc>
        <w:tc>
          <w:tcPr>
            <w:tcW w:w="20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523.01</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523.01</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523.01</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城乡社区支出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483.01</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2120801</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征地和拆迁补偿支出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46.31</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46.31</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46.31</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2120804</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农村基础设施建设支出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139.48</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139.48</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139.48</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2120899</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297.22</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297.22</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297.22</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22960</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彩票公益金安排的支出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2296002</w:t>
            </w:r>
          </w:p>
        </w:tc>
        <w:tc>
          <w:tcPr>
            <w:tcW w:w="20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用于社会福利的彩票公益金支出</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0"/>
        <w:gridCol w:w="340"/>
        <w:gridCol w:w="340"/>
        <w:gridCol w:w="3060"/>
        <w:gridCol w:w="1400"/>
        <w:gridCol w:w="140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pPr>
              <w:jc w:val="both"/>
              <w:rPr>
                <w:lang w:val="en-US" w:eastAsia="zh-CN"/>
              </w:rPr>
            </w:pPr>
          </w:p>
        </w:tc>
        <w:tc>
          <w:tcPr>
            <w:tcW w:w="306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pPr>
              <w:jc w:val="both"/>
              <w:rPr>
                <w:lang w:val="en-US" w:eastAsia="zh-CN"/>
              </w:rPr>
            </w:pPr>
          </w:p>
        </w:tc>
        <w:tc>
          <w:tcPr>
            <w:tcW w:w="306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0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3"/>
            <w:tcBorders>
              <w:tl2br w:val="nil"/>
              <w:tr2bl w:val="nil"/>
            </w:tcBorders>
            <w:shd w:val="clear" w:color="auto" w:fill="auto"/>
            <w:noWrap w:val="0"/>
            <w:vAlign w:val="center"/>
          </w:tcPr>
          <w:p>
            <w:pPr>
              <w:jc w:val="both"/>
              <w:rPr>
                <w:lang w:val="en-US" w:eastAsia="zh-CN"/>
              </w:rPr>
            </w:pPr>
          </w:p>
        </w:tc>
        <w:tc>
          <w:tcPr>
            <w:tcW w:w="306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项目</w:t>
            </w:r>
          </w:p>
        </w:tc>
        <w:tc>
          <w:tcPr>
            <w:tcW w:w="74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栏次</w:t>
            </w:r>
          </w:p>
        </w:tc>
        <w:tc>
          <w:tcPr>
            <w:tcW w:w="156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年初预算数</w:t>
            </w:r>
          </w:p>
        </w:tc>
        <w:tc>
          <w:tcPr>
            <w:tcW w:w="1460" w:type="dxa"/>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全年预算数</w:t>
            </w:r>
          </w:p>
        </w:tc>
        <w:tc>
          <w:tcPr>
            <w:tcW w:w="1586"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shd w:val="clear" w:color="auto" w:fill="auto"/>
            <w:noWrap w:val="0"/>
            <w:vAlign w:val="center"/>
          </w:tcPr>
          <w:p>
            <w:pPr>
              <w:jc w:val="both"/>
              <w:rPr>
                <w:lang w:val="en-US" w:eastAsia="zh-CN"/>
              </w:rPr>
            </w:pP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19.83</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19.83</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16.36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10.83</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10.83</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10.32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10.83</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10.83</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10.32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9.00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9.00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6.04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6.04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987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987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val="0"/>
            <w:vAlign w:val="top"/>
          </w:tcPr>
          <w:p>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val="0"/>
            <w:vAlign w:val="top"/>
          </w:tcPr>
          <w:p>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兴国县永丰镇人民政府</w:t>
            </w:r>
          </w:p>
        </w:tc>
        <w:tc>
          <w:tcPr>
            <w:tcW w:w="2000" w:type="dxa"/>
            <w:shd w:val="clear" w:color="auto" w:fill="auto"/>
            <w:noWrap w:val="0"/>
            <w:vAlign w:val="top"/>
          </w:tcPr>
          <w:p>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shd w:val="clear" w:color="auto" w:fill="auto"/>
            <w:noWrap w:val="0"/>
            <w:vAlign w:val="top"/>
          </w:tcPr>
          <w:p>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rPr>
                <w:lang w:val="en-US" w:eastAsia="zh-CN"/>
              </w:rPr>
            </w:pPr>
            <w:r>
              <w:rPr>
                <w:rFonts w:ascii="宋体" w:hAnsi="宋体" w:cs="宋体"/>
                <w:color w:val="000000"/>
                <w:sz w:val="20"/>
                <w:lang w:val="en-US" w:eastAsia="zh-CN"/>
              </w:rPr>
              <w:t>项  目</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栏次</w:t>
            </w:r>
          </w:p>
        </w:tc>
        <w:tc>
          <w:tcPr>
            <w:tcW w:w="2265" w:type="dxa"/>
            <w:shd w:val="clear" w:color="auto" w:fill="auto"/>
            <w:noWrap w:val="0"/>
            <w:vAlign w:val="center"/>
          </w:tcPr>
          <w:p>
            <w:pPr>
              <w:jc w:val="center"/>
              <w:rPr>
                <w:lang w:val="en-US" w:eastAsia="zh-CN"/>
              </w:rPr>
            </w:pPr>
            <w:r>
              <w:rPr>
                <w:rFonts w:ascii="宋体" w:hAnsi="宋体" w:cs="宋体"/>
                <w:color w:val="000000"/>
                <w:sz w:val="20"/>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一、车辆数合计(台、辆)</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1</w:t>
            </w:r>
          </w:p>
        </w:tc>
        <w:tc>
          <w:tcPr>
            <w:tcW w:w="2265" w:type="dxa"/>
            <w:shd w:val="clear" w:color="auto" w:fill="auto"/>
            <w:noWrap w:val="0"/>
            <w:vAlign w:val="center"/>
          </w:tcPr>
          <w:p>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1.副部（省）级及以上领导用车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2</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2.主要负责人用车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3</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3.机要通信用车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4</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4.应急保障用车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5</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5.执法执勤用车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6</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6.特种专业技术用车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7</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7.离退休干部服务用车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8</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8.其他用车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9</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二、单价100万元（含）以上设备（不含车辆）(台、套)</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10</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pageBreakBefore/>
        <w:widowControl/>
        <w:spacing w:line="600" w:lineRule="exact"/>
        <w:jc w:val="center"/>
        <w:outlineLvl w:val="0"/>
        <w:rPr>
          <w:rFonts w:hint="eastAsia" w:ascii="宋体" w:hAnsi="宋体" w:cs="宋体"/>
          <w:b/>
          <w:sz w:val="44"/>
          <w:szCs w:val="44"/>
          <w:lang w:val="en-US" w:eastAsia="zh-CN"/>
        </w:rPr>
      </w:pPr>
    </w:p>
    <w:p>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pPr>
        <w:ind w:firstLine="630"/>
        <w:jc w:val="left"/>
        <w:rPr>
          <w:rFonts w:hint="eastAsia" w:ascii="仿宋_GB2312" w:hAnsi="仿宋_GB2312" w:eastAsia="仿宋_GB2312"/>
          <w:sz w:val="30"/>
          <w:szCs w:val="30"/>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本部门2024年度收入总计6186.61万元，其中年初结转和结余292.77万元，比上年增加292.77万元；使用非财政拨款结余(含专用结余）0.00万元，与上年持平；本年收入合计5893.84万元，比上年减少1591.27万元，下降21.26%，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项目资金减少和人员经费减少</w:t>
      </w:r>
      <w:r>
        <w:rPr>
          <w:rFonts w:hint="eastAsia" w:ascii="仿宋_GB2312" w:hAnsi="仿宋_GB2312" w:eastAsia="仿宋_GB2312"/>
          <w:sz w:val="32"/>
          <w:szCs w:val="32"/>
          <w:highlight w:val="none"/>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本年收入的具体构成：财政拨款收入4738.45万元，占80.40%；事业收入0.00万元，占0.00%；经营收入0.00万元，占0.00%；上级补助收入0.00万元，占0.00%；附属单位上缴收入0.00万元，占0.00%；其他收入1155.40万元，占19.60%。  </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本部门2024年度支出总计6186.61万元，其中本年支出合计5991.41万元，比上年减少1200.94万元，下降16.70%，主要原因：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项目资金减少和人员经费减少</w:t>
      </w:r>
      <w:r>
        <w:rPr>
          <w:rFonts w:hint="eastAsia" w:ascii="仿宋_GB2312" w:hAnsi="仿宋_GB2312" w:eastAsia="仿宋_GB2312"/>
          <w:sz w:val="32"/>
          <w:szCs w:val="32"/>
          <w:highlight w:val="none"/>
          <w:lang w:val="en-US" w:eastAsia="zh-CN"/>
        </w:rPr>
        <w:t>；结余分配0.00万元，与上年持平；年末结转和结余195.21万元，比上年减少97.56万元，下降33.32%，主要原因：</w:t>
      </w:r>
      <w:r>
        <w:rPr>
          <w:rFonts w:hint="eastAsia" w:ascii="仿宋_GB2312" w:hAnsi="仿宋_GB2312" w:eastAsia="仿宋_GB2312"/>
          <w:color w:val="auto"/>
          <w:sz w:val="32"/>
          <w:szCs w:val="32"/>
          <w:highlight w:val="none"/>
          <w:lang w:eastAsia="zh-CN"/>
        </w:rPr>
        <w:t>其他资金核算方式改变</w:t>
      </w:r>
      <w:r>
        <w:rPr>
          <w:rFonts w:hint="eastAsia" w:ascii="仿宋_GB2312" w:hAnsi="仿宋_GB2312" w:eastAsia="仿宋_GB2312"/>
          <w:sz w:val="32"/>
          <w:szCs w:val="32"/>
          <w:highlight w:val="none"/>
          <w:lang w:val="en-US" w:eastAsia="zh-CN"/>
        </w:rPr>
        <w:t>。</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本年支出的具体构成：基本支出1771.11万元，占29.56%；项目支出4220.30万元，占70.44%；经营支出0.00万元，占0.00%；上缴上级支出0.00万元，占0.00%；对附属单位补助支出0.00万元，占0.00%。</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本部门2024年度财政拨款本年支出年初预算数754.66万元，决算数4738.45万元，完成年初预算的627.89%。其中：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（一）一般公共服务支出（类）年初预算数559.20万元，决算数1480.46万元，完成年初预算的264.75%。预决算差异主要原因：</w:t>
      </w:r>
      <w:r>
        <w:rPr>
          <w:rFonts w:hint="eastAsia" w:ascii="仿宋_GB2312" w:hAnsi="仿宋_GB2312" w:eastAsia="仿宋_GB2312"/>
          <w:color w:val="auto"/>
          <w:sz w:val="32"/>
          <w:szCs w:val="32"/>
        </w:rPr>
        <w:t>人员经费增加</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 xml:space="preserve"> </w:t>
      </w:r>
      <w:r>
        <w:rPr>
          <w:rFonts w:hint="eastAsia" w:ascii="仿宋_GB2312" w:hAnsi="仿宋_GB2312" w:eastAsia="仿宋_GB2312" w:cs="Times New Roman"/>
          <w:color w:val="auto"/>
          <w:sz w:val="32"/>
          <w:szCs w:val="32"/>
          <w:lang w:val="en-US" w:eastAsia="zh-CN"/>
        </w:rPr>
        <w:t>2024年新增申请项目经费支出增多。</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（二）社会保障和就业支出（类）年初预算数81.68万元，决算数492.09万元，完成年初预算的602.46%。预决算差异主要原因：</w:t>
      </w:r>
      <w:r>
        <w:rPr>
          <w:rFonts w:hint="eastAsia" w:ascii="仿宋_GB2312" w:hAnsi="仿宋_GB2312" w:eastAsia="仿宋_GB2312"/>
          <w:color w:val="auto"/>
          <w:sz w:val="32"/>
          <w:szCs w:val="32"/>
          <w:lang w:eastAsia="zh-CN"/>
        </w:rPr>
        <w:t>人员变动，机关事业单位</w:t>
      </w:r>
      <w:r>
        <w:rPr>
          <w:rFonts w:hint="eastAsia" w:ascii="仿宋_GB2312" w:hAnsi="仿宋_GB2312" w:eastAsia="仿宋_GB2312"/>
          <w:color w:val="auto"/>
          <w:sz w:val="32"/>
          <w:szCs w:val="32"/>
          <w:lang w:val="en-US" w:eastAsia="zh-CN"/>
        </w:rPr>
        <w:t>养老金缴费基数调高</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（三）卫生健康支出（类）年初预算数44.88万元，决算数43.02万元，完成年初预算的95.86%。预决算差异主要原因：</w:t>
      </w:r>
      <w:r>
        <w:rPr>
          <w:rFonts w:hint="eastAsia" w:ascii="仿宋_GB2312" w:hAnsi="仿宋_GB2312" w:eastAsia="仿宋_GB2312"/>
          <w:color w:val="auto"/>
          <w:sz w:val="32"/>
          <w:szCs w:val="32"/>
          <w:lang w:eastAsia="zh-CN"/>
        </w:rPr>
        <w:t>正常人员变动导致稍许差异</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（四）城乡社区支出（类）年初预算数0.00万元，决算数529.85万元，预决算差异主要原因：</w:t>
      </w:r>
      <w:r>
        <w:rPr>
          <w:rFonts w:hint="eastAsia" w:ascii="仿宋_GB2312" w:hAnsi="仿宋_GB2312" w:eastAsia="仿宋_GB2312"/>
          <w:color w:val="auto"/>
          <w:sz w:val="32"/>
          <w:szCs w:val="32"/>
          <w:lang w:eastAsia="zh-CN"/>
        </w:rPr>
        <w:t>城镇基础设施建设及日常管护等项目支出增加</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（五）农林水支出（类）年初预算数0.00万元，决算数1903.28万元，预决算差异主要原因：</w:t>
      </w:r>
      <w:r>
        <w:rPr>
          <w:rFonts w:hint="eastAsia" w:ascii="仿宋_GB2312" w:hAnsi="仿宋_GB2312" w:eastAsia="仿宋_GB2312"/>
          <w:color w:val="auto"/>
          <w:sz w:val="32"/>
          <w:szCs w:val="32"/>
          <w:lang w:eastAsia="zh-CN"/>
        </w:rPr>
        <w:t>美丽乡村建设项目及农业生产社会化服务项目支出增加</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（六）交通运输支出（类）年初预算数0.00万元，决算数5.80万元，预决算差异主要原因：</w:t>
      </w:r>
      <w:r>
        <w:rPr>
          <w:rFonts w:hint="eastAsia" w:ascii="仿宋_GB2312" w:hAnsi="仿宋_GB2312" w:eastAsia="仿宋_GB2312"/>
          <w:color w:val="auto"/>
          <w:sz w:val="32"/>
          <w:szCs w:val="32"/>
          <w:lang w:eastAsia="zh-CN"/>
        </w:rPr>
        <w:t>追加农村公路建设补助资支出</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（七）住房保障支出（类）年初预算数68.90万元，决算数67.18万元，完成年初预算的97.50%。预决算差异主要原因：项目进度缓慢导致报账进度慢。</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（八）灾害防治及应急管理支出（类）年初预算数0.00万元，决算数149.78万元，预决算差异主要原因：</w:t>
      </w:r>
      <w:r>
        <w:rPr>
          <w:rFonts w:hint="eastAsia" w:ascii="仿宋_GB2312" w:hAnsi="仿宋_GB2312" w:eastAsia="仿宋_GB2312"/>
          <w:color w:val="auto"/>
          <w:sz w:val="32"/>
          <w:szCs w:val="32"/>
          <w:lang w:eastAsia="zh-CN"/>
        </w:rPr>
        <w:t>自然灾害救灾资金支出增加</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p>
    <w:p>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本部门2024年度一般公共预算财政拨款基本支出1771.11万元，其中：</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（一）工资福利支出982.73万元，比上年增加207.19万元，增长26.72%，主要原因：</w:t>
      </w:r>
      <w:r>
        <w:rPr>
          <w:rFonts w:hint="eastAsia" w:ascii="仿宋_GB2312" w:hAnsi="仿宋_GB2312" w:eastAsia="仿宋_GB2312"/>
          <w:color w:val="auto"/>
          <w:sz w:val="32"/>
          <w:szCs w:val="32"/>
        </w:rPr>
        <w:t>人员工资正常晋级。人员新增</w:t>
      </w:r>
      <w:r>
        <w:rPr>
          <w:rFonts w:hint="eastAsia" w:ascii="仿宋_GB2312" w:hAnsi="仿宋_GB2312" w:eastAsia="仿宋_GB2312"/>
          <w:color w:val="auto"/>
          <w:sz w:val="32"/>
          <w:szCs w:val="32"/>
          <w:lang w:eastAsia="zh-CN"/>
        </w:rPr>
        <w:t>养老金和住房公积金基数调高</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（二）商品和服务支出499.40万元，比上年增加54.94万元，增长12.36%，主要原因：</w:t>
      </w:r>
      <w:r>
        <w:rPr>
          <w:rFonts w:hint="eastAsia" w:ascii="仿宋_GB2312" w:hAnsi="仿宋_GB2312" w:eastAsia="仿宋_GB2312" w:cs="Times New Roman"/>
          <w:sz w:val="32"/>
          <w:szCs w:val="32"/>
          <w:lang w:val="en-US" w:eastAsia="zh-CN"/>
        </w:rPr>
        <w:t>正常商品和服务支出的增长</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color w:val="auto"/>
          <w:sz w:val="32"/>
          <w:szCs w:val="32"/>
          <w:lang w:val="en-US" w:eastAsia="zh-CN"/>
        </w:rPr>
      </w:pPr>
      <w:r>
        <w:rPr>
          <w:rFonts w:hint="eastAsia" w:ascii="仿宋_GB2312" w:hAnsi="仿宋_GB2312" w:eastAsia="仿宋_GB2312"/>
          <w:sz w:val="32"/>
          <w:szCs w:val="32"/>
          <w:lang w:val="en-US" w:eastAsia="zh-CN"/>
        </w:rPr>
        <w:t>（三）对个人和家庭补助支出274.16万元，比上年增加65.12万元，增长31.15%，主要原因：</w:t>
      </w:r>
      <w:r>
        <w:rPr>
          <w:rFonts w:hint="eastAsia" w:ascii="仿宋_GB2312" w:hAnsi="仿宋_GB2312" w:eastAsia="仿宋_GB2312"/>
          <w:color w:val="auto"/>
          <w:sz w:val="32"/>
          <w:szCs w:val="32"/>
          <w:lang w:val="en-US" w:eastAsia="zh-CN"/>
        </w:rPr>
        <w:t>本年度人员经费的减少。</w:t>
      </w:r>
    </w:p>
    <w:p>
      <w:pPr>
        <w:ind w:firstLine="585"/>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（四）资本性支出14.83万元，比上年减少14.81万元，下降49.98%，主要原因：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w:t>
      </w:r>
      <w:r>
        <w:rPr>
          <w:rFonts w:hint="eastAsia" w:ascii="仿宋_GB2312" w:hAnsi="仿宋_GB2312" w:eastAsia="仿宋_GB2312"/>
          <w:sz w:val="32"/>
          <w:szCs w:val="32"/>
          <w:highlight w:val="none"/>
          <w:lang w:val="en-US" w:eastAsia="zh-CN"/>
        </w:rPr>
        <w:t>。</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本部门2024年度财政拨款“三公”经费支出全年预算数19.83万元，决算数16.36万元，完成全年预算的82.48%；决算数比上年减少3.54万元，下降17.78%，其中：</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color w:val="auto"/>
          <w:sz w:val="32"/>
          <w:szCs w:val="32"/>
        </w:rPr>
        <w:t>。决算数与上年持平</w:t>
      </w:r>
      <w:r>
        <w:rPr>
          <w:rFonts w:hint="eastAsia" w:ascii="仿宋_GB2312" w:hAnsi="仿宋_GB2312" w:eastAsia="仿宋_GB2312"/>
          <w:sz w:val="32"/>
          <w:szCs w:val="32"/>
          <w:lang w:val="en-US" w:eastAsia="zh-CN"/>
        </w:rPr>
        <w:t>。决算数与上年持平，主要原因：</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sz w:val="32"/>
          <w:szCs w:val="32"/>
          <w:lang w:val="en-US" w:eastAsia="zh-CN"/>
        </w:rPr>
        <w:t>。全年安排因公出国（境）团组0个，累计0人次，主要是：</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（二）公务用车购置及运行维护费全年预算数10.83万元，决算数10.32万元，其中：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sz w:val="32"/>
          <w:szCs w:val="32"/>
          <w:lang w:val="en-US" w:eastAsia="zh-CN"/>
        </w:rPr>
        <w:t>。决算数与上年持平,主要原因：</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sz w:val="32"/>
          <w:szCs w:val="32"/>
          <w:lang w:val="en-US" w:eastAsia="zh-CN"/>
        </w:rPr>
        <w:t>。全年使用财政拨款购置公务用车0辆。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公务用车运行维护费全年预算数10.83万元，决算数10.32万元，完成全年预算的95.25%，主要原因：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。决算数比上年减少3.54万元，下降25.52%,主要原因：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color w:val="auto"/>
          <w:sz w:val="32"/>
          <w:szCs w:val="32"/>
          <w:lang w:eastAsia="zh-CN"/>
        </w:rPr>
        <w:t>，控制三公经费的使用</w:t>
      </w:r>
      <w:r>
        <w:rPr>
          <w:rFonts w:hint="eastAsia" w:ascii="仿宋_GB2312" w:hAnsi="仿宋_GB2312" w:eastAsia="仿宋_GB2312"/>
          <w:sz w:val="32"/>
          <w:szCs w:val="32"/>
          <w:lang w:val="en-US" w:eastAsia="zh-CN"/>
        </w:rPr>
        <w:t>。年末使用财政拨款负担费用的公务用车保有量3辆。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（三）公务接待费全年预算数9.00万元，决算数6.04万元，完成全年预算的67.13%，主要原因：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。决算数比上年减少0.00万元，下降0.04%,主要原因：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。全年国内公务接待987批，累计接待987人次，主要是：</w:t>
      </w:r>
      <w:r>
        <w:rPr>
          <w:rFonts w:hint="eastAsia" w:ascii="仿宋_GB2312" w:hAnsi="仿宋_GB2312" w:eastAsia="仿宋_GB2312"/>
          <w:color w:val="auto"/>
          <w:sz w:val="32"/>
          <w:szCs w:val="32"/>
          <w:lang w:eastAsia="zh-CN"/>
        </w:rPr>
        <w:t>对接市、县业务部门项目检查和督导</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pPr>
        <w:ind w:firstLine="630"/>
        <w:jc w:val="left"/>
        <w:rPr>
          <w:rFonts w:hint="eastAsia" w:ascii="仿宋_GB2312" w:hAnsi="仿宋_GB2312" w:eastAsia="仿宋_GB2312"/>
          <w:color w:val="auto"/>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本部门2024年度机关运行经费支出514.22万元，决算数比上年增加40.13万元，增长8.46%，主要原因：</w:t>
      </w:r>
      <w:r>
        <w:rPr>
          <w:rFonts w:hint="eastAsia" w:ascii="仿宋_GB2312" w:hAnsi="仿宋_GB2312" w:eastAsia="仿宋_GB2312"/>
          <w:color w:val="auto"/>
          <w:sz w:val="32"/>
          <w:szCs w:val="32"/>
          <w:lang w:val="en-US" w:eastAsia="zh-CN"/>
        </w:rPr>
        <w:t>正常运成本的增加。</w:t>
      </w:r>
    </w:p>
    <w:p>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pPr>
        <w:pStyle w:val="16"/>
        <w:spacing w:line="600" w:lineRule="atLeast"/>
        <w:ind w:firstLine="600"/>
        <w:jc w:val="both"/>
        <w:rPr>
          <w:rFonts w:hint="eastAsia" w:ascii="仿宋_GB2312" w:hAnsi="仿宋_GB2312" w:eastAsia="仿宋_GB2312"/>
          <w:color w:val="auto"/>
          <w:sz w:val="32"/>
          <w:szCs w:val="32"/>
          <w:lang w:val="en-US" w:eastAsia="zh-CN"/>
        </w:rPr>
      </w:pPr>
      <w:r>
        <w:rPr>
          <w:rFonts w:hint="eastAsia" w:ascii="仿宋_GB2312" w:hAnsi="仿宋_GB2312" w:eastAsia="仿宋_GB2312"/>
          <w:kern w:val="2"/>
          <w:sz w:val="32"/>
          <w:szCs w:val="32"/>
          <w:lang w:val="en-US" w:eastAsia="zh-CN"/>
        </w:rPr>
        <w:t>本部门2024年度政府采购支出总额146.66万元，其中：政府采购货物支出146.66万元、政府采购工程支出0.00万元、政府采购服务支出0.00万元。授予中小企业合同金额146.66万元，占政府采购支出总额的100.00%，其中：授予小微企业合同金额146.66万元，占授予中小企业合同金额的100.00%。</w:t>
      </w:r>
      <w:r>
        <w:rPr>
          <w:rFonts w:hint="eastAsia" w:ascii="仿宋_GB2312" w:hAnsi="仿宋_GB2312" w:eastAsia="仿宋_GB2312"/>
          <w:sz w:val="32"/>
          <w:szCs w:val="32"/>
          <w:lang w:val="en-US" w:eastAsia="zh-CN"/>
        </w:rPr>
        <w:t>货物采购授予中小企业合同金额占货物支出金额的</w:t>
      </w:r>
      <w:r>
        <w:rPr>
          <w:rFonts w:hint="eastAsia" w:ascii="仿宋_GB2312" w:hAnsi="仿宋_GB2312" w:eastAsia="仿宋_GB2312"/>
          <w:color w:val="auto"/>
          <w:sz w:val="32"/>
          <w:szCs w:val="32"/>
          <w:lang w:val="en-US" w:eastAsia="zh-CN"/>
        </w:rPr>
        <w:t>76.13%，工程采购授予中小企业合同金额占工程支出金额的0%，服务采购授予中小企业合同金额占服务支出金额的0%。</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3</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2</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w:t>
      </w:r>
      <w:r>
        <w:rPr>
          <w:rFonts w:hint="eastAsia" w:ascii="仿宋_GB2312" w:hAnsi="仿宋_GB2312" w:eastAsia="仿宋_GB2312"/>
          <w:sz w:val="32"/>
          <w:szCs w:val="32"/>
          <w:lang w:val="en-US" w:eastAsia="zh-CN"/>
        </w:rPr>
        <w:t>，其他用车主要是用于（此处请补充内容）</w:t>
      </w:r>
      <w:r>
        <w:rPr>
          <w:rFonts w:hint="eastAsia" w:ascii="仿宋_GB2312" w:hAnsi="仿宋_GB2312" w:eastAsia="仿宋_GB2312"/>
          <w:kern w:val="0"/>
          <w:sz w:val="32"/>
          <w:szCs w:val="32"/>
          <w:lang w:val="en-US" w:eastAsia="zh-CN"/>
        </w:rPr>
        <w:t>。本部门单价100万元（含）以上设备（不含车辆）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根据预算绩效管理要求，我部门组织对纳入2024年度部门预算范围的二级项目5个全面开展绩效自评，共涉及资金4207万元，占项目支出总额的</w:t>
      </w:r>
      <w:r>
        <w:rPr>
          <w:rFonts w:hint="eastAsia" w:ascii="仿宋_GB2312" w:hAnsi="仿宋_GB2312" w:eastAsia="仿宋_GB2312" w:cs="仿宋_GB2312"/>
          <w:kern w:val="0"/>
          <w:sz w:val="32"/>
          <w:szCs w:val="32"/>
          <w:highlight w:val="none"/>
          <w:lang w:val="en-US" w:eastAsia="zh-CN"/>
        </w:rPr>
        <w:t>99.69%</w:t>
      </w:r>
      <w:r>
        <w:rPr>
          <w:rFonts w:hint="eastAsia" w:ascii="仿宋_GB2312" w:hAnsi="仿宋_GB2312" w:eastAsia="仿宋_GB2312" w:cs="仿宋_GB2312"/>
          <w:kern w:val="0"/>
          <w:sz w:val="32"/>
          <w:szCs w:val="32"/>
          <w:lang w:val="en-US" w:eastAsia="zh-CN"/>
        </w:rPr>
        <w:t xml:space="preserve">。其中，5个项目评价结果为“优”，  0个项目评价结果为“良”，0 个项目评价结果为“中”， 0个项目评价结果为“差”。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组织对3个项目开展了部门评价，分别为：2023年乡村振兴项目结余、2024年衔接推进乡村振兴补助资金项目、</w:t>
      </w:r>
      <w:r>
        <w:rPr>
          <w:rFonts w:hint="eastAsia" w:ascii="仿宋_GB2312" w:hAnsi="仿宋_GB2312" w:eastAsia="仿宋_GB2312" w:cs="仿宋_GB2312"/>
          <w:kern w:val="0"/>
          <w:sz w:val="32"/>
          <w:szCs w:val="32"/>
          <w:lang w:val="en-US" w:eastAsia="zh-CN"/>
        </w:rPr>
        <w:br w:type="textWrapping"/>
      </w:r>
      <w:r>
        <w:rPr>
          <w:rFonts w:hint="eastAsia" w:ascii="仿宋_GB2312" w:hAnsi="仿宋_GB2312" w:eastAsia="仿宋_GB2312" w:cs="仿宋_GB2312"/>
          <w:kern w:val="0"/>
          <w:sz w:val="32"/>
          <w:szCs w:val="32"/>
          <w:lang w:val="en-US" w:eastAsia="zh-CN"/>
        </w:rPr>
        <w:t>永丰镇上级资金（非“三保”资金）。涉及一般公共预算支出1083.44万元，政府性基金预算支出0万元，国有资本预算支出0万元。从评价情况看，</w:t>
      </w:r>
      <w:r>
        <w:rPr>
          <w:rFonts w:hint="eastAsia" w:ascii="仿宋_GB2312" w:hAnsi="仿宋_GB2312" w:eastAsia="仿宋_GB2312" w:cs="仿宋_GB2312"/>
          <w:kern w:val="0"/>
          <w:sz w:val="32"/>
          <w:szCs w:val="32"/>
          <w:lang w:eastAsia="zh-CN"/>
        </w:rPr>
        <w:t>预算纯净管理达到了预期目标</w:t>
      </w:r>
      <w:r>
        <w:rPr>
          <w:rFonts w:hint="eastAsia" w:ascii="仿宋_GB2312" w:hAnsi="仿宋_GB2312" w:eastAsia="仿宋_GB2312" w:cs="仿宋_GB2312"/>
          <w:kern w:val="0"/>
          <w:sz w:val="32"/>
          <w:szCs w:val="32"/>
          <w:lang w:val="en-US" w:eastAsia="zh-CN"/>
        </w:rPr>
        <w:t>。</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组织开展部门整体支出绩效评价，涉及一般公共预算支出1083.44万元，政府性基金预算支出0万元，评价结果为“优 ”。从评价情况看，</w:t>
      </w:r>
      <w:r>
        <w:rPr>
          <w:rFonts w:hint="eastAsia" w:ascii="仿宋" w:hAnsi="仿宋" w:eastAsia="仿宋" w:cs="仿宋_GB2312"/>
          <w:color w:val="auto"/>
          <w:sz w:val="32"/>
          <w:szCs w:val="40"/>
          <w:lang w:val="en-US" w:eastAsia="zh-CN"/>
        </w:rPr>
        <w:t>从数量、时效方面保证部门基本运行及时支出，保障了人员经费及时足额到位，从社会效益看保障了群众文化活动全面开展。社会满意度及可持续性影响</w:t>
      </w:r>
      <w:r>
        <w:rPr>
          <w:rFonts w:hint="eastAsia" w:ascii="仿宋_GB2312" w:hAnsi="仿宋_GB2312" w:eastAsia="仿宋_GB2312" w:cs="仿宋_GB2312"/>
          <w:kern w:val="0"/>
          <w:sz w:val="32"/>
          <w:szCs w:val="32"/>
          <w:lang w:val="en-US" w:eastAsia="zh-CN"/>
        </w:rPr>
        <w:t>。</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部门决算中项目绩效自评情况。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根据部门整体支出绩效评价指标体系，对本镇</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部门整体支出进行自评，最终得分为</w:t>
      </w:r>
      <w:r>
        <w:rPr>
          <w:rFonts w:hint="eastAsia" w:ascii="仿宋_GB2312" w:hAnsi="仿宋_GB2312" w:eastAsia="仿宋_GB2312" w:cs="仿宋_GB2312"/>
          <w:sz w:val="32"/>
          <w:szCs w:val="32"/>
          <w:highlight w:val="none"/>
          <w:lang w:val="en-US" w:eastAsia="zh-CN"/>
        </w:rPr>
        <w:t>95</w:t>
      </w:r>
      <w:r>
        <w:rPr>
          <w:rFonts w:hint="eastAsia" w:ascii="仿宋_GB2312" w:hAnsi="仿宋_GB2312" w:eastAsia="仿宋_GB2312" w:cs="仿宋_GB2312"/>
          <w:sz w:val="32"/>
          <w:szCs w:val="32"/>
        </w:rPr>
        <w:t>分，评价等级为“优”。</w:t>
      </w:r>
    </w:p>
    <w:p>
      <w:pPr>
        <w:autoSpaceDE w:val="0"/>
        <w:autoSpaceDN w:val="0"/>
        <w:adjustRightInd w:val="0"/>
        <w:spacing w:line="360" w:lineRule="auto"/>
        <w:ind w:firstLine="640" w:firstLineChars="200"/>
        <w:jc w:val="left"/>
        <w:rPr>
          <w:rFonts w:hint="eastAsia" w:ascii="仿宋_GB2312" w:hAnsi="仿宋_GB2312" w:eastAsia="仿宋_GB2312" w:cs="仿宋_GB2312"/>
          <w:color w:val="FF0000"/>
          <w:kern w:val="0"/>
          <w:sz w:val="32"/>
          <w:szCs w:val="32"/>
          <w:lang w:val="en-US" w:eastAsia="zh-CN"/>
        </w:rPr>
      </w:pPr>
      <w:r>
        <w:rPr>
          <w:rFonts w:hint="eastAsia" w:ascii="仿宋" w:hAnsi="仿宋" w:eastAsia="仿宋" w:cs="仿宋_GB2312"/>
          <w:color w:val="auto"/>
          <w:sz w:val="32"/>
          <w:szCs w:val="40"/>
          <w:lang w:val="en-US" w:eastAsia="zh-CN"/>
        </w:rPr>
        <w:t>从数量、时效方面保证部门基本运行及时支出，保障了人员经费及时足额到位，从社会效益看保障了群众文化活动全面开展。社会满意度及可持续性影响,</w:t>
      </w:r>
      <w:r>
        <w:rPr>
          <w:rFonts w:ascii="仿宋_GB2312" w:hAnsi="仿宋_GB2312" w:eastAsia="仿宋_GB2312" w:cs="仿宋_GB2312"/>
          <w:color w:val="auto"/>
          <w:kern w:val="0"/>
          <w:sz w:val="32"/>
          <w:szCs w:val="32"/>
        </w:rPr>
        <w:t>绩效自评结果应用</w:t>
      </w:r>
      <w:r>
        <w:rPr>
          <w:rFonts w:hint="eastAsia" w:ascii="仿宋_GB2312" w:hAnsi="仿宋_GB2312" w:eastAsia="仿宋_GB2312" w:cs="仿宋_GB2312"/>
          <w:color w:val="auto"/>
          <w:kern w:val="0"/>
          <w:sz w:val="32"/>
          <w:szCs w:val="32"/>
          <w:lang w:val="en-US" w:eastAsia="zh-CN"/>
        </w:rPr>
        <w:t>和未进行公开。</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兴国县永丰镇人民政府（本级）</w:t>
      </w:r>
      <w:r>
        <w:rPr>
          <w:rFonts w:hint="eastAsia" w:ascii="仿宋_GB2312" w:hAnsi="仿宋_GB2312" w:eastAsia="仿宋_GB2312" w:cs="仿宋_GB2312"/>
          <w:kern w:val="0"/>
          <w:sz w:val="32"/>
          <w:szCs w:val="32"/>
          <w:lang w:val="en-US" w:eastAsia="zh-CN"/>
        </w:rPr>
        <w:t>“ 2023年乡村振兴项目结余  ”“ 2024年衔接推进乡村振兴补助资金项目  ”“永丰镇上级资金（非“三保”资金）” 等项目支出绩效自评结果如下：</w:t>
      </w:r>
    </w:p>
    <w:tbl>
      <w:tblPr>
        <w:tblStyle w:val="9"/>
        <w:tblW w:w="9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8"/>
        <w:gridCol w:w="590"/>
        <w:gridCol w:w="1586"/>
        <w:gridCol w:w="1352"/>
        <w:gridCol w:w="619"/>
        <w:gridCol w:w="851"/>
        <w:gridCol w:w="1137"/>
        <w:gridCol w:w="554"/>
        <w:gridCol w:w="618"/>
        <w:gridCol w:w="766"/>
        <w:gridCol w:w="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永丰镇上级资金（非“三保”资金）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2,260.045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1,972.087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2260.044695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1972.086615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完成2024年500万元非三保项目资金拨付</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已完成2024年非三保项目资金拨付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非三保资金运用经济成本下降率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非三保资金运用社会成本下降率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非三保资金运用生态环境成本下降率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非三保资金完成率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非三保资金支付准确率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非三保资金运行及时率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产生了一定的社会效益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2023年乡村振兴项目结余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2023年乡村振兴项目结余100万元支出 </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完成2023年乡村振兴项目结余资金100%拨付率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资金绩效评价成本控制率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完成2023年结余100万元乡村振兴资拨付</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2023年结余乡村振兴资金使用准确率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2023年结余乡村振兴资金拨付及时率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乡村振兴资金使用认可率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乡村振兴资金使用部门满意度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2024年衔接推进乡村振兴补助资金项目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972.782</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947.63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972.7825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947.629704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2024年永丰镇衔接推进乡村振兴项目补助1300万元</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完成2024年永丰镇衔接推进乡村振兴项目补助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乡村振兴衔接项目总成本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乡村振兴衔接项目生态成本率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完成乡村振兴衔接项目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乡村振兴衔接项目监督检查覆盖率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各项目完成及时率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增加脱贫人口收入</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产生了一定的社会效益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项目建设单位满意度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4"/>
        <w:rPr>
          <w:rFonts w:hint="eastAsia"/>
          <w:lang w:val="en-US" w:eastAsia="zh-CN"/>
        </w:rPr>
      </w:pPr>
    </w:p>
    <w:p>
      <w:pPr>
        <w:autoSpaceDE w:val="0"/>
        <w:autoSpaceDN w:val="0"/>
        <w:adjustRightInd w:val="0"/>
        <w:spacing w:line="360" w:lineRule="auto"/>
        <w:ind w:firstLine="600"/>
        <w:jc w:val="left"/>
        <w:outlineLvl w:val="2"/>
        <w:rPr>
          <w:rFonts w:hint="eastAsia" w:ascii="宋体" w:hAnsi="宋体" w:cs="宋体"/>
          <w:b/>
          <w:bCs/>
          <w:sz w:val="44"/>
          <w:szCs w:val="44"/>
          <w:lang w:val="en-US" w:eastAsia="zh-CN"/>
        </w:rPr>
      </w:pPr>
      <w:r>
        <w:rPr>
          <w:rFonts w:hint="eastAsia" w:ascii="仿宋_GB2312" w:hAnsi="仿宋_GB2312" w:eastAsia="仿宋_GB2312" w:cs="仿宋_GB2312"/>
          <w:b/>
          <w:bCs/>
          <w:kern w:val="0"/>
          <w:sz w:val="32"/>
          <w:szCs w:val="32"/>
          <w:lang w:val="en-US" w:eastAsia="zh-CN"/>
        </w:rPr>
        <w:t>（三）部门评价项目绩效评价情况。</w:t>
      </w:r>
      <w:r>
        <w:rPr>
          <w:rFonts w:hint="eastAsia" w:ascii="仿宋_GB2312" w:hAnsi="仿宋_GB2312" w:eastAsia="仿宋_GB2312" w:cs="仿宋_GB2312"/>
          <w:kern w:val="0"/>
          <w:sz w:val="32"/>
          <w:szCs w:val="32"/>
          <w:lang w:val="en-US" w:eastAsia="zh-CN"/>
        </w:rPr>
        <w:t>项目部门评价报告见第五部分附件。</w:t>
      </w:r>
    </w:p>
    <w:p>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pPr>
        <w:pStyle w:val="16"/>
        <w:spacing w:line="600" w:lineRule="atLeast"/>
        <w:ind w:firstLine="600"/>
        <w:jc w:val="both"/>
        <w:rPr>
          <w:rFonts w:hint="eastAsia" w:ascii="仿宋_GB2312" w:hAnsi="仿宋_GB2312" w:eastAsia="仿宋_GB2312"/>
          <w:sz w:val="30"/>
          <w:szCs w:val="30"/>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pPr>
        <w:pStyle w:val="8"/>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1．财政拨款收入：指本年度从本级财政部门取得的财政拨款，包括一般公共预算财政拨款和政府性基金预算财政拨款。</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2．事业收入：指事业单位开展专业业务活动及其辅助活动取得的收入；事业单位收到的财政专户实际核拨的教育收费等资金在此反映。</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3．经营收入：指事业单位在专业业务活动及其辅助活动之外开展非独立核算经营活动取得的收入。</w:t>
      </w:r>
    </w:p>
    <w:p>
      <w:pPr>
        <w:pStyle w:val="8"/>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4.年初结转和结余：指单位上年结转本年使用的基本支出结转、项目支出结转和结余、经营结余。不包括事业单位净资产项下的事业基金和专用基金。</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5．年末结转和结余：指单位结转下年的基本支出结转、项目支出结转和结余、经营结余。不包括事业单位净资产项下的事业基金和专用基金。</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lang w:val="en-US" w:eastAsia="zh-CN"/>
        </w:rPr>
        <w:t xml:space="preserve"> 1.</w:t>
      </w:r>
      <w:r>
        <w:rPr>
          <w:rFonts w:hint="eastAsia" w:ascii="仿宋" w:hAnsi="仿宋" w:eastAsia="仿宋"/>
          <w:color w:val="000000"/>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2</w:t>
      </w:r>
      <w:r>
        <w:rPr>
          <w:rFonts w:hint="eastAsia" w:ascii="仿宋" w:hAnsi="仿宋" w:eastAsia="仿宋"/>
          <w:color w:val="000000"/>
          <w:sz w:val="30"/>
          <w:szCs w:val="30"/>
        </w:rPr>
        <w:t>．项目支出：指在基本支出之外为完成特定行政任务和事业发展目标所发生的支出。</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3</w:t>
      </w:r>
      <w:r>
        <w:rPr>
          <w:rFonts w:hint="eastAsia" w:ascii="仿宋" w:hAnsi="仿宋" w:eastAsia="仿宋"/>
          <w:color w:val="000000"/>
          <w:sz w:val="30"/>
          <w:szCs w:val="30"/>
        </w:rPr>
        <w:t>．经营支出：指事业单位在专业业务活动及其辅助活动之外开展非独立核算经营活动发生的支出。</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．工资福利支出（支出经济分类科目类级）：反映单位开支的在职职工和编制外长期聘用人员的各类劳动报酬，以及为上述人员缴纳的各项社会保险费等。</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．商品和服务支出（支出经济分类科目类级）：反映单位购买商品和服务的支出（不包括用于购置固定资产的支出、战略性和应急储备支出）。</w:t>
      </w:r>
    </w:p>
    <w:p>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．对个人和家庭的补助（支出经济分类科目类级）：反映用于对个人和家庭的补助支出。</w:t>
      </w:r>
    </w:p>
    <w:p>
      <w:pPr>
        <w:ind w:firstLine="630"/>
        <w:jc w:val="left"/>
        <w:rPr>
          <w:rFonts w:hint="eastAsia" w:ascii="仿宋_GB2312" w:hAnsi="仿宋_GB2312" w:eastAsia="仿宋_GB2312"/>
          <w:color w:val="auto"/>
          <w:sz w:val="30"/>
          <w:szCs w:val="30"/>
        </w:rPr>
      </w:pPr>
      <w:r>
        <w:rPr>
          <w:rFonts w:hint="eastAsia" w:ascii="仿宋" w:hAnsi="仿宋" w:eastAsia="仿宋"/>
          <w:color w:val="000000"/>
          <w:sz w:val="30"/>
          <w:szCs w:val="30"/>
          <w:lang w:val="en-US" w:eastAsia="zh-CN"/>
        </w:rPr>
        <w:t>7</w:t>
      </w:r>
      <w:r>
        <w:rPr>
          <w:rFonts w:hint="eastAsia" w:ascii="仿宋" w:hAnsi="仿宋" w:eastAsia="仿宋"/>
          <w:color w:val="000000"/>
          <w:sz w:val="30"/>
          <w:szCs w:val="30"/>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widowControl/>
        <w:numPr>
          <w:ilvl w:val="0"/>
          <w:numId w:val="2"/>
        </w:numPr>
        <w:spacing w:line="600" w:lineRule="exact"/>
        <w:ind w:firstLine="2664" w:firstLineChars="603"/>
        <w:jc w:val="both"/>
        <w:outlineLvl w:val="0"/>
        <w:rPr>
          <w:rFonts w:hint="eastAsia" w:ascii="宋体" w:hAnsi="宋体" w:cs="宋体"/>
          <w:b/>
          <w:bCs/>
          <w:sz w:val="44"/>
          <w:szCs w:val="44"/>
          <w:lang w:val="en-US" w:eastAsia="zh-CN"/>
        </w:rPr>
      </w:pPr>
      <w:r>
        <w:rPr>
          <w:rFonts w:hint="eastAsia" w:ascii="宋体" w:hAnsi="宋体" w:cs="宋体"/>
          <w:b/>
          <w:bCs/>
          <w:sz w:val="44"/>
          <w:szCs w:val="44"/>
          <w:lang w:val="en-US" w:eastAsia="zh-CN"/>
        </w:rPr>
        <w:t xml:space="preserve"> 附件</w:t>
      </w:r>
    </w:p>
    <w:p>
      <w:pPr>
        <w:widowControl/>
        <w:numPr>
          <w:numId w:val="0"/>
        </w:numPr>
        <w:spacing w:line="600" w:lineRule="exact"/>
        <w:jc w:val="both"/>
        <w:outlineLvl w:val="0"/>
        <w:rPr>
          <w:rFonts w:hint="eastAsia" w:ascii="宋体" w:hAnsi="宋体" w:cs="宋体"/>
          <w:b/>
          <w:bCs/>
          <w:sz w:val="44"/>
          <w:szCs w:val="44"/>
          <w:lang w:val="en-US" w:eastAsia="zh-CN"/>
        </w:rPr>
      </w:pPr>
    </w:p>
    <w:p>
      <w:pPr>
        <w:ind w:firstLine="320" w:firstLineChars="100"/>
        <w:jc w:val="both"/>
        <w:rPr>
          <w:rFonts w:hint="eastAsia" w:ascii="仿宋_GB2312" w:hAnsi="仿宋_GB2312" w:eastAsia="仿宋_GB2312"/>
          <w:color w:val="FF0000"/>
          <w:kern w:val="0"/>
          <w:sz w:val="32"/>
          <w:szCs w:val="32"/>
          <w:lang w:val="en-US" w:eastAsia="zh-CN"/>
        </w:rPr>
      </w:pPr>
      <w:r>
        <w:rPr>
          <w:rFonts w:hint="eastAsia" w:ascii="黑体" w:hAnsi="黑体" w:eastAsia="黑体" w:cs="黑体"/>
          <w:sz w:val="32"/>
          <w:szCs w:val="32"/>
        </w:rPr>
        <w:t>2024年衔接推进乡村振兴补助资金项目</w:t>
      </w:r>
      <w:r>
        <w:rPr>
          <w:rFonts w:hint="eastAsia" w:ascii="黑体" w:hAnsi="黑体" w:eastAsia="黑体" w:cs="黑体"/>
          <w:sz w:val="32"/>
          <w:szCs w:val="32"/>
          <w:lang w:eastAsia="zh-CN"/>
        </w:rPr>
        <w:t>部门评价报告</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rPr>
      </w:pPr>
      <w:r>
        <w:rPr>
          <w:rFonts w:hint="eastAsia" w:ascii="楷体" w:hAnsi="楷体" w:eastAsia="楷体" w:cs="楷体"/>
          <w:b/>
          <w:bCs/>
          <w:sz w:val="32"/>
          <w:szCs w:val="32"/>
        </w:rPr>
        <w:t>（一）项目背景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为做好巩固拓展脱贫攻坚成果与乡村振兴有效衔接，根据</w:t>
      </w:r>
      <w:r>
        <w:rPr>
          <w:rFonts w:hint="eastAsia" w:ascii="仿宋_GB2312" w:hAnsi="仿宋_GB2312" w:eastAsia="仿宋_GB2312" w:cs="仿宋_GB2312"/>
          <w:sz w:val="32"/>
          <w:szCs w:val="32"/>
          <w:highlight w:val="none"/>
          <w:lang w:eastAsia="zh-CN"/>
        </w:rPr>
        <w:t>上级</w:t>
      </w:r>
      <w:r>
        <w:rPr>
          <w:rFonts w:hint="eastAsia" w:ascii="仿宋_GB2312" w:hAnsi="仿宋_GB2312" w:eastAsia="仿宋_GB2312" w:cs="仿宋_GB2312"/>
          <w:sz w:val="32"/>
          <w:szCs w:val="32"/>
          <w:highlight w:val="none"/>
        </w:rPr>
        <w:t>文件要求，结合我镇实际情况，特编制本项目，旨在通过衔接推进乡村振兴补助资金的投入，解决我镇基础设施、产业发展等方面的短板，促进农业增效、农民增收，推动乡村全面振兴。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楷体" w:cs="仿宋_GB2312"/>
          <w:sz w:val="32"/>
          <w:szCs w:val="32"/>
          <w:highlight w:val="none"/>
          <w:lang w:eastAsia="zh-CN"/>
        </w:rPr>
      </w:pPr>
      <w:r>
        <w:rPr>
          <w:rFonts w:hint="eastAsia" w:ascii="楷体" w:hAnsi="楷体" w:eastAsia="楷体" w:cs="楷体"/>
          <w:b/>
          <w:bCs/>
          <w:sz w:val="32"/>
          <w:szCs w:val="32"/>
        </w:rPr>
        <w:t>（二）项目主要内</w:t>
      </w:r>
      <w:r>
        <w:rPr>
          <w:rFonts w:hint="eastAsia" w:ascii="楷体" w:hAnsi="楷体" w:eastAsia="楷体" w:cs="楷体"/>
          <w:b/>
          <w:bCs/>
          <w:sz w:val="32"/>
          <w:szCs w:val="32"/>
          <w:lang w:eastAsia="zh-CN"/>
        </w:rPr>
        <w:t>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我镇2024年衔接推进乡村振兴补助资金项目涵盖基础设施建设与</w:t>
      </w:r>
      <w:r>
        <w:rPr>
          <w:rFonts w:hint="eastAsia" w:ascii="仿宋_GB2312" w:hAnsi="仿宋_GB2312" w:eastAsia="仿宋_GB2312" w:cs="仿宋_GB2312"/>
          <w:sz w:val="32"/>
          <w:szCs w:val="32"/>
          <w:highlight w:val="none"/>
          <w:lang w:eastAsia="zh-CN"/>
        </w:rPr>
        <w:t>村内道路修建、巩固脱贫攻坚成果、农业产业发展等方面</w:t>
      </w:r>
      <w:r>
        <w:rPr>
          <w:rFonts w:hint="eastAsia" w:ascii="仿宋_GB2312" w:hAnsi="仿宋_GB2312" w:eastAsia="仿宋_GB2312" w:cs="仿宋_GB2312"/>
          <w:sz w:val="32"/>
          <w:szCs w:val="32"/>
          <w:highlight w:val="none"/>
        </w:rPr>
        <w:t>，具体包括：荷岭村粮油加工设备项目、荷岭、豪溪、西山等村农产品生产加工仓储一体化基地项目、里坳坝桥项目等共</w:t>
      </w:r>
      <w:r>
        <w:rPr>
          <w:rFonts w:hint="eastAsia" w:ascii="仿宋_GB2312" w:hAnsi="仿宋_GB2312" w:eastAsia="仿宋_GB2312" w:cs="仿宋_GB2312"/>
          <w:sz w:val="32"/>
          <w:szCs w:val="32"/>
          <w:highlight w:val="none"/>
          <w:lang w:val="en-US" w:eastAsia="zh-CN"/>
        </w:rPr>
        <w:t>58</w:t>
      </w:r>
      <w:r>
        <w:rPr>
          <w:rFonts w:hint="eastAsia" w:ascii="仿宋_GB2312" w:hAnsi="仿宋_GB2312" w:eastAsia="仿宋_GB2312" w:cs="仿宋_GB2312"/>
          <w:sz w:val="32"/>
          <w:szCs w:val="32"/>
          <w:highlight w:val="none"/>
        </w:rPr>
        <w:t>个具体项目，分别聚焦解决群众生产生活设施短板、带动农户增收等核心需求。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楷体"/>
          <w:lang w:eastAsia="zh-CN"/>
        </w:rPr>
      </w:pPr>
      <w:r>
        <w:rPr>
          <w:rFonts w:hint="eastAsia" w:ascii="楷体" w:hAnsi="楷体" w:eastAsia="楷体" w:cs="楷体"/>
          <w:b/>
          <w:bCs/>
          <w:sz w:val="32"/>
          <w:szCs w:val="32"/>
        </w:rPr>
        <w:t>（三）项目资金投入及使用情</w:t>
      </w:r>
      <w:r>
        <w:rPr>
          <w:rFonts w:hint="eastAsia" w:ascii="楷体" w:hAnsi="楷体" w:eastAsia="楷体" w:cs="楷体"/>
          <w:b/>
          <w:bCs/>
          <w:sz w:val="32"/>
          <w:szCs w:val="32"/>
          <w:lang w:eastAsia="zh-CN"/>
        </w:rPr>
        <w:t>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 资金投入情况：2024年共收到资金</w:t>
      </w:r>
      <w:r>
        <w:rPr>
          <w:rFonts w:hint="eastAsia" w:ascii="仿宋_GB2312" w:hAnsi="仿宋_GB2312" w:eastAsia="仿宋_GB2312" w:cs="仿宋_GB2312"/>
          <w:sz w:val="32"/>
          <w:szCs w:val="32"/>
          <w:highlight w:val="none"/>
          <w:lang w:val="en-US" w:eastAsia="zh-CN"/>
        </w:rPr>
        <w:t>972</w:t>
      </w:r>
      <w:r>
        <w:rPr>
          <w:rFonts w:hint="eastAsia" w:ascii="仿宋_GB2312" w:hAnsi="仿宋_GB2312" w:eastAsia="仿宋_GB2312" w:cs="仿宋_GB2312"/>
          <w:sz w:val="32"/>
          <w:szCs w:val="32"/>
          <w:highlight w:val="none"/>
        </w:rPr>
        <w:t>万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 资金使用情况：截至2024年12月31日，项目实际支出</w:t>
      </w:r>
      <w:r>
        <w:rPr>
          <w:rFonts w:hint="eastAsia" w:ascii="仿宋_GB2312" w:hAnsi="仿宋_GB2312" w:eastAsia="仿宋_GB2312" w:cs="仿宋_GB2312"/>
          <w:sz w:val="32"/>
          <w:szCs w:val="32"/>
          <w:highlight w:val="none"/>
          <w:lang w:val="en-US" w:eastAsia="zh-CN"/>
        </w:rPr>
        <w:t>947.63</w:t>
      </w:r>
      <w:r>
        <w:rPr>
          <w:rFonts w:hint="eastAsia" w:ascii="仿宋_GB2312" w:hAnsi="仿宋_GB2312" w:eastAsia="仿宋_GB2312" w:cs="仿宋_GB2312"/>
          <w:sz w:val="32"/>
          <w:szCs w:val="32"/>
          <w:highlight w:val="none"/>
        </w:rPr>
        <w:t>万元，预算执行率</w:t>
      </w:r>
      <w:r>
        <w:rPr>
          <w:rFonts w:hint="eastAsia" w:ascii="仿宋_GB2312" w:hAnsi="仿宋_GB2312" w:eastAsia="仿宋_GB2312" w:cs="仿宋_GB2312"/>
          <w:sz w:val="32"/>
          <w:szCs w:val="32"/>
          <w:highlight w:val="none"/>
          <w:lang w:val="en-US" w:eastAsia="zh-CN"/>
        </w:rPr>
        <w:t>97.4</w:t>
      </w:r>
      <w:r>
        <w:rPr>
          <w:rFonts w:hint="eastAsia" w:ascii="仿宋_GB2312" w:hAnsi="仿宋_GB2312" w:eastAsia="仿宋_GB2312" w:cs="仿宋_GB2312"/>
          <w:sz w:val="32"/>
          <w:szCs w:val="32"/>
          <w:highlight w:val="none"/>
        </w:rPr>
        <w:t>%。资金主要用于工程建设材料采购、施工劳务支付、设备购置、项目管理费用等，未发生截留、挤占、挪用等情况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二</w:t>
      </w:r>
      <w:r>
        <w:rPr>
          <w:rFonts w:hint="eastAsia" w:ascii="黑体" w:hAnsi="黑体" w:eastAsia="黑体" w:cs="黑体"/>
          <w:sz w:val="32"/>
          <w:szCs w:val="32"/>
        </w:rPr>
        <w:t>、自评得分及绩效目标实现情况</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（一）部门整体支出绩效自评情况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自评得分：根据部门整体支出绩效评价指标体系，对本镇</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部门整体支出进行自评，最终得分为</w:t>
      </w:r>
      <w:r>
        <w:rPr>
          <w:rFonts w:hint="eastAsia" w:ascii="仿宋_GB2312" w:hAnsi="仿宋_GB2312" w:eastAsia="仿宋_GB2312" w:cs="仿宋_GB2312"/>
          <w:sz w:val="32"/>
          <w:szCs w:val="32"/>
          <w:highlight w:val="none"/>
          <w:lang w:val="en-US" w:eastAsia="zh-CN"/>
        </w:rPr>
        <w:t>95</w:t>
      </w:r>
      <w:r>
        <w:rPr>
          <w:rFonts w:hint="eastAsia" w:ascii="仿宋_GB2312" w:hAnsi="仿宋_GB2312" w:eastAsia="仿宋_GB2312" w:cs="仿宋_GB2312"/>
          <w:sz w:val="32"/>
          <w:szCs w:val="32"/>
        </w:rPr>
        <w:t>分，评价等级为“优”。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三</w:t>
      </w:r>
      <w:r>
        <w:rPr>
          <w:rFonts w:hint="eastAsia" w:ascii="黑体" w:hAnsi="黑体" w:eastAsia="黑体" w:cs="黑体"/>
          <w:sz w:val="32"/>
          <w:szCs w:val="32"/>
        </w:rPr>
        <w:t>、发现的问题及改进措施</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（一）存在问题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预算编制不够精准：部分项目预算在编制时对项目实施过程中的不确定性因素考虑不足，导致预算执行过程中调整较大，影响了预算的严肃性和资金使用效率。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项目管理水平有待提高：个别项目在实施过程中存在进度把控不严、质量管理不到位等问题，导致项目进度滞后、质量不达标，影响了项目绩效目标的实现。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3. 资金使用效益有待提升：部分项目资金支出进度缓慢，存在资金闲置现象，同时一些项目在实施过程中未能充分发挥资金的最大效益，存在浪费现象。</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加强预算编制管理：在编制预算前，深入开展项目调研和论证，充分考虑项目实施过程中的各种因素，提高预算编制的科学性和准确性。同时，建立预算编制审核机制，对预算编制进行严格审核，确保预算编制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强化项目管理：建立健全项目管理制度，加强对项目实施过程的全程监管，明确项目进度、质量、安全等方面的要求和责任。加强项目管理人员培训，提高项目管理水平，确保项目按计划顺利实施。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Theme="minorEastAsia"/>
          <w:lang w:eastAsia="zh-CN"/>
        </w:rPr>
      </w:pPr>
      <w:r>
        <w:rPr>
          <w:rFonts w:hint="eastAsia" w:ascii="仿宋_GB2312" w:hAnsi="仿宋_GB2312" w:eastAsia="仿宋_GB2312" w:cs="仿宋_GB2312"/>
          <w:sz w:val="32"/>
          <w:szCs w:val="32"/>
        </w:rPr>
        <w:t>3. 提高资金使用效益：加强对资金使用的监控和分析，及时掌握资金使用情况，对资金支出进度缓慢的项目进行督促和整改。同时，优化项目资金使用方案，提高资金使用效率，避免资金浪费。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四</w:t>
      </w:r>
      <w:r>
        <w:rPr>
          <w:rFonts w:hint="eastAsia" w:ascii="黑体" w:hAnsi="黑体" w:eastAsia="黑体" w:cs="黑体"/>
          <w:sz w:val="32"/>
          <w:szCs w:val="32"/>
        </w:rPr>
        <w:t>、绩效自评工作经验问题总结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工作经验：在绩效自评工作中，建立了完善的工作机制，明确了各部门的职责分工，确保了自评工作的顺利开展。同时，注重收集和整理相关资料，为绩效评价提供了有力的数据支持和证据支撑。此外，通过开展绩效自评工作，提高了各部门对绩效管理的认识和重视程度，促进了部门管理水平的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存在问题：绩效自评工作中存在评价指标体系不够完善、评价方法不够科学等问题，导致评价结果的准确性和客观性受到一定影响。同时，部分部门对绩效自评工作的配合度不高，存在资料提供不及时、数据不准确等问题，影响了自评工作的进度和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改进方向：进一步完善绩效评价指标体系，结合本乡镇的实际情况和工作重点，科学合理地设置评价指标，提高评价指标的针对性和可操作性。同时，加强对评价方法的研究和应用，采用定量与定性相结合的评价方法，确保评价结果的准确性和客观性。此外，加强对各部门的宣传和培训，提高部门对绩效自评工作的认识和配合度，确保自评工作的顺利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、其他说明问题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绩效评价报告是在本乡镇各部门提供的资料和数据基础上编制的，由于资料和数据的局限性以及评价人员的专业水平有限，报告中可能存在不足之处，敬请批评指正。同时，本乡镇将以此次绩效评价为契机，不断加强预算管理和绩效管理，提高财政资金使用效益，为乡镇经济社会发展提供有力保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永丰镇上级资金（非“三保”资金）</w:t>
      </w:r>
      <w:r>
        <w:rPr>
          <w:rFonts w:hint="eastAsia" w:ascii="黑体" w:hAnsi="黑体" w:eastAsia="黑体" w:cs="黑体"/>
          <w:sz w:val="32"/>
          <w:szCs w:val="32"/>
        </w:rPr>
        <w:t>项目</w:t>
      </w:r>
      <w:r>
        <w:rPr>
          <w:rFonts w:hint="eastAsia" w:ascii="黑体" w:hAnsi="黑体" w:eastAsia="黑体" w:cs="黑体"/>
          <w:sz w:val="32"/>
          <w:szCs w:val="32"/>
          <w:lang w:eastAsia="zh-CN"/>
        </w:rPr>
        <w:t>部门评价报告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rPr>
      </w:pPr>
      <w:r>
        <w:rPr>
          <w:rFonts w:hint="eastAsia" w:ascii="楷体" w:hAnsi="楷体" w:eastAsia="楷体" w:cs="楷体"/>
          <w:b/>
          <w:bCs/>
          <w:sz w:val="32"/>
          <w:szCs w:val="32"/>
        </w:rPr>
        <w:t>（一）项目背景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为做好</w:t>
      </w:r>
      <w:r>
        <w:rPr>
          <w:rFonts w:hint="eastAsia" w:ascii="仿宋_GB2312" w:hAnsi="仿宋_GB2312" w:eastAsia="仿宋_GB2312" w:cs="仿宋_GB2312"/>
          <w:sz w:val="32"/>
          <w:szCs w:val="32"/>
          <w:highlight w:val="none"/>
          <w:lang w:eastAsia="zh-CN"/>
        </w:rPr>
        <w:t>上级财政资金使用要求，规范上级资金管理与使用，强化资金支出责任，提升财政资金效益，推动乡村振兴与基础公共服务升级</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上级</w:t>
      </w:r>
      <w:r>
        <w:rPr>
          <w:rFonts w:hint="eastAsia" w:ascii="仿宋_GB2312" w:hAnsi="仿宋_GB2312" w:eastAsia="仿宋_GB2312" w:cs="仿宋_GB2312"/>
          <w:sz w:val="32"/>
          <w:szCs w:val="32"/>
          <w:highlight w:val="none"/>
        </w:rPr>
        <w:t>文件要求，结合我镇实际情况，特编制本项目，旨在通过</w:t>
      </w:r>
      <w:r>
        <w:rPr>
          <w:rFonts w:hint="eastAsia" w:ascii="仿宋_GB2312" w:hAnsi="仿宋_GB2312" w:eastAsia="仿宋_GB2312" w:cs="仿宋_GB2312"/>
          <w:sz w:val="32"/>
          <w:szCs w:val="32"/>
          <w:highlight w:val="none"/>
          <w:lang w:eastAsia="zh-CN"/>
        </w:rPr>
        <w:t>上级资金（非三保资金）</w:t>
      </w:r>
      <w:r>
        <w:rPr>
          <w:rFonts w:hint="eastAsia" w:ascii="仿宋_GB2312" w:hAnsi="仿宋_GB2312" w:eastAsia="仿宋_GB2312" w:cs="仿宋_GB2312"/>
          <w:sz w:val="32"/>
          <w:szCs w:val="32"/>
          <w:highlight w:val="none"/>
        </w:rPr>
        <w:t>的投入，解决我镇基础设施、产业发展等方面的短板，促进农业增效、农民增收，推动乡村全面振兴。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楷体" w:cs="仿宋_GB2312"/>
          <w:sz w:val="32"/>
          <w:szCs w:val="32"/>
          <w:highlight w:val="none"/>
          <w:lang w:eastAsia="zh-CN"/>
        </w:rPr>
      </w:pPr>
      <w:r>
        <w:rPr>
          <w:rFonts w:hint="eastAsia" w:ascii="楷体" w:hAnsi="楷体" w:eastAsia="楷体" w:cs="楷体"/>
          <w:b/>
          <w:bCs/>
          <w:sz w:val="32"/>
          <w:szCs w:val="32"/>
        </w:rPr>
        <w:t>（二）项目主要内</w:t>
      </w:r>
      <w:r>
        <w:rPr>
          <w:rFonts w:hint="eastAsia" w:ascii="楷体" w:hAnsi="楷体" w:eastAsia="楷体" w:cs="楷体"/>
          <w:b/>
          <w:bCs/>
          <w:sz w:val="32"/>
          <w:szCs w:val="32"/>
          <w:lang w:eastAsia="zh-CN"/>
        </w:rPr>
        <w:t>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我镇2024年</w:t>
      </w:r>
      <w:r>
        <w:rPr>
          <w:rFonts w:hint="eastAsia" w:ascii="仿宋_GB2312" w:hAnsi="仿宋_GB2312" w:eastAsia="仿宋_GB2312" w:cs="仿宋_GB2312"/>
          <w:sz w:val="32"/>
          <w:szCs w:val="32"/>
          <w:highlight w:val="none"/>
          <w:lang w:val="en-US" w:eastAsia="zh-CN"/>
        </w:rPr>
        <w:t>上级资金（非“三保”资金）</w:t>
      </w:r>
      <w:r>
        <w:rPr>
          <w:rFonts w:hint="eastAsia" w:ascii="仿宋_GB2312" w:hAnsi="仿宋_GB2312" w:eastAsia="仿宋_GB2312" w:cs="仿宋_GB2312"/>
          <w:sz w:val="32"/>
          <w:szCs w:val="32"/>
          <w:highlight w:val="none"/>
        </w:rPr>
        <w:t>项目涵盖基础设施建设与</w:t>
      </w:r>
      <w:r>
        <w:rPr>
          <w:rFonts w:hint="eastAsia" w:ascii="仿宋_GB2312" w:hAnsi="仿宋_GB2312" w:eastAsia="仿宋_GB2312" w:cs="仿宋_GB2312"/>
          <w:sz w:val="32"/>
          <w:szCs w:val="32"/>
          <w:highlight w:val="none"/>
          <w:lang w:eastAsia="zh-CN"/>
        </w:rPr>
        <w:t>村内道路修建、巩固脱贫攻坚成果、农业产业发展等方面</w:t>
      </w:r>
      <w:r>
        <w:rPr>
          <w:rFonts w:hint="eastAsia" w:ascii="仿宋_GB2312" w:hAnsi="仿宋_GB2312" w:eastAsia="仿宋_GB2312" w:cs="仿宋_GB2312"/>
          <w:sz w:val="32"/>
          <w:szCs w:val="32"/>
          <w:highlight w:val="none"/>
        </w:rPr>
        <w:t>，具体包括：</w:t>
      </w:r>
      <w:r>
        <w:rPr>
          <w:rFonts w:hint="eastAsia" w:ascii="仿宋_GB2312" w:hAnsi="仿宋_GB2312" w:eastAsia="仿宋_GB2312" w:cs="仿宋_GB2312"/>
          <w:sz w:val="32"/>
          <w:szCs w:val="32"/>
          <w:highlight w:val="none"/>
          <w:lang w:eastAsia="zh-CN"/>
        </w:rPr>
        <w:t>农村污水处理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各村疫木除治</w:t>
      </w:r>
      <w:r>
        <w:rPr>
          <w:rFonts w:hint="eastAsia" w:ascii="仿宋_GB2312" w:hAnsi="仿宋_GB2312" w:eastAsia="仿宋_GB2312" w:cs="仿宋_GB2312"/>
          <w:sz w:val="32"/>
          <w:szCs w:val="32"/>
          <w:highlight w:val="none"/>
        </w:rPr>
        <w:t>项目、</w:t>
      </w:r>
      <w:r>
        <w:rPr>
          <w:rFonts w:hint="eastAsia" w:ascii="仿宋_GB2312" w:hAnsi="仿宋_GB2312" w:eastAsia="仿宋_GB2312" w:cs="仿宋_GB2312"/>
          <w:sz w:val="32"/>
          <w:szCs w:val="32"/>
          <w:highlight w:val="none"/>
          <w:lang w:eastAsia="zh-CN"/>
        </w:rPr>
        <w:t>永丰镇片区综合开发项目</w:t>
      </w:r>
      <w:r>
        <w:rPr>
          <w:rFonts w:hint="eastAsia" w:ascii="仿宋_GB2312" w:hAnsi="仿宋_GB2312" w:eastAsia="仿宋_GB2312" w:cs="仿宋_GB2312"/>
          <w:sz w:val="32"/>
          <w:szCs w:val="32"/>
          <w:highlight w:val="none"/>
        </w:rPr>
        <w:t>等共</w:t>
      </w:r>
      <w:r>
        <w:rPr>
          <w:rFonts w:hint="eastAsia" w:ascii="仿宋_GB2312" w:hAnsi="仿宋_GB2312" w:eastAsia="仿宋_GB2312" w:cs="仿宋_GB2312"/>
          <w:sz w:val="32"/>
          <w:szCs w:val="32"/>
          <w:highlight w:val="none"/>
          <w:lang w:val="en-US" w:eastAsia="zh-CN"/>
        </w:rPr>
        <w:t>多个</w:t>
      </w:r>
      <w:r>
        <w:rPr>
          <w:rFonts w:hint="eastAsia" w:ascii="仿宋_GB2312" w:hAnsi="仿宋_GB2312" w:eastAsia="仿宋_GB2312" w:cs="仿宋_GB2312"/>
          <w:sz w:val="32"/>
          <w:szCs w:val="32"/>
          <w:highlight w:val="none"/>
        </w:rPr>
        <w:t>具体项目，分别聚焦解决群众生产生活设施短板、带动农户增收等核心需求。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楷体"/>
          <w:lang w:eastAsia="zh-CN"/>
        </w:rPr>
      </w:pPr>
      <w:r>
        <w:rPr>
          <w:rFonts w:hint="eastAsia" w:ascii="楷体" w:hAnsi="楷体" w:eastAsia="楷体" w:cs="楷体"/>
          <w:b/>
          <w:bCs/>
          <w:sz w:val="32"/>
          <w:szCs w:val="32"/>
        </w:rPr>
        <w:t>（三）项目资金投入及使用情</w:t>
      </w:r>
      <w:r>
        <w:rPr>
          <w:rFonts w:hint="eastAsia" w:ascii="楷体" w:hAnsi="楷体" w:eastAsia="楷体" w:cs="楷体"/>
          <w:b/>
          <w:bCs/>
          <w:sz w:val="32"/>
          <w:szCs w:val="32"/>
          <w:lang w:eastAsia="zh-CN"/>
        </w:rPr>
        <w:t>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 资金投入情况：2024年</w:t>
      </w:r>
      <w:r>
        <w:rPr>
          <w:rFonts w:hint="eastAsia" w:ascii="仿宋_GB2312" w:hAnsi="仿宋_GB2312" w:eastAsia="仿宋_GB2312" w:cs="仿宋_GB2312"/>
          <w:sz w:val="32"/>
          <w:szCs w:val="32"/>
          <w:highlight w:val="none"/>
          <w:lang w:eastAsia="zh-CN"/>
        </w:rPr>
        <w:t>预算</w:t>
      </w:r>
      <w:r>
        <w:rPr>
          <w:rFonts w:hint="eastAsia" w:ascii="仿宋_GB2312" w:hAnsi="仿宋_GB2312" w:eastAsia="仿宋_GB2312" w:cs="仿宋_GB2312"/>
          <w:sz w:val="32"/>
          <w:szCs w:val="32"/>
          <w:highlight w:val="none"/>
        </w:rPr>
        <w:t>资金</w:t>
      </w:r>
      <w:r>
        <w:rPr>
          <w:rFonts w:hint="eastAsia" w:ascii="仿宋_GB2312" w:hAnsi="仿宋_GB2312" w:eastAsia="仿宋_GB2312" w:cs="仿宋_GB2312"/>
          <w:sz w:val="32"/>
          <w:szCs w:val="32"/>
          <w:highlight w:val="none"/>
          <w:lang w:eastAsia="zh-CN"/>
        </w:rPr>
        <w:t>共</w:t>
      </w:r>
      <w:r>
        <w:rPr>
          <w:rFonts w:hint="eastAsia" w:ascii="仿宋_GB2312" w:hAnsi="仿宋_GB2312" w:eastAsia="仿宋_GB2312" w:cs="仿宋_GB2312"/>
          <w:sz w:val="32"/>
          <w:szCs w:val="32"/>
          <w:highlight w:val="none"/>
          <w:lang w:val="en-US" w:eastAsia="zh-CN"/>
        </w:rPr>
        <w:t>2260</w:t>
      </w:r>
      <w:r>
        <w:rPr>
          <w:rFonts w:hint="eastAsia" w:ascii="仿宋_GB2312" w:hAnsi="仿宋_GB2312" w:eastAsia="仿宋_GB2312" w:cs="仿宋_GB2312"/>
          <w:sz w:val="32"/>
          <w:szCs w:val="32"/>
          <w:highlight w:val="none"/>
        </w:rPr>
        <w:t>万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 资金使用情况：截至2024年12月31日，项目实际支出</w:t>
      </w:r>
      <w:r>
        <w:rPr>
          <w:rFonts w:hint="eastAsia" w:ascii="仿宋_GB2312" w:hAnsi="仿宋_GB2312" w:eastAsia="仿宋_GB2312" w:cs="仿宋_GB2312"/>
          <w:sz w:val="32"/>
          <w:szCs w:val="32"/>
          <w:highlight w:val="none"/>
          <w:lang w:val="en-US" w:eastAsia="zh-CN"/>
        </w:rPr>
        <w:t>1972</w:t>
      </w:r>
      <w:r>
        <w:rPr>
          <w:rFonts w:hint="eastAsia" w:ascii="仿宋_GB2312" w:hAnsi="仿宋_GB2312" w:eastAsia="仿宋_GB2312" w:cs="仿宋_GB2312"/>
          <w:sz w:val="32"/>
          <w:szCs w:val="32"/>
          <w:highlight w:val="none"/>
        </w:rPr>
        <w:t>万元，预算执行率</w:t>
      </w:r>
      <w:r>
        <w:rPr>
          <w:rFonts w:hint="eastAsia" w:ascii="仿宋_GB2312" w:hAnsi="仿宋_GB2312" w:eastAsia="仿宋_GB2312" w:cs="仿宋_GB2312"/>
          <w:sz w:val="32"/>
          <w:szCs w:val="32"/>
          <w:highlight w:val="none"/>
          <w:lang w:val="en-US" w:eastAsia="zh-CN"/>
        </w:rPr>
        <w:t>87.26</w:t>
      </w:r>
      <w:r>
        <w:rPr>
          <w:rFonts w:hint="eastAsia" w:ascii="仿宋_GB2312" w:hAnsi="仿宋_GB2312" w:eastAsia="仿宋_GB2312" w:cs="仿宋_GB2312"/>
          <w:sz w:val="32"/>
          <w:szCs w:val="32"/>
          <w:highlight w:val="none"/>
        </w:rPr>
        <w:t>%。资金主要用于工程建设材料采购、施工劳务支付、设备购置、项目管理费用等，未发生截留、挤占、挪用等情况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二</w:t>
      </w:r>
      <w:r>
        <w:rPr>
          <w:rFonts w:hint="eastAsia" w:ascii="黑体" w:hAnsi="黑体" w:eastAsia="黑体" w:cs="黑体"/>
          <w:sz w:val="32"/>
          <w:szCs w:val="32"/>
        </w:rPr>
        <w:t>、自评得分及绩效目标实现情况</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（一）部门整体支出绩效自评情况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自评得分：根据部门整体支出绩效评价指标体系，对本镇</w:t>
      </w:r>
      <w:r>
        <w:rPr>
          <w:rFonts w:hint="eastAsia" w:ascii="仿宋_GB2312" w:hAnsi="仿宋_GB2312" w:eastAsia="仿宋_GB2312" w:cs="仿宋_GB2312"/>
          <w:sz w:val="32"/>
          <w:szCs w:val="32"/>
          <w:lang w:val="en-US" w:eastAsia="zh-CN"/>
        </w:rPr>
        <w:t>2024年上级资金（非三保资金</w:t>
      </w:r>
      <w:bookmarkStart w:id="0" w:name="_GoBack"/>
      <w:bookmarkEnd w:id="0"/>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支出进行自评，最终得分为</w:t>
      </w:r>
      <w:r>
        <w:rPr>
          <w:rFonts w:hint="eastAsia" w:ascii="仿宋_GB2312" w:hAnsi="仿宋_GB2312" w:eastAsia="仿宋_GB2312" w:cs="仿宋_GB2312"/>
          <w:sz w:val="32"/>
          <w:szCs w:val="32"/>
          <w:highlight w:val="none"/>
          <w:lang w:val="en-US" w:eastAsia="zh-CN"/>
        </w:rPr>
        <w:t>97</w:t>
      </w:r>
      <w:r>
        <w:rPr>
          <w:rFonts w:hint="eastAsia" w:ascii="仿宋_GB2312" w:hAnsi="仿宋_GB2312" w:eastAsia="仿宋_GB2312" w:cs="仿宋_GB2312"/>
          <w:sz w:val="32"/>
          <w:szCs w:val="32"/>
        </w:rPr>
        <w:t>分，评价等级为“优”。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三</w:t>
      </w:r>
      <w:r>
        <w:rPr>
          <w:rFonts w:hint="eastAsia" w:ascii="黑体" w:hAnsi="黑体" w:eastAsia="黑体" w:cs="黑体"/>
          <w:sz w:val="32"/>
          <w:szCs w:val="32"/>
        </w:rPr>
        <w:t>、发现的问题及改进措施</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（一）存在问题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预算编制不够精准：部分项目预算在编制时对项目实施过程中的不确定性因素考虑不足，导致预算执行过程中调整较大，影响了预算的严肃性和资金使用效率。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项目管理水平有待提高：个别项目在实施过程中存在进度把控不严、质量管理不到位等问题，导致项目进度滞后、质量不达标，影响了项目绩效目标的实现。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3. 资金使用效益有待提升：部分项目资金支出进度缓慢，存在资金闲置现象，同时一些项目在实施过程中未能充分发挥资金的最大效益，存在浪费现象。</w:t>
      </w:r>
    </w:p>
    <w:p>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加强预算编制管理：在编制预算前，深入开展项目调研和论证，充分考虑项目实施过程中的各种因素，提高预算编制的科学性和准确性。同时，建立预算编制审核机制，对预算编制进行严格审核，确保预算编制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强化项目管理：建立健全项目管理制度，加强对项目实施过程的全程监管，明确项目进度、质量、安全等方面的要求和责任。加强项目管理人员培训，提高项目管理水平，确保项目按计划顺利实施。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Theme="minorEastAsia"/>
          <w:lang w:eastAsia="zh-CN"/>
        </w:rPr>
      </w:pPr>
      <w:r>
        <w:rPr>
          <w:rFonts w:hint="eastAsia" w:ascii="仿宋_GB2312" w:hAnsi="仿宋_GB2312" w:eastAsia="仿宋_GB2312" w:cs="仿宋_GB2312"/>
          <w:sz w:val="32"/>
          <w:szCs w:val="32"/>
        </w:rPr>
        <w:t>3. 提高资金使用效益：加强对资金使用的监控和分析，及时掌握资金使用情况，对资金支出进度缓慢的项目进行督促和整改。同时，优化项目资金使用方案，提高资金使用效率，避免资金浪费。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四</w:t>
      </w:r>
      <w:r>
        <w:rPr>
          <w:rFonts w:hint="eastAsia" w:ascii="黑体" w:hAnsi="黑体" w:eastAsia="黑体" w:cs="黑体"/>
          <w:sz w:val="32"/>
          <w:szCs w:val="32"/>
        </w:rPr>
        <w:t>、绩效自评工作经验问题总结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工作经验：在绩效自评工作中，建立了完善的工作机制，明确了各部门的职责分工，确保了自评工作的顺利开展。同时，注重收集和整理相关资料，为绩效评价提供了有力的数据支持和证据支撑。此外，通过开展绩效自评工作，提高了各部门对绩效管理的认识和重视程度，促进了部门管理水平的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存在问题：绩效自评工作中存在评价指标体系不够完善、评价方法不够科学等问题，导致评价结果的准确性和客观性受到一定影响。同时，部分部门对绩效自评工作的配合度不高，存在资料提供不及时、数据不准确等问题，影响了自评工作的进度和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改进方向：进一步完善绩效评价指标体系，结合本乡镇的实际情况和工作重点，科学合理地设置评价指标，提高评价指标的针对性和可操作性。同时，加强对评价方法的研究和应用，采用定量与定性相结合的评价方法，确保评价结果的准确性和客观性。此外，加强对各部门的宣传和培训，提高部门对绩效自评工作的认识和配合度，确保自评工作的顺利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、其他说明问题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绩效评价报告是在本乡镇各部门提供的资料和数据基础上编制的，由于资料和数据的局限性以及评价人员的专业水平有限，报告中可能存在不足之处，敬请批评指正。同时，本乡镇将以此次绩效评价为契机，不断加强预算管理和绩效管理，提高财政资金使用效益，为乡镇经济社会发展提供有力保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6"/>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A3AAE0"/>
    <w:multiLevelType w:val="singleLevel"/>
    <w:tmpl w:val="C3A3AAE0"/>
    <w:lvl w:ilvl="0" w:tentative="0">
      <w:start w:val="2"/>
      <w:numFmt w:val="chineseCounting"/>
      <w:suff w:val="nothing"/>
      <w:lvlText w:val="（%1）"/>
      <w:lvlJc w:val="left"/>
      <w:rPr>
        <w:rFonts w:hint="eastAsia"/>
      </w:rPr>
    </w:lvl>
  </w:abstractNum>
  <w:abstractNum w:abstractNumId="1">
    <w:nsid w:val="D484293B"/>
    <w:multiLevelType w:val="singleLevel"/>
    <w:tmpl w:val="D484293B"/>
    <w:lvl w:ilvl="0" w:tentative="0">
      <w:start w:val="1"/>
      <w:numFmt w:val="chineseCounting"/>
      <w:suff w:val="nothing"/>
      <w:lvlText w:val="%1、"/>
      <w:lvlJc w:val="left"/>
      <w:rPr>
        <w:rFonts w:hint="eastAsia"/>
      </w:rPr>
    </w:lvl>
  </w:abstractNum>
  <w:abstractNum w:abstractNumId="2">
    <w:nsid w:val="633F7924"/>
    <w:multiLevelType w:val="singleLevel"/>
    <w:tmpl w:val="633F7924"/>
    <w:lvl w:ilvl="0" w:tentative="0">
      <w:start w:val="5"/>
      <w:numFmt w:val="chineseCounting"/>
      <w:suff w:val="space"/>
      <w:lvlText w:val="第%1部分"/>
      <w:lvlJc w:val="left"/>
      <w:rPr>
        <w:rFonts w:hint="eastAsia"/>
      </w:rPr>
    </w:lvl>
  </w:abstractNum>
  <w:abstractNum w:abstractNumId="3">
    <w:nsid w:val="7345645C"/>
    <w:multiLevelType w:val="singleLevel"/>
    <w:tmpl w:val="7345645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wYzM2NGRlZDVmZDlkZWMxZWNlYWI2ZTZjNTVlZjAifQ=="/>
  </w:docVars>
  <w:rsids>
    <w:rsidRoot w:val="00172A27"/>
    <w:rsid w:val="043606F4"/>
    <w:rsid w:val="33490DDB"/>
    <w:rsid w:val="35780D13"/>
    <w:rsid w:val="36B83D29"/>
    <w:rsid w:val="37220143"/>
    <w:rsid w:val="3902226B"/>
    <w:rsid w:val="3CB072FD"/>
    <w:rsid w:val="441B14B1"/>
    <w:rsid w:val="455468D9"/>
    <w:rsid w:val="4BCE5B72"/>
    <w:rsid w:val="57441D3B"/>
    <w:rsid w:val="65E16903"/>
    <w:rsid w:val="6C7E1578"/>
    <w:rsid w:val="73C43AC9"/>
    <w:rsid w:val="7FD6E2BE"/>
    <w:rsid w:val="AB8B0E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0" w:semiHidden="0" w:name="heading 1"/>
    <w:lsdException w:qFormat="1" w:unhideWhenUsed="0" w:uiPriority="9"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ind w:firstLine="200" w:firstLineChars="200"/>
      <w:outlineLvl w:val="1"/>
    </w:pPr>
    <w:rPr>
      <w:rFonts w:ascii="楷体" w:eastAsia="楷体"/>
      <w:bCs/>
    </w:rPr>
  </w:style>
  <w:style w:type="character" w:default="1" w:styleId="11">
    <w:name w:val="Default Paragraph Font"/>
    <w:autoRedefine/>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lang w:val="en-US" w:eastAsia="zh-CN"/>
    </w:rPr>
  </w:style>
  <w:style w:type="paragraph" w:styleId="4">
    <w:name w:val="Plain Text"/>
    <w:basedOn w:val="1"/>
    <w:qFormat/>
    <w:uiPriority w:val="0"/>
    <w:rPr>
      <w:rFonts w:ascii="宋体" w:hAnsi="Courier New" w:eastAsia="宋体" w:cs="Courier New"/>
      <w:szCs w:val="21"/>
    </w:rPr>
  </w:style>
  <w:style w:type="paragraph" w:styleId="5">
    <w:name w:val="Balloon Text"/>
    <w:basedOn w:val="1"/>
    <w:link w:val="15"/>
    <w:uiPriority w:val="0"/>
    <w:pPr>
      <w:jc w:val="both"/>
    </w:pPr>
    <w:rPr>
      <w:sz w:val="18"/>
      <w:szCs w:val="18"/>
      <w:lang w:val="en-US" w:eastAsia="zh-CN"/>
    </w:rPr>
  </w:style>
  <w:style w:type="paragraph" w:styleId="6">
    <w:name w:val="footer"/>
    <w:basedOn w:val="1"/>
    <w:link w:val="13"/>
    <w:uiPriority w:val="0"/>
    <w:pPr>
      <w:tabs>
        <w:tab w:val="center" w:pos="4153"/>
        <w:tab w:val="right" w:pos="8306"/>
      </w:tabs>
      <w:snapToGrid w:val="0"/>
      <w:jc w:val="left"/>
    </w:pPr>
    <w:rPr>
      <w:sz w:val="18"/>
      <w:szCs w:val="18"/>
      <w:lang w:val="en-US" w:eastAsia="zh-CN"/>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lang w:val="en-US" w:eastAsia="zh-CN"/>
    </w:rPr>
  </w:style>
  <w:style w:type="paragraph" w:styleId="8">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qFormat/>
    <w:uiPriority w:val="0"/>
    <w:rPr>
      <w:color w:val="0000FF"/>
      <w:u w:val="single"/>
    </w:rPr>
  </w:style>
  <w:style w:type="character" w:customStyle="1" w:styleId="13">
    <w:name w:val="页脚 Char"/>
    <w:link w:val="6"/>
    <w:uiPriority w:val="0"/>
    <w:rPr>
      <w:sz w:val="18"/>
      <w:szCs w:val="18"/>
    </w:rPr>
  </w:style>
  <w:style w:type="character" w:customStyle="1" w:styleId="14">
    <w:name w:val="页眉 Char"/>
    <w:link w:val="7"/>
    <w:autoRedefine/>
    <w:qFormat/>
    <w:uiPriority w:val="0"/>
    <w:rPr>
      <w:sz w:val="18"/>
      <w:szCs w:val="18"/>
    </w:rPr>
  </w:style>
  <w:style w:type="character" w:customStyle="1" w:styleId="15">
    <w:name w:val="批注框文本 Char"/>
    <w:link w:val="5"/>
    <w:autoRedefine/>
    <w:qFormat/>
    <w:uiPriority w:val="0"/>
    <w:rPr>
      <w:sz w:val="18"/>
      <w:szCs w:val="18"/>
    </w:rPr>
  </w:style>
  <w:style w:type="paragraph" w:customStyle="1" w:styleId="16">
    <w:name w:val="p0"/>
    <w:basedOn w:val="1"/>
    <w:autoRedefine/>
    <w:qFormat/>
    <w:uiPriority w:val="0"/>
    <w:pPr>
      <w:widowControl/>
      <w:jc w:val="both"/>
    </w:pPr>
    <w:rPr>
      <w:kern w:val="0"/>
      <w:szCs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3666</Words>
  <Characters>20899</Characters>
  <Lines>174</Lines>
  <Paragraphs>49</Paragraphs>
  <TotalTime>14</TotalTime>
  <ScaleCrop>false</ScaleCrop>
  <LinksUpToDate>false</LinksUpToDate>
  <CharactersWithSpaces>24516</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胡淑萍</dc:creator>
  <cp:lastModifiedBy>Administrator</cp:lastModifiedBy>
  <cp:lastPrinted>2024-05-22T15:51:00Z</cp:lastPrinted>
  <dcterms:modified xsi:type="dcterms:W3CDTF">2025-11-13T01:32:30Z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8184E3AF33684CF2839A272DABAC107B_13</vt:lpwstr>
  </property>
</Properties>
</file>