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2AB5A8"/>
    <w:p w14:paraId="1B213C67"/>
    <w:p w14:paraId="26859384"/>
    <w:p w14:paraId="711C91CA"/>
    <w:p w14:paraId="6FFABC59"/>
    <w:p w14:paraId="4DD43D98"/>
    <w:p w14:paraId="3E3B8FED"/>
    <w:p w14:paraId="112E603B"/>
    <w:p w14:paraId="4B82F6C2"/>
    <w:p w14:paraId="3204C472"/>
    <w:p w14:paraId="714D7BDF"/>
    <w:p w14:paraId="3297EF24"/>
    <w:p w14:paraId="2AD53C8B">
      <w:pPr>
        <w:jc w:val="center"/>
        <w:rPr>
          <w:rFonts w:ascii="黑体" w:hAnsi="黑体" w:eastAsia="黑体"/>
          <w:b/>
          <w:bCs/>
          <w:sz w:val="72"/>
          <w:szCs w:val="72"/>
        </w:rPr>
      </w:pPr>
      <w:bookmarkStart w:id="200" w:name="_GoBack"/>
      <w:r>
        <w:rPr>
          <w:rFonts w:hint="eastAsia" w:ascii="黑体" w:hAnsi="黑体" w:eastAsia="黑体"/>
          <w:b/>
          <w:bCs/>
          <w:sz w:val="72"/>
          <w:szCs w:val="72"/>
        </w:rPr>
        <w:t>兴国县数字经济发展规划（2</w:t>
      </w:r>
      <w:r>
        <w:rPr>
          <w:rFonts w:ascii="黑体" w:hAnsi="黑体" w:eastAsia="黑体"/>
          <w:b/>
          <w:bCs/>
          <w:sz w:val="72"/>
          <w:szCs w:val="72"/>
        </w:rPr>
        <w:t>023</w:t>
      </w:r>
      <w:r>
        <w:rPr>
          <w:rFonts w:hint="eastAsia" w:ascii="黑体" w:hAnsi="黑体" w:eastAsia="黑体"/>
          <w:b/>
          <w:bCs/>
          <w:sz w:val="72"/>
          <w:szCs w:val="72"/>
        </w:rPr>
        <w:t>-</w:t>
      </w:r>
      <w:r>
        <w:rPr>
          <w:rFonts w:ascii="黑体" w:hAnsi="黑体" w:eastAsia="黑体"/>
          <w:b/>
          <w:bCs/>
          <w:sz w:val="72"/>
          <w:szCs w:val="72"/>
        </w:rPr>
        <w:t>2027</w:t>
      </w:r>
      <w:r>
        <w:rPr>
          <w:rFonts w:hint="eastAsia" w:ascii="黑体" w:hAnsi="黑体" w:eastAsia="黑体"/>
          <w:b/>
          <w:bCs/>
          <w:sz w:val="72"/>
          <w:szCs w:val="72"/>
        </w:rPr>
        <w:t>）</w:t>
      </w:r>
    </w:p>
    <w:p w14:paraId="3391FAE5">
      <w:pPr>
        <w:jc w:val="center"/>
        <w:rPr>
          <w:rFonts w:ascii="黑体" w:hAnsi="黑体" w:eastAsia="黑体"/>
          <w:sz w:val="44"/>
          <w:szCs w:val="48"/>
        </w:rPr>
      </w:pPr>
      <w:r>
        <w:rPr>
          <w:rFonts w:hint="eastAsia" w:ascii="黑体" w:hAnsi="黑体" w:eastAsia="黑体"/>
          <w:sz w:val="44"/>
          <w:szCs w:val="48"/>
        </w:rPr>
        <w:t>（征求意见稿）</w:t>
      </w:r>
    </w:p>
    <w:bookmarkEnd w:id="200"/>
    <w:p w14:paraId="72673A24"/>
    <w:p w14:paraId="25A30B20"/>
    <w:p w14:paraId="7D4D95A0"/>
    <w:p w14:paraId="0629AE5B"/>
    <w:p w14:paraId="688DB68E"/>
    <w:p w14:paraId="4A3D896B"/>
    <w:p w14:paraId="7168CDEC"/>
    <w:p w14:paraId="46F073C3"/>
    <w:p w14:paraId="3683296C"/>
    <w:p w14:paraId="58286A6A"/>
    <w:p w14:paraId="7A114686"/>
    <w:p w14:paraId="16A821C3"/>
    <w:p w14:paraId="7373FCEF"/>
    <w:p w14:paraId="12975B13"/>
    <w:p w14:paraId="45C2D691"/>
    <w:p w14:paraId="4D5F7FBC"/>
    <w:p w14:paraId="2D45D28A">
      <w:pPr>
        <w:rPr>
          <w:rFonts w:ascii="黑体" w:hAnsi="黑体" w:eastAsia="黑体"/>
          <w:sz w:val="32"/>
          <w:szCs w:val="32"/>
        </w:rPr>
      </w:pPr>
    </w:p>
    <w:p w14:paraId="51F55333">
      <w:pPr>
        <w:rPr>
          <w:rFonts w:ascii="黑体" w:hAnsi="黑体" w:eastAsia="黑体"/>
          <w:sz w:val="32"/>
          <w:szCs w:val="32"/>
        </w:rPr>
      </w:pPr>
    </w:p>
    <w:p w14:paraId="53A7C3D8">
      <w:pPr>
        <w:rPr>
          <w:rFonts w:ascii="黑体" w:hAnsi="黑体" w:eastAsia="黑体"/>
          <w:sz w:val="32"/>
          <w:szCs w:val="32"/>
        </w:rPr>
      </w:pPr>
    </w:p>
    <w:p w14:paraId="1A7582FF">
      <w:pPr>
        <w:pStyle w:val="5"/>
        <w:jc w:val="center"/>
        <w:rPr>
          <w:rFonts w:ascii="黑体" w:hAnsi="黑体" w:eastAsia="黑体"/>
          <w:sz w:val="32"/>
          <w:szCs w:val="32"/>
        </w:rPr>
        <w:sectPr>
          <w:headerReference r:id="rId3" w:type="default"/>
          <w:footerReference r:id="rId4" w:type="default"/>
          <w:pgSz w:w="11906" w:h="16838"/>
          <w:pgMar w:top="1440" w:right="1800" w:bottom="1440" w:left="1800" w:header="851" w:footer="992" w:gutter="0"/>
          <w:cols w:space="425" w:num="1"/>
          <w:docGrid w:type="lines" w:linePitch="312" w:charSpace="0"/>
        </w:sectPr>
      </w:pPr>
      <w:bookmarkStart w:id="0" w:name="_Toc142986299"/>
      <w:bookmarkStart w:id="1" w:name="_Toc5013"/>
      <w:bookmarkStart w:id="2" w:name="_Toc982"/>
      <w:bookmarkStart w:id="3" w:name="_Toc9372"/>
      <w:bookmarkStart w:id="4" w:name="_Toc25659"/>
    </w:p>
    <w:p w14:paraId="4827303B">
      <w:pPr>
        <w:pStyle w:val="5"/>
        <w:jc w:val="center"/>
        <w:rPr>
          <w:rFonts w:ascii="黑体" w:hAnsi="黑体" w:eastAsia="黑体"/>
          <w:sz w:val="32"/>
          <w:szCs w:val="32"/>
        </w:rPr>
      </w:pPr>
      <w:bookmarkStart w:id="5" w:name="_Toc147740928"/>
      <w:r>
        <w:rPr>
          <w:rFonts w:hint="eastAsia" w:ascii="黑体" w:hAnsi="黑体" w:eastAsia="黑体"/>
          <w:sz w:val="32"/>
          <w:szCs w:val="32"/>
        </w:rPr>
        <w:t>前言</w:t>
      </w:r>
      <w:bookmarkEnd w:id="0"/>
      <w:bookmarkEnd w:id="1"/>
      <w:bookmarkEnd w:id="2"/>
      <w:bookmarkEnd w:id="3"/>
      <w:bookmarkEnd w:id="4"/>
      <w:bookmarkEnd w:id="5"/>
    </w:p>
    <w:p w14:paraId="33F52AD2">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数字经济是以信息资源为基础，以信息技术为手段，以信息产业为支撑，以提供信息技术产品和服务为主要内容的一种新型经济形态。当前，以云计算、大数据、物联网、人工智能、5G、移动互联网等为代表的新一代信息技术加速发展，已成为新一轮科技革命和产业变革的重要驱动力，发展数字经济成为各地抢占未来制高点的战略选择。我省开展数字经济发展和改革“双一号工程”，将其上升到战略高度。</w:t>
      </w:r>
    </w:p>
    <w:p w14:paraId="49E64522">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目前，兴国正处于大发展、大转型、大提升的关键时期，加快数字经济发展是贯彻落实中央和省委省政府决策部署的重要举措，是顺应时代发展潮流的战略选择，是兴国实现转型发展、赶超发展的迫切需要，对于培育提升产业竞争优势、打造经济新动能和营造创业创新氛围具有重要意义。</w:t>
      </w:r>
    </w:p>
    <w:p w14:paraId="1FD91BB7">
      <w:pPr>
        <w:spacing w:line="560" w:lineRule="exact"/>
        <w:ind w:firstLine="640" w:firstLineChars="200"/>
      </w:pPr>
      <w:r>
        <w:rPr>
          <w:rFonts w:hint="eastAsia" w:ascii="仿宋_GB2312" w:hAnsi="黑体" w:eastAsia="仿宋_GB2312"/>
          <w:sz w:val="32"/>
          <w:szCs w:val="32"/>
        </w:rPr>
        <w:t>为贯彻落实《江西省“十四五”数字经济发展规划》和《赣州市“十四五”数字经济发展规划》以及《赣州市兴国县国民经济和社会发展第十四个五年规划纲要》等文件要求，现制定本规划。规划范围为兴国县域，基准年为</w:t>
      </w:r>
      <w:r>
        <w:rPr>
          <w:rFonts w:ascii="仿宋_GB2312" w:hAnsi="黑体" w:eastAsia="仿宋_GB2312"/>
          <w:sz w:val="32"/>
          <w:szCs w:val="32"/>
        </w:rPr>
        <w:t>2022年，期限为2023—2027年。</w:t>
      </w:r>
    </w:p>
    <w:p w14:paraId="2E81623C">
      <w:pPr>
        <w:pStyle w:val="2"/>
      </w:pPr>
    </w:p>
    <w:p w14:paraId="4B8460D6">
      <w:pPr>
        <w:pStyle w:val="3"/>
        <w:ind w:left="420"/>
      </w:pPr>
    </w:p>
    <w:p w14:paraId="561C66CE">
      <w:pPr>
        <w:pStyle w:val="3"/>
        <w:ind w:left="420"/>
      </w:pPr>
    </w:p>
    <w:p w14:paraId="6A09D06C">
      <w:pPr>
        <w:pStyle w:val="3"/>
        <w:ind w:left="420"/>
      </w:pPr>
    </w:p>
    <w:p w14:paraId="031E9196">
      <w:pPr>
        <w:pStyle w:val="5"/>
        <w:spacing w:before="0" w:after="0" w:line="560" w:lineRule="exact"/>
        <w:jc w:val="center"/>
        <w:rPr>
          <w:rFonts w:ascii="黑体" w:hAnsi="黑体" w:eastAsia="黑体"/>
          <w:sz w:val="32"/>
          <w:szCs w:val="32"/>
        </w:rPr>
      </w:pPr>
      <w:bookmarkStart w:id="6" w:name="_Toc7315"/>
      <w:bookmarkStart w:id="7" w:name="_Toc147740929"/>
      <w:bookmarkStart w:id="8" w:name="_Toc6243"/>
      <w:bookmarkStart w:id="9" w:name="_Toc142986300"/>
      <w:bookmarkStart w:id="10" w:name="_Toc1131"/>
      <w:bookmarkStart w:id="11" w:name="_Toc2008"/>
      <w:r>
        <w:rPr>
          <w:rFonts w:hint="eastAsia" w:ascii="黑体" w:hAnsi="黑体" w:eastAsia="黑体"/>
          <w:sz w:val="32"/>
          <w:szCs w:val="32"/>
        </w:rPr>
        <w:t>目录</w:t>
      </w:r>
      <w:bookmarkEnd w:id="6"/>
      <w:bookmarkEnd w:id="7"/>
      <w:bookmarkEnd w:id="8"/>
      <w:bookmarkEnd w:id="9"/>
      <w:bookmarkEnd w:id="10"/>
      <w:bookmarkEnd w:id="11"/>
    </w:p>
    <w:p w14:paraId="60ED3AF2">
      <w:pPr>
        <w:pStyle w:val="12"/>
        <w:tabs>
          <w:tab w:val="right" w:leader="dot" w:pos="8296"/>
        </w:tabs>
        <w:rPr>
          <w:rFonts w:ascii="黑体" w:hAnsi="黑体" w:eastAsia="黑体"/>
          <w:sz w:val="28"/>
          <w:szCs w:val="32"/>
          <w14:ligatures w14:val="standardContextual"/>
        </w:rPr>
      </w:pPr>
      <w:r>
        <w:rPr>
          <w:rFonts w:ascii="宋体" w:hAnsi="宋体" w:eastAsia="宋体"/>
          <w:sz w:val="23"/>
          <w:szCs w:val="23"/>
        </w:rPr>
        <w:fldChar w:fldCharType="begin"/>
      </w:r>
      <w:r>
        <w:rPr>
          <w:rFonts w:ascii="宋体" w:hAnsi="宋体" w:eastAsia="宋体"/>
          <w:sz w:val="23"/>
          <w:szCs w:val="23"/>
        </w:rPr>
        <w:instrText xml:space="preserve"> TOC \o "1-3" \h \z \u </w:instrText>
      </w:r>
      <w:r>
        <w:rPr>
          <w:rFonts w:ascii="宋体" w:hAnsi="宋体" w:eastAsia="宋体"/>
          <w:sz w:val="23"/>
          <w:szCs w:val="23"/>
        </w:rPr>
        <w:fldChar w:fldCharType="separate"/>
      </w:r>
      <w:r>
        <w:fldChar w:fldCharType="begin"/>
      </w:r>
      <w:r>
        <w:instrText xml:space="preserve"> HYPERLINK \l "_Toc147740928" </w:instrText>
      </w:r>
      <w:r>
        <w:fldChar w:fldCharType="separate"/>
      </w:r>
      <w:r>
        <w:rPr>
          <w:rStyle w:val="20"/>
          <w:rFonts w:ascii="黑体" w:hAnsi="黑体" w:eastAsia="黑体"/>
          <w:sz w:val="28"/>
          <w:szCs w:val="32"/>
        </w:rPr>
        <w:t>前言</w:t>
      </w:r>
      <w:r>
        <w:rPr>
          <w:rFonts w:ascii="黑体" w:hAnsi="黑体" w:eastAsia="黑体"/>
          <w:sz w:val="28"/>
          <w:szCs w:val="32"/>
        </w:rPr>
        <w:tab/>
      </w:r>
      <w:r>
        <w:rPr>
          <w:rFonts w:ascii="黑体" w:hAnsi="黑体" w:eastAsia="黑体"/>
          <w:sz w:val="28"/>
          <w:szCs w:val="32"/>
        </w:rPr>
        <w:fldChar w:fldCharType="begin"/>
      </w:r>
      <w:r>
        <w:rPr>
          <w:rFonts w:ascii="黑体" w:hAnsi="黑体" w:eastAsia="黑体"/>
          <w:sz w:val="28"/>
          <w:szCs w:val="32"/>
        </w:rPr>
        <w:instrText xml:space="preserve"> PAGEREF _Toc147740928 \h </w:instrText>
      </w:r>
      <w:r>
        <w:rPr>
          <w:rFonts w:ascii="黑体" w:hAnsi="黑体" w:eastAsia="黑体"/>
          <w:sz w:val="28"/>
          <w:szCs w:val="32"/>
        </w:rPr>
        <w:fldChar w:fldCharType="separate"/>
      </w:r>
      <w:r>
        <w:rPr>
          <w:rFonts w:ascii="黑体" w:hAnsi="黑体" w:eastAsia="黑体"/>
          <w:sz w:val="28"/>
          <w:szCs w:val="32"/>
        </w:rPr>
        <w:t>1</w:t>
      </w:r>
      <w:r>
        <w:rPr>
          <w:rFonts w:ascii="黑体" w:hAnsi="黑体" w:eastAsia="黑体"/>
          <w:sz w:val="28"/>
          <w:szCs w:val="32"/>
        </w:rPr>
        <w:fldChar w:fldCharType="end"/>
      </w:r>
      <w:r>
        <w:rPr>
          <w:rFonts w:ascii="黑体" w:hAnsi="黑体" w:eastAsia="黑体"/>
          <w:sz w:val="28"/>
          <w:szCs w:val="32"/>
        </w:rPr>
        <w:fldChar w:fldCharType="end"/>
      </w:r>
    </w:p>
    <w:p w14:paraId="33409E81">
      <w:pPr>
        <w:pStyle w:val="12"/>
        <w:tabs>
          <w:tab w:val="right" w:leader="dot" w:pos="8296"/>
        </w:tabs>
        <w:rPr>
          <w:sz w:val="28"/>
          <w:szCs w:val="32"/>
          <w14:ligatures w14:val="standardContextual"/>
        </w:rPr>
      </w:pPr>
      <w:r>
        <w:fldChar w:fldCharType="begin"/>
      </w:r>
      <w:r>
        <w:instrText xml:space="preserve"> HYPERLINK \l "_Toc147740929" </w:instrText>
      </w:r>
      <w:r>
        <w:fldChar w:fldCharType="separate"/>
      </w:r>
      <w:r>
        <w:rPr>
          <w:rStyle w:val="20"/>
          <w:rFonts w:ascii="黑体" w:hAnsi="黑体" w:eastAsia="黑体"/>
          <w:sz w:val="28"/>
          <w:szCs w:val="32"/>
        </w:rPr>
        <w:t>目录</w:t>
      </w:r>
      <w:r>
        <w:rPr>
          <w:rFonts w:ascii="黑体" w:hAnsi="黑体" w:eastAsia="黑体"/>
          <w:sz w:val="28"/>
          <w:szCs w:val="32"/>
        </w:rPr>
        <w:tab/>
      </w:r>
      <w:r>
        <w:rPr>
          <w:rFonts w:ascii="黑体" w:hAnsi="黑体" w:eastAsia="黑体"/>
          <w:sz w:val="28"/>
          <w:szCs w:val="32"/>
        </w:rPr>
        <w:fldChar w:fldCharType="begin"/>
      </w:r>
      <w:r>
        <w:rPr>
          <w:rFonts w:ascii="黑体" w:hAnsi="黑体" w:eastAsia="黑体"/>
          <w:sz w:val="28"/>
          <w:szCs w:val="32"/>
        </w:rPr>
        <w:instrText xml:space="preserve"> PAGEREF _Toc147740929 \h </w:instrText>
      </w:r>
      <w:r>
        <w:rPr>
          <w:rFonts w:ascii="黑体" w:hAnsi="黑体" w:eastAsia="黑体"/>
          <w:sz w:val="28"/>
          <w:szCs w:val="32"/>
        </w:rPr>
        <w:fldChar w:fldCharType="separate"/>
      </w:r>
      <w:r>
        <w:rPr>
          <w:rFonts w:ascii="黑体" w:hAnsi="黑体" w:eastAsia="黑体"/>
          <w:sz w:val="28"/>
          <w:szCs w:val="32"/>
        </w:rPr>
        <w:t>2</w:t>
      </w:r>
      <w:r>
        <w:rPr>
          <w:rFonts w:ascii="黑体" w:hAnsi="黑体" w:eastAsia="黑体"/>
          <w:sz w:val="28"/>
          <w:szCs w:val="32"/>
        </w:rPr>
        <w:fldChar w:fldCharType="end"/>
      </w:r>
      <w:r>
        <w:rPr>
          <w:rFonts w:ascii="黑体" w:hAnsi="黑体" w:eastAsia="黑体"/>
          <w:sz w:val="28"/>
          <w:szCs w:val="32"/>
        </w:rPr>
        <w:fldChar w:fldCharType="end"/>
      </w:r>
    </w:p>
    <w:p w14:paraId="108F64B7">
      <w:pPr>
        <w:pStyle w:val="12"/>
        <w:tabs>
          <w:tab w:val="left" w:pos="840"/>
          <w:tab w:val="right" w:leader="dot" w:pos="8296"/>
        </w:tabs>
        <w:rPr>
          <w:sz w:val="28"/>
          <w:szCs w:val="32"/>
          <w14:ligatures w14:val="standardContextual"/>
        </w:rPr>
      </w:pPr>
      <w:r>
        <w:fldChar w:fldCharType="begin"/>
      </w:r>
      <w:r>
        <w:instrText xml:space="preserve"> HYPERLINK \l "_Toc147740930" </w:instrText>
      </w:r>
      <w:r>
        <w:fldChar w:fldCharType="separate"/>
      </w:r>
      <w:r>
        <w:rPr>
          <w:rStyle w:val="20"/>
          <w:rFonts w:ascii="黑体" w:hAnsi="黑体" w:eastAsia="黑体"/>
          <w:sz w:val="28"/>
          <w:szCs w:val="32"/>
        </w:rPr>
        <w:t>一、</w:t>
      </w:r>
      <w:r>
        <w:rPr>
          <w:sz w:val="28"/>
          <w:szCs w:val="32"/>
          <w14:ligatures w14:val="standardContextual"/>
        </w:rPr>
        <w:tab/>
      </w:r>
      <w:r>
        <w:rPr>
          <w:rStyle w:val="20"/>
          <w:rFonts w:ascii="黑体" w:hAnsi="黑体" w:eastAsia="黑体"/>
          <w:sz w:val="28"/>
          <w:szCs w:val="32"/>
        </w:rPr>
        <w:t>发展基础和面临的形势</w:t>
      </w:r>
      <w:r>
        <w:rPr>
          <w:sz w:val="28"/>
          <w:szCs w:val="32"/>
        </w:rPr>
        <w:tab/>
      </w:r>
      <w:r>
        <w:rPr>
          <w:sz w:val="28"/>
          <w:szCs w:val="32"/>
        </w:rPr>
        <w:fldChar w:fldCharType="begin"/>
      </w:r>
      <w:r>
        <w:rPr>
          <w:sz w:val="28"/>
          <w:szCs w:val="32"/>
        </w:rPr>
        <w:instrText xml:space="preserve"> PAGEREF _Toc147740930 \h </w:instrText>
      </w:r>
      <w:r>
        <w:rPr>
          <w:sz w:val="28"/>
          <w:szCs w:val="32"/>
        </w:rPr>
        <w:fldChar w:fldCharType="separate"/>
      </w:r>
      <w:r>
        <w:rPr>
          <w:sz w:val="28"/>
          <w:szCs w:val="32"/>
        </w:rPr>
        <w:t>4</w:t>
      </w:r>
      <w:r>
        <w:rPr>
          <w:sz w:val="28"/>
          <w:szCs w:val="32"/>
        </w:rPr>
        <w:fldChar w:fldCharType="end"/>
      </w:r>
      <w:r>
        <w:rPr>
          <w:sz w:val="28"/>
          <w:szCs w:val="32"/>
        </w:rPr>
        <w:fldChar w:fldCharType="end"/>
      </w:r>
    </w:p>
    <w:p w14:paraId="5549A3CE">
      <w:pPr>
        <w:pStyle w:val="13"/>
        <w:tabs>
          <w:tab w:val="right" w:leader="dot" w:pos="8296"/>
        </w:tabs>
        <w:rPr>
          <w:rFonts w:hint="eastAsia" w:ascii="楷体_GB2312" w:eastAsia="楷体_GB2312"/>
          <w:sz w:val="28"/>
          <w:szCs w:val="32"/>
          <w14:ligatures w14:val="standardContextual"/>
        </w:rPr>
      </w:pPr>
      <w:r>
        <w:fldChar w:fldCharType="begin"/>
      </w:r>
      <w:r>
        <w:instrText xml:space="preserve"> HYPERLINK \l "_Toc147740931" </w:instrText>
      </w:r>
      <w:r>
        <w:fldChar w:fldCharType="separate"/>
      </w:r>
      <w:r>
        <w:rPr>
          <w:rStyle w:val="20"/>
          <w:rFonts w:hint="eastAsia" w:ascii="楷体_GB2312" w:hAnsi="黑体" w:eastAsia="楷体_GB2312"/>
          <w:sz w:val="28"/>
          <w:szCs w:val="32"/>
        </w:rPr>
        <w:t>（一）发展基础</w:t>
      </w:r>
      <w:r>
        <w:rPr>
          <w:rFonts w:hint="eastAsia" w:ascii="楷体_GB2312" w:eastAsia="楷体_GB2312"/>
          <w:sz w:val="28"/>
          <w:szCs w:val="32"/>
        </w:rPr>
        <w:tab/>
      </w:r>
      <w:r>
        <w:rPr>
          <w:rFonts w:hint="eastAsia" w:ascii="楷体_GB2312" w:eastAsia="楷体_GB2312"/>
          <w:sz w:val="28"/>
          <w:szCs w:val="32"/>
        </w:rPr>
        <w:fldChar w:fldCharType="begin"/>
      </w:r>
      <w:r>
        <w:rPr>
          <w:rFonts w:hint="eastAsia" w:ascii="楷体_GB2312" w:eastAsia="楷体_GB2312"/>
          <w:sz w:val="28"/>
          <w:szCs w:val="32"/>
        </w:rPr>
        <w:instrText xml:space="preserve"> PAGEREF _Toc147740931 \h </w:instrText>
      </w:r>
      <w:r>
        <w:rPr>
          <w:rFonts w:hint="eastAsia" w:ascii="楷体_GB2312" w:eastAsia="楷体_GB2312"/>
          <w:sz w:val="28"/>
          <w:szCs w:val="32"/>
        </w:rPr>
        <w:fldChar w:fldCharType="separate"/>
      </w:r>
      <w:r>
        <w:rPr>
          <w:rFonts w:ascii="楷体_GB2312" w:eastAsia="楷体_GB2312"/>
          <w:sz w:val="28"/>
          <w:szCs w:val="32"/>
        </w:rPr>
        <w:t>4</w:t>
      </w:r>
      <w:r>
        <w:rPr>
          <w:rFonts w:hint="eastAsia" w:ascii="楷体_GB2312" w:eastAsia="楷体_GB2312"/>
          <w:sz w:val="28"/>
          <w:szCs w:val="32"/>
        </w:rPr>
        <w:fldChar w:fldCharType="end"/>
      </w:r>
      <w:r>
        <w:rPr>
          <w:rFonts w:hint="eastAsia" w:ascii="楷体_GB2312" w:eastAsia="楷体_GB2312"/>
          <w:sz w:val="28"/>
          <w:szCs w:val="32"/>
        </w:rPr>
        <w:fldChar w:fldCharType="end"/>
      </w:r>
    </w:p>
    <w:p w14:paraId="4A7BB998">
      <w:pPr>
        <w:pStyle w:val="13"/>
        <w:tabs>
          <w:tab w:val="right" w:leader="dot" w:pos="8296"/>
        </w:tabs>
        <w:rPr>
          <w:rFonts w:hint="eastAsia" w:ascii="楷体_GB2312" w:eastAsia="楷体_GB2312"/>
          <w:sz w:val="28"/>
          <w:szCs w:val="32"/>
          <w14:ligatures w14:val="standardContextual"/>
        </w:rPr>
      </w:pPr>
      <w:r>
        <w:fldChar w:fldCharType="begin"/>
      </w:r>
      <w:r>
        <w:instrText xml:space="preserve"> HYPERLINK \l "_Toc147740932" </w:instrText>
      </w:r>
      <w:r>
        <w:fldChar w:fldCharType="separate"/>
      </w:r>
      <w:r>
        <w:rPr>
          <w:rStyle w:val="20"/>
          <w:rFonts w:hint="eastAsia" w:ascii="楷体_GB2312" w:hAnsi="黑体" w:eastAsia="楷体_GB2312"/>
          <w:sz w:val="28"/>
          <w:szCs w:val="32"/>
        </w:rPr>
        <w:t>（二）面临的形势</w:t>
      </w:r>
      <w:r>
        <w:rPr>
          <w:rFonts w:hint="eastAsia" w:ascii="楷体_GB2312" w:eastAsia="楷体_GB2312"/>
          <w:sz w:val="28"/>
          <w:szCs w:val="32"/>
        </w:rPr>
        <w:tab/>
      </w:r>
      <w:r>
        <w:rPr>
          <w:rFonts w:hint="eastAsia" w:ascii="楷体_GB2312" w:eastAsia="楷体_GB2312"/>
          <w:sz w:val="28"/>
          <w:szCs w:val="32"/>
        </w:rPr>
        <w:fldChar w:fldCharType="begin"/>
      </w:r>
      <w:r>
        <w:rPr>
          <w:rFonts w:hint="eastAsia" w:ascii="楷体_GB2312" w:eastAsia="楷体_GB2312"/>
          <w:sz w:val="28"/>
          <w:szCs w:val="32"/>
        </w:rPr>
        <w:instrText xml:space="preserve"> PAGEREF _Toc147740932 \h </w:instrText>
      </w:r>
      <w:r>
        <w:rPr>
          <w:rFonts w:hint="eastAsia" w:ascii="楷体_GB2312" w:eastAsia="楷体_GB2312"/>
          <w:sz w:val="28"/>
          <w:szCs w:val="32"/>
        </w:rPr>
        <w:fldChar w:fldCharType="separate"/>
      </w:r>
      <w:r>
        <w:rPr>
          <w:rFonts w:ascii="楷体_GB2312" w:eastAsia="楷体_GB2312"/>
          <w:sz w:val="28"/>
          <w:szCs w:val="32"/>
        </w:rPr>
        <w:t>7</w:t>
      </w:r>
      <w:r>
        <w:rPr>
          <w:rFonts w:hint="eastAsia" w:ascii="楷体_GB2312" w:eastAsia="楷体_GB2312"/>
          <w:sz w:val="28"/>
          <w:szCs w:val="32"/>
        </w:rPr>
        <w:fldChar w:fldCharType="end"/>
      </w:r>
      <w:r>
        <w:rPr>
          <w:rFonts w:hint="eastAsia" w:ascii="楷体_GB2312" w:eastAsia="楷体_GB2312"/>
          <w:sz w:val="28"/>
          <w:szCs w:val="32"/>
        </w:rPr>
        <w:fldChar w:fldCharType="end"/>
      </w:r>
    </w:p>
    <w:p w14:paraId="7E5B3CA0">
      <w:pPr>
        <w:pStyle w:val="12"/>
        <w:tabs>
          <w:tab w:val="left" w:pos="840"/>
          <w:tab w:val="right" w:leader="dot" w:pos="8296"/>
        </w:tabs>
        <w:rPr>
          <w:sz w:val="28"/>
          <w:szCs w:val="32"/>
          <w14:ligatures w14:val="standardContextual"/>
        </w:rPr>
      </w:pPr>
      <w:r>
        <w:fldChar w:fldCharType="begin"/>
      </w:r>
      <w:r>
        <w:instrText xml:space="preserve"> HYPERLINK \l "_Toc147740933" </w:instrText>
      </w:r>
      <w:r>
        <w:fldChar w:fldCharType="separate"/>
      </w:r>
      <w:r>
        <w:rPr>
          <w:rStyle w:val="20"/>
          <w:rFonts w:ascii="黑体" w:hAnsi="黑体" w:eastAsia="黑体"/>
          <w:sz w:val="28"/>
          <w:szCs w:val="32"/>
        </w:rPr>
        <w:t>二、</w:t>
      </w:r>
      <w:r>
        <w:rPr>
          <w:sz w:val="28"/>
          <w:szCs w:val="32"/>
          <w14:ligatures w14:val="standardContextual"/>
        </w:rPr>
        <w:tab/>
      </w:r>
      <w:r>
        <w:rPr>
          <w:rStyle w:val="20"/>
          <w:rFonts w:ascii="黑体" w:hAnsi="黑体" w:eastAsia="黑体"/>
          <w:sz w:val="28"/>
          <w:szCs w:val="32"/>
        </w:rPr>
        <w:t>总体要求</w:t>
      </w:r>
      <w:r>
        <w:rPr>
          <w:sz w:val="28"/>
          <w:szCs w:val="32"/>
        </w:rPr>
        <w:tab/>
      </w:r>
      <w:r>
        <w:rPr>
          <w:sz w:val="28"/>
          <w:szCs w:val="32"/>
        </w:rPr>
        <w:fldChar w:fldCharType="begin"/>
      </w:r>
      <w:r>
        <w:rPr>
          <w:sz w:val="28"/>
          <w:szCs w:val="32"/>
        </w:rPr>
        <w:instrText xml:space="preserve"> PAGEREF _Toc147740933 \h </w:instrText>
      </w:r>
      <w:r>
        <w:rPr>
          <w:sz w:val="28"/>
          <w:szCs w:val="32"/>
        </w:rPr>
        <w:fldChar w:fldCharType="separate"/>
      </w:r>
      <w:r>
        <w:rPr>
          <w:sz w:val="28"/>
          <w:szCs w:val="32"/>
        </w:rPr>
        <w:t>9</w:t>
      </w:r>
      <w:r>
        <w:rPr>
          <w:sz w:val="28"/>
          <w:szCs w:val="32"/>
        </w:rPr>
        <w:fldChar w:fldCharType="end"/>
      </w:r>
      <w:r>
        <w:rPr>
          <w:sz w:val="28"/>
          <w:szCs w:val="32"/>
        </w:rPr>
        <w:fldChar w:fldCharType="end"/>
      </w:r>
    </w:p>
    <w:p w14:paraId="61FF942E">
      <w:pPr>
        <w:pStyle w:val="13"/>
        <w:tabs>
          <w:tab w:val="left" w:pos="1470"/>
          <w:tab w:val="right" w:leader="dot" w:pos="8296"/>
        </w:tabs>
        <w:rPr>
          <w:rFonts w:hint="eastAsia" w:ascii="楷体_GB2312" w:eastAsia="楷体_GB2312"/>
          <w:sz w:val="28"/>
          <w:szCs w:val="32"/>
          <w14:ligatures w14:val="standardContextual"/>
        </w:rPr>
      </w:pPr>
      <w:r>
        <w:fldChar w:fldCharType="begin"/>
      </w:r>
      <w:r>
        <w:instrText xml:space="preserve"> HYPERLINK \l "_Toc147740934" </w:instrText>
      </w:r>
      <w:r>
        <w:fldChar w:fldCharType="separate"/>
      </w:r>
      <w:r>
        <w:rPr>
          <w:rStyle w:val="20"/>
          <w:rFonts w:hint="eastAsia" w:ascii="楷体_GB2312" w:hAnsi="黑体" w:eastAsia="楷体_GB2312"/>
          <w:sz w:val="28"/>
          <w:szCs w:val="32"/>
        </w:rPr>
        <w:t>（一）</w:t>
      </w:r>
      <w:r>
        <w:rPr>
          <w:rFonts w:hint="eastAsia" w:ascii="楷体_GB2312" w:eastAsia="楷体_GB2312"/>
          <w:sz w:val="28"/>
          <w:szCs w:val="32"/>
          <w14:ligatures w14:val="standardContextual"/>
        </w:rPr>
        <w:tab/>
      </w:r>
      <w:r>
        <w:rPr>
          <w:rStyle w:val="20"/>
          <w:rFonts w:hint="eastAsia" w:ascii="楷体_GB2312" w:hAnsi="黑体" w:eastAsia="楷体_GB2312"/>
          <w:sz w:val="28"/>
          <w:szCs w:val="32"/>
        </w:rPr>
        <w:t>指导思想</w:t>
      </w:r>
      <w:r>
        <w:rPr>
          <w:rFonts w:hint="eastAsia" w:ascii="楷体_GB2312" w:eastAsia="楷体_GB2312"/>
          <w:sz w:val="28"/>
          <w:szCs w:val="32"/>
        </w:rPr>
        <w:tab/>
      </w:r>
      <w:r>
        <w:rPr>
          <w:rFonts w:hint="eastAsia" w:ascii="楷体_GB2312" w:eastAsia="楷体_GB2312"/>
          <w:sz w:val="28"/>
          <w:szCs w:val="32"/>
        </w:rPr>
        <w:fldChar w:fldCharType="begin"/>
      </w:r>
      <w:r>
        <w:rPr>
          <w:rFonts w:hint="eastAsia" w:ascii="楷体_GB2312" w:eastAsia="楷体_GB2312"/>
          <w:sz w:val="28"/>
          <w:szCs w:val="32"/>
        </w:rPr>
        <w:instrText xml:space="preserve"> PAGEREF _Toc147740934 \h </w:instrText>
      </w:r>
      <w:r>
        <w:rPr>
          <w:rFonts w:hint="eastAsia" w:ascii="楷体_GB2312" w:eastAsia="楷体_GB2312"/>
          <w:sz w:val="28"/>
          <w:szCs w:val="32"/>
        </w:rPr>
        <w:fldChar w:fldCharType="separate"/>
      </w:r>
      <w:r>
        <w:rPr>
          <w:rFonts w:ascii="楷体_GB2312" w:eastAsia="楷体_GB2312"/>
          <w:sz w:val="28"/>
          <w:szCs w:val="32"/>
        </w:rPr>
        <w:t>9</w:t>
      </w:r>
      <w:r>
        <w:rPr>
          <w:rFonts w:hint="eastAsia" w:ascii="楷体_GB2312" w:eastAsia="楷体_GB2312"/>
          <w:sz w:val="28"/>
          <w:szCs w:val="32"/>
        </w:rPr>
        <w:fldChar w:fldCharType="end"/>
      </w:r>
      <w:r>
        <w:rPr>
          <w:rFonts w:hint="eastAsia" w:ascii="楷体_GB2312" w:eastAsia="楷体_GB2312"/>
          <w:sz w:val="28"/>
          <w:szCs w:val="32"/>
        </w:rPr>
        <w:fldChar w:fldCharType="end"/>
      </w:r>
    </w:p>
    <w:p w14:paraId="58532461">
      <w:pPr>
        <w:pStyle w:val="13"/>
        <w:tabs>
          <w:tab w:val="left" w:pos="1470"/>
          <w:tab w:val="right" w:leader="dot" w:pos="8296"/>
        </w:tabs>
        <w:rPr>
          <w:rFonts w:hint="eastAsia" w:ascii="楷体_GB2312" w:eastAsia="楷体_GB2312"/>
          <w:sz w:val="28"/>
          <w:szCs w:val="32"/>
          <w14:ligatures w14:val="standardContextual"/>
        </w:rPr>
      </w:pPr>
      <w:r>
        <w:fldChar w:fldCharType="begin"/>
      </w:r>
      <w:r>
        <w:instrText xml:space="preserve"> HYPERLINK \l "_Toc147740935" </w:instrText>
      </w:r>
      <w:r>
        <w:fldChar w:fldCharType="separate"/>
      </w:r>
      <w:r>
        <w:rPr>
          <w:rStyle w:val="20"/>
          <w:rFonts w:hint="eastAsia" w:ascii="楷体_GB2312" w:hAnsi="黑体" w:eastAsia="楷体_GB2312"/>
          <w:sz w:val="28"/>
          <w:szCs w:val="32"/>
        </w:rPr>
        <w:t>（二）</w:t>
      </w:r>
      <w:r>
        <w:rPr>
          <w:rFonts w:hint="eastAsia" w:ascii="楷体_GB2312" w:eastAsia="楷体_GB2312"/>
          <w:sz w:val="28"/>
          <w:szCs w:val="32"/>
          <w14:ligatures w14:val="standardContextual"/>
        </w:rPr>
        <w:tab/>
      </w:r>
      <w:r>
        <w:rPr>
          <w:rStyle w:val="20"/>
          <w:rFonts w:hint="eastAsia" w:ascii="楷体_GB2312" w:hAnsi="黑体" w:eastAsia="楷体_GB2312"/>
          <w:sz w:val="28"/>
          <w:szCs w:val="32"/>
        </w:rPr>
        <w:t>基本原则</w:t>
      </w:r>
      <w:r>
        <w:rPr>
          <w:rFonts w:hint="eastAsia" w:ascii="楷体_GB2312" w:eastAsia="楷体_GB2312"/>
          <w:sz w:val="28"/>
          <w:szCs w:val="32"/>
        </w:rPr>
        <w:tab/>
      </w:r>
      <w:r>
        <w:rPr>
          <w:rFonts w:hint="eastAsia" w:ascii="楷体_GB2312" w:eastAsia="楷体_GB2312"/>
          <w:sz w:val="28"/>
          <w:szCs w:val="32"/>
        </w:rPr>
        <w:fldChar w:fldCharType="begin"/>
      </w:r>
      <w:r>
        <w:rPr>
          <w:rFonts w:hint="eastAsia" w:ascii="楷体_GB2312" w:eastAsia="楷体_GB2312"/>
          <w:sz w:val="28"/>
          <w:szCs w:val="32"/>
        </w:rPr>
        <w:instrText xml:space="preserve"> PAGEREF _Toc147740935 \h </w:instrText>
      </w:r>
      <w:r>
        <w:rPr>
          <w:rFonts w:hint="eastAsia" w:ascii="楷体_GB2312" w:eastAsia="楷体_GB2312"/>
          <w:sz w:val="28"/>
          <w:szCs w:val="32"/>
        </w:rPr>
        <w:fldChar w:fldCharType="separate"/>
      </w:r>
      <w:r>
        <w:rPr>
          <w:rFonts w:ascii="楷体_GB2312" w:eastAsia="楷体_GB2312"/>
          <w:sz w:val="28"/>
          <w:szCs w:val="32"/>
        </w:rPr>
        <w:t>10</w:t>
      </w:r>
      <w:r>
        <w:rPr>
          <w:rFonts w:hint="eastAsia" w:ascii="楷体_GB2312" w:eastAsia="楷体_GB2312"/>
          <w:sz w:val="28"/>
          <w:szCs w:val="32"/>
        </w:rPr>
        <w:fldChar w:fldCharType="end"/>
      </w:r>
      <w:r>
        <w:rPr>
          <w:rFonts w:hint="eastAsia" w:ascii="楷体_GB2312" w:eastAsia="楷体_GB2312"/>
          <w:sz w:val="28"/>
          <w:szCs w:val="32"/>
        </w:rPr>
        <w:fldChar w:fldCharType="end"/>
      </w:r>
    </w:p>
    <w:p w14:paraId="10CB538C">
      <w:pPr>
        <w:pStyle w:val="13"/>
        <w:tabs>
          <w:tab w:val="left" w:pos="1470"/>
          <w:tab w:val="right" w:leader="dot" w:pos="8296"/>
        </w:tabs>
        <w:rPr>
          <w:rFonts w:hint="eastAsia" w:ascii="楷体_GB2312" w:eastAsia="楷体_GB2312"/>
          <w:sz w:val="28"/>
          <w:szCs w:val="32"/>
          <w14:ligatures w14:val="standardContextual"/>
        </w:rPr>
      </w:pPr>
      <w:r>
        <w:fldChar w:fldCharType="begin"/>
      </w:r>
      <w:r>
        <w:instrText xml:space="preserve"> HYPERLINK \l "_Toc147740936" </w:instrText>
      </w:r>
      <w:r>
        <w:fldChar w:fldCharType="separate"/>
      </w:r>
      <w:r>
        <w:rPr>
          <w:rStyle w:val="20"/>
          <w:rFonts w:hint="eastAsia" w:ascii="楷体_GB2312" w:hAnsi="黑体" w:eastAsia="楷体_GB2312"/>
          <w:sz w:val="28"/>
          <w:szCs w:val="32"/>
        </w:rPr>
        <w:t>（三）</w:t>
      </w:r>
      <w:r>
        <w:rPr>
          <w:rFonts w:hint="eastAsia" w:ascii="楷体_GB2312" w:eastAsia="楷体_GB2312"/>
          <w:sz w:val="28"/>
          <w:szCs w:val="32"/>
          <w14:ligatures w14:val="standardContextual"/>
        </w:rPr>
        <w:tab/>
      </w:r>
      <w:r>
        <w:rPr>
          <w:rStyle w:val="20"/>
          <w:rFonts w:hint="eastAsia" w:ascii="楷体_GB2312" w:hAnsi="黑体" w:eastAsia="楷体_GB2312"/>
          <w:sz w:val="28"/>
          <w:szCs w:val="32"/>
        </w:rPr>
        <w:t>发展目标</w:t>
      </w:r>
      <w:r>
        <w:rPr>
          <w:rFonts w:hint="eastAsia" w:ascii="楷体_GB2312" w:eastAsia="楷体_GB2312"/>
          <w:sz w:val="28"/>
          <w:szCs w:val="32"/>
        </w:rPr>
        <w:tab/>
      </w:r>
      <w:r>
        <w:rPr>
          <w:rFonts w:hint="eastAsia" w:ascii="楷体_GB2312" w:eastAsia="楷体_GB2312"/>
          <w:sz w:val="28"/>
          <w:szCs w:val="32"/>
        </w:rPr>
        <w:fldChar w:fldCharType="begin"/>
      </w:r>
      <w:r>
        <w:rPr>
          <w:rFonts w:hint="eastAsia" w:ascii="楷体_GB2312" w:eastAsia="楷体_GB2312"/>
          <w:sz w:val="28"/>
          <w:szCs w:val="32"/>
        </w:rPr>
        <w:instrText xml:space="preserve"> PAGEREF _Toc147740936 \h </w:instrText>
      </w:r>
      <w:r>
        <w:rPr>
          <w:rFonts w:hint="eastAsia" w:ascii="楷体_GB2312" w:eastAsia="楷体_GB2312"/>
          <w:sz w:val="28"/>
          <w:szCs w:val="32"/>
        </w:rPr>
        <w:fldChar w:fldCharType="separate"/>
      </w:r>
      <w:r>
        <w:rPr>
          <w:rFonts w:ascii="楷体_GB2312" w:eastAsia="楷体_GB2312"/>
          <w:sz w:val="28"/>
          <w:szCs w:val="32"/>
        </w:rPr>
        <w:t>11</w:t>
      </w:r>
      <w:r>
        <w:rPr>
          <w:rFonts w:hint="eastAsia" w:ascii="楷体_GB2312" w:eastAsia="楷体_GB2312"/>
          <w:sz w:val="28"/>
          <w:szCs w:val="32"/>
        </w:rPr>
        <w:fldChar w:fldCharType="end"/>
      </w:r>
      <w:r>
        <w:rPr>
          <w:rFonts w:hint="eastAsia" w:ascii="楷体_GB2312" w:eastAsia="楷体_GB2312"/>
          <w:sz w:val="28"/>
          <w:szCs w:val="32"/>
        </w:rPr>
        <w:fldChar w:fldCharType="end"/>
      </w:r>
    </w:p>
    <w:p w14:paraId="6A22ECA5">
      <w:pPr>
        <w:pStyle w:val="12"/>
        <w:tabs>
          <w:tab w:val="left" w:pos="840"/>
          <w:tab w:val="right" w:leader="dot" w:pos="8296"/>
        </w:tabs>
        <w:rPr>
          <w:rFonts w:ascii="黑体" w:hAnsi="黑体" w:eastAsia="黑体"/>
          <w:sz w:val="28"/>
          <w:szCs w:val="32"/>
          <w14:ligatures w14:val="standardContextual"/>
        </w:rPr>
      </w:pPr>
      <w:r>
        <w:fldChar w:fldCharType="begin"/>
      </w:r>
      <w:r>
        <w:instrText xml:space="preserve"> HYPERLINK \l "_Toc147740937" </w:instrText>
      </w:r>
      <w:r>
        <w:fldChar w:fldCharType="separate"/>
      </w:r>
      <w:r>
        <w:rPr>
          <w:rStyle w:val="20"/>
          <w:rFonts w:ascii="黑体" w:hAnsi="黑体" w:eastAsia="黑体"/>
          <w:sz w:val="28"/>
          <w:szCs w:val="32"/>
        </w:rPr>
        <w:t>三、</w:t>
      </w:r>
      <w:r>
        <w:rPr>
          <w:rFonts w:ascii="黑体" w:hAnsi="黑体" w:eastAsia="黑体"/>
          <w:sz w:val="28"/>
          <w:szCs w:val="32"/>
          <w14:ligatures w14:val="standardContextual"/>
        </w:rPr>
        <w:tab/>
      </w:r>
      <w:r>
        <w:rPr>
          <w:rStyle w:val="20"/>
          <w:rFonts w:hint="eastAsia" w:ascii="黑体" w:hAnsi="黑体" w:eastAsia="黑体"/>
          <w:sz w:val="28"/>
          <w:szCs w:val="32"/>
          <w:lang w:eastAsia="zh-CN"/>
        </w:rPr>
        <w:t>夯实数字基础加快新型基础设施建设</w:t>
      </w:r>
      <w:r>
        <w:rPr>
          <w:rFonts w:ascii="黑体" w:hAnsi="黑体" w:eastAsia="黑体"/>
          <w:sz w:val="28"/>
          <w:szCs w:val="32"/>
        </w:rPr>
        <w:tab/>
      </w:r>
      <w:r>
        <w:rPr>
          <w:rFonts w:ascii="黑体" w:hAnsi="黑体" w:eastAsia="黑体"/>
          <w:sz w:val="28"/>
          <w:szCs w:val="32"/>
        </w:rPr>
        <w:fldChar w:fldCharType="begin"/>
      </w:r>
      <w:r>
        <w:rPr>
          <w:rFonts w:ascii="黑体" w:hAnsi="黑体" w:eastAsia="黑体"/>
          <w:sz w:val="28"/>
          <w:szCs w:val="32"/>
        </w:rPr>
        <w:instrText xml:space="preserve"> PAGEREF _Toc147740937 \h </w:instrText>
      </w:r>
      <w:r>
        <w:rPr>
          <w:rFonts w:ascii="黑体" w:hAnsi="黑体" w:eastAsia="黑体"/>
          <w:sz w:val="28"/>
          <w:szCs w:val="32"/>
        </w:rPr>
        <w:fldChar w:fldCharType="separate"/>
      </w:r>
      <w:r>
        <w:rPr>
          <w:rFonts w:ascii="黑体" w:hAnsi="黑体" w:eastAsia="黑体"/>
          <w:sz w:val="28"/>
          <w:szCs w:val="32"/>
        </w:rPr>
        <w:t>14</w:t>
      </w:r>
      <w:r>
        <w:rPr>
          <w:rFonts w:ascii="黑体" w:hAnsi="黑体" w:eastAsia="黑体"/>
          <w:sz w:val="28"/>
          <w:szCs w:val="32"/>
        </w:rPr>
        <w:fldChar w:fldCharType="end"/>
      </w:r>
      <w:r>
        <w:rPr>
          <w:rFonts w:ascii="黑体" w:hAnsi="黑体" w:eastAsia="黑体"/>
          <w:sz w:val="28"/>
          <w:szCs w:val="32"/>
        </w:rPr>
        <w:fldChar w:fldCharType="end"/>
      </w:r>
    </w:p>
    <w:p w14:paraId="78EFEAE1">
      <w:pPr>
        <w:pStyle w:val="13"/>
        <w:tabs>
          <w:tab w:val="right" w:leader="dot" w:pos="8296"/>
        </w:tabs>
        <w:rPr>
          <w:rFonts w:hint="eastAsia" w:ascii="楷体_GB2312" w:eastAsia="楷体_GB2312"/>
          <w:sz w:val="28"/>
          <w:szCs w:val="32"/>
          <w14:ligatures w14:val="standardContextual"/>
        </w:rPr>
      </w:pPr>
      <w:r>
        <w:fldChar w:fldCharType="begin"/>
      </w:r>
      <w:r>
        <w:instrText xml:space="preserve"> HYPERLINK \l "_Toc147740938" </w:instrText>
      </w:r>
      <w:r>
        <w:fldChar w:fldCharType="separate"/>
      </w:r>
      <w:r>
        <w:rPr>
          <w:rStyle w:val="20"/>
          <w:rFonts w:hint="eastAsia" w:ascii="楷体_GB2312" w:hAnsi="黑体" w:eastAsia="楷体_GB2312"/>
          <w:sz w:val="28"/>
          <w:szCs w:val="32"/>
        </w:rPr>
        <w:t>（一）升级信息网络基础设施</w:t>
      </w:r>
      <w:r>
        <w:rPr>
          <w:rFonts w:hint="eastAsia" w:ascii="楷体_GB2312" w:eastAsia="楷体_GB2312"/>
          <w:sz w:val="28"/>
          <w:szCs w:val="32"/>
        </w:rPr>
        <w:tab/>
      </w:r>
      <w:r>
        <w:rPr>
          <w:rFonts w:hint="eastAsia" w:ascii="楷体_GB2312" w:eastAsia="楷体_GB2312"/>
          <w:sz w:val="28"/>
          <w:szCs w:val="32"/>
        </w:rPr>
        <w:fldChar w:fldCharType="begin"/>
      </w:r>
      <w:r>
        <w:rPr>
          <w:rFonts w:hint="eastAsia" w:ascii="楷体_GB2312" w:eastAsia="楷体_GB2312"/>
          <w:sz w:val="28"/>
          <w:szCs w:val="32"/>
        </w:rPr>
        <w:instrText xml:space="preserve"> PAGEREF _Toc147740938 \h </w:instrText>
      </w:r>
      <w:r>
        <w:rPr>
          <w:rFonts w:hint="eastAsia" w:ascii="楷体_GB2312" w:eastAsia="楷体_GB2312"/>
          <w:sz w:val="28"/>
          <w:szCs w:val="32"/>
        </w:rPr>
        <w:fldChar w:fldCharType="separate"/>
      </w:r>
      <w:r>
        <w:rPr>
          <w:rFonts w:ascii="楷体_GB2312" w:eastAsia="楷体_GB2312"/>
          <w:sz w:val="28"/>
          <w:szCs w:val="32"/>
        </w:rPr>
        <w:t>14</w:t>
      </w:r>
      <w:r>
        <w:rPr>
          <w:rFonts w:hint="eastAsia" w:ascii="楷体_GB2312" w:eastAsia="楷体_GB2312"/>
          <w:sz w:val="28"/>
          <w:szCs w:val="32"/>
        </w:rPr>
        <w:fldChar w:fldCharType="end"/>
      </w:r>
      <w:r>
        <w:rPr>
          <w:rFonts w:hint="eastAsia" w:ascii="楷体_GB2312" w:eastAsia="楷体_GB2312"/>
          <w:sz w:val="28"/>
          <w:szCs w:val="32"/>
        </w:rPr>
        <w:fldChar w:fldCharType="end"/>
      </w:r>
    </w:p>
    <w:p w14:paraId="5C578515">
      <w:pPr>
        <w:pStyle w:val="13"/>
        <w:tabs>
          <w:tab w:val="right" w:leader="dot" w:pos="8296"/>
        </w:tabs>
        <w:rPr>
          <w:rFonts w:hint="eastAsia" w:ascii="楷体_GB2312" w:eastAsia="楷体_GB2312"/>
          <w:sz w:val="28"/>
          <w:szCs w:val="32"/>
          <w14:ligatures w14:val="standardContextual"/>
        </w:rPr>
      </w:pPr>
      <w:r>
        <w:fldChar w:fldCharType="begin"/>
      </w:r>
      <w:r>
        <w:instrText xml:space="preserve"> HYPERLINK \l "_Toc147740939" </w:instrText>
      </w:r>
      <w:r>
        <w:fldChar w:fldCharType="separate"/>
      </w:r>
      <w:r>
        <w:rPr>
          <w:rStyle w:val="20"/>
          <w:rFonts w:hint="eastAsia" w:ascii="楷体_GB2312" w:hAnsi="黑体" w:eastAsia="楷体_GB2312"/>
          <w:sz w:val="28"/>
          <w:szCs w:val="32"/>
        </w:rPr>
        <w:t>（二）打造绿色智能融合基础设施</w:t>
      </w:r>
      <w:r>
        <w:rPr>
          <w:rFonts w:hint="eastAsia" w:ascii="楷体_GB2312" w:eastAsia="楷体_GB2312"/>
          <w:sz w:val="28"/>
          <w:szCs w:val="32"/>
        </w:rPr>
        <w:tab/>
      </w:r>
      <w:r>
        <w:rPr>
          <w:rFonts w:hint="eastAsia" w:ascii="楷体_GB2312" w:eastAsia="楷体_GB2312"/>
          <w:sz w:val="28"/>
          <w:szCs w:val="32"/>
        </w:rPr>
        <w:fldChar w:fldCharType="begin"/>
      </w:r>
      <w:r>
        <w:rPr>
          <w:rFonts w:hint="eastAsia" w:ascii="楷体_GB2312" w:eastAsia="楷体_GB2312"/>
          <w:sz w:val="28"/>
          <w:szCs w:val="32"/>
        </w:rPr>
        <w:instrText xml:space="preserve"> PAGEREF _Toc147740939 \h </w:instrText>
      </w:r>
      <w:r>
        <w:rPr>
          <w:rFonts w:hint="eastAsia" w:ascii="楷体_GB2312" w:eastAsia="楷体_GB2312"/>
          <w:sz w:val="28"/>
          <w:szCs w:val="32"/>
        </w:rPr>
        <w:fldChar w:fldCharType="separate"/>
      </w:r>
      <w:r>
        <w:rPr>
          <w:rFonts w:ascii="楷体_GB2312" w:eastAsia="楷体_GB2312"/>
          <w:sz w:val="28"/>
          <w:szCs w:val="32"/>
        </w:rPr>
        <w:t>16</w:t>
      </w:r>
      <w:r>
        <w:rPr>
          <w:rFonts w:hint="eastAsia" w:ascii="楷体_GB2312" w:eastAsia="楷体_GB2312"/>
          <w:sz w:val="28"/>
          <w:szCs w:val="32"/>
        </w:rPr>
        <w:fldChar w:fldCharType="end"/>
      </w:r>
      <w:r>
        <w:rPr>
          <w:rFonts w:hint="eastAsia" w:ascii="楷体_GB2312" w:eastAsia="楷体_GB2312"/>
          <w:sz w:val="28"/>
          <w:szCs w:val="32"/>
        </w:rPr>
        <w:fldChar w:fldCharType="end"/>
      </w:r>
    </w:p>
    <w:p w14:paraId="5DBCBAB5">
      <w:pPr>
        <w:pStyle w:val="12"/>
        <w:tabs>
          <w:tab w:val="left" w:pos="840"/>
          <w:tab w:val="right" w:leader="dot" w:pos="8296"/>
        </w:tabs>
        <w:rPr>
          <w:rStyle w:val="20"/>
          <w:rFonts w:ascii="黑体" w:hAnsi="黑体" w:eastAsia="黑体"/>
          <w:sz w:val="28"/>
          <w:szCs w:val="28"/>
          <w:u w:val="none"/>
        </w:rPr>
      </w:pPr>
      <w:r>
        <w:fldChar w:fldCharType="begin"/>
      </w:r>
      <w:r>
        <w:instrText xml:space="preserve"> HYPERLINK \l "_Toc147740940" </w:instrText>
      </w:r>
      <w:r>
        <w:fldChar w:fldCharType="separate"/>
      </w:r>
      <w:r>
        <w:rPr>
          <w:rStyle w:val="20"/>
          <w:rFonts w:ascii="黑体" w:hAnsi="黑体" w:eastAsia="黑体"/>
          <w:sz w:val="28"/>
          <w:szCs w:val="28"/>
          <w:u w:val="none"/>
        </w:rPr>
        <w:t>四、</w:t>
      </w:r>
      <w:r>
        <w:rPr>
          <w:rStyle w:val="20"/>
          <w:rFonts w:ascii="黑体" w:hAnsi="黑体" w:eastAsia="黑体"/>
          <w:sz w:val="28"/>
          <w:szCs w:val="28"/>
          <w:u w:val="none"/>
        </w:rPr>
        <w:tab/>
      </w:r>
      <w:r>
        <w:rPr>
          <w:rStyle w:val="20"/>
          <w:rFonts w:hint="eastAsia" w:ascii="黑体" w:hAnsi="黑体" w:eastAsia="黑体"/>
          <w:sz w:val="28"/>
          <w:szCs w:val="28"/>
          <w:u w:val="none"/>
          <w:lang w:eastAsia="zh-CN"/>
        </w:rPr>
        <w:t>做大产业集群推动传统产业转型升级</w:t>
      </w:r>
      <w:r>
        <w:rPr>
          <w:rStyle w:val="20"/>
          <w:rFonts w:ascii="黑体" w:hAnsi="黑体" w:eastAsia="黑体"/>
          <w:sz w:val="28"/>
          <w:szCs w:val="28"/>
          <w:u w:val="none"/>
        </w:rPr>
        <w:tab/>
      </w:r>
      <w:r>
        <w:rPr>
          <w:rStyle w:val="20"/>
          <w:rFonts w:ascii="黑体" w:hAnsi="黑体" w:eastAsia="黑体"/>
          <w:sz w:val="28"/>
          <w:szCs w:val="28"/>
          <w:u w:val="none"/>
        </w:rPr>
        <w:fldChar w:fldCharType="begin"/>
      </w:r>
      <w:r>
        <w:rPr>
          <w:rStyle w:val="20"/>
          <w:rFonts w:ascii="黑体" w:hAnsi="黑体" w:eastAsia="黑体"/>
          <w:sz w:val="28"/>
          <w:szCs w:val="28"/>
          <w:u w:val="none"/>
        </w:rPr>
        <w:instrText xml:space="preserve"> PAGEREF _Toc147740940 \h </w:instrText>
      </w:r>
      <w:r>
        <w:rPr>
          <w:rStyle w:val="20"/>
          <w:rFonts w:ascii="黑体" w:hAnsi="黑体" w:eastAsia="黑体"/>
          <w:sz w:val="28"/>
          <w:szCs w:val="28"/>
          <w:u w:val="none"/>
        </w:rPr>
        <w:fldChar w:fldCharType="separate"/>
      </w:r>
      <w:r>
        <w:rPr>
          <w:rStyle w:val="20"/>
          <w:rFonts w:ascii="黑体" w:hAnsi="黑体" w:eastAsia="黑体"/>
          <w:sz w:val="28"/>
          <w:szCs w:val="28"/>
          <w:u w:val="none"/>
        </w:rPr>
        <w:t>18</w:t>
      </w:r>
      <w:r>
        <w:rPr>
          <w:rStyle w:val="20"/>
          <w:rFonts w:ascii="黑体" w:hAnsi="黑体" w:eastAsia="黑体"/>
          <w:sz w:val="28"/>
          <w:szCs w:val="28"/>
          <w:u w:val="none"/>
        </w:rPr>
        <w:fldChar w:fldCharType="end"/>
      </w:r>
      <w:r>
        <w:rPr>
          <w:rStyle w:val="20"/>
          <w:rFonts w:ascii="黑体" w:hAnsi="黑体" w:eastAsia="黑体"/>
          <w:sz w:val="28"/>
          <w:szCs w:val="28"/>
          <w:u w:val="none"/>
        </w:rPr>
        <w:fldChar w:fldCharType="end"/>
      </w:r>
    </w:p>
    <w:p w14:paraId="7CEF96B1">
      <w:pPr>
        <w:pStyle w:val="13"/>
        <w:tabs>
          <w:tab w:val="right" w:leader="dot" w:pos="8296"/>
        </w:tabs>
        <w:rPr>
          <w:rFonts w:hint="eastAsia" w:ascii="楷体_GB2312" w:eastAsia="楷体_GB2312"/>
          <w:sz w:val="28"/>
          <w:szCs w:val="32"/>
          <w14:ligatures w14:val="standardContextual"/>
        </w:rPr>
      </w:pPr>
      <w:r>
        <w:fldChar w:fldCharType="begin"/>
      </w:r>
      <w:r>
        <w:instrText xml:space="preserve"> HYPERLINK \l "_Toc147740941" </w:instrText>
      </w:r>
      <w:r>
        <w:fldChar w:fldCharType="separate"/>
      </w:r>
      <w:r>
        <w:rPr>
          <w:rStyle w:val="20"/>
          <w:rFonts w:hint="eastAsia" w:ascii="楷体_GB2312" w:hAnsi="黑体" w:eastAsia="楷体_GB2312"/>
          <w:sz w:val="28"/>
          <w:szCs w:val="32"/>
        </w:rPr>
        <w:t>（一）加快农业农村数字化转型</w:t>
      </w:r>
      <w:r>
        <w:rPr>
          <w:rFonts w:hint="eastAsia" w:ascii="楷体_GB2312" w:eastAsia="楷体_GB2312"/>
          <w:sz w:val="28"/>
          <w:szCs w:val="32"/>
        </w:rPr>
        <w:tab/>
      </w:r>
      <w:r>
        <w:rPr>
          <w:rFonts w:hint="eastAsia" w:ascii="楷体_GB2312" w:eastAsia="楷体_GB2312"/>
          <w:sz w:val="28"/>
          <w:szCs w:val="32"/>
        </w:rPr>
        <w:fldChar w:fldCharType="begin"/>
      </w:r>
      <w:r>
        <w:rPr>
          <w:rFonts w:hint="eastAsia" w:ascii="楷体_GB2312" w:eastAsia="楷体_GB2312"/>
          <w:sz w:val="28"/>
          <w:szCs w:val="32"/>
        </w:rPr>
        <w:instrText xml:space="preserve"> PAGEREF _Toc147740941 \h </w:instrText>
      </w:r>
      <w:r>
        <w:rPr>
          <w:rFonts w:hint="eastAsia" w:ascii="楷体_GB2312" w:eastAsia="楷体_GB2312"/>
          <w:sz w:val="28"/>
          <w:szCs w:val="32"/>
        </w:rPr>
        <w:fldChar w:fldCharType="separate"/>
      </w:r>
      <w:r>
        <w:rPr>
          <w:rFonts w:ascii="楷体_GB2312" w:eastAsia="楷体_GB2312"/>
          <w:sz w:val="28"/>
          <w:szCs w:val="32"/>
        </w:rPr>
        <w:t>18</w:t>
      </w:r>
      <w:r>
        <w:rPr>
          <w:rFonts w:hint="eastAsia" w:ascii="楷体_GB2312" w:eastAsia="楷体_GB2312"/>
          <w:sz w:val="28"/>
          <w:szCs w:val="32"/>
        </w:rPr>
        <w:fldChar w:fldCharType="end"/>
      </w:r>
      <w:r>
        <w:rPr>
          <w:rFonts w:hint="eastAsia" w:ascii="楷体_GB2312" w:eastAsia="楷体_GB2312"/>
          <w:sz w:val="28"/>
          <w:szCs w:val="32"/>
        </w:rPr>
        <w:fldChar w:fldCharType="end"/>
      </w:r>
    </w:p>
    <w:p w14:paraId="60812793">
      <w:pPr>
        <w:pStyle w:val="13"/>
        <w:tabs>
          <w:tab w:val="right" w:leader="dot" w:pos="8296"/>
        </w:tabs>
        <w:rPr>
          <w:rFonts w:hint="eastAsia" w:ascii="楷体_GB2312" w:eastAsia="楷体_GB2312"/>
          <w:sz w:val="28"/>
          <w:szCs w:val="32"/>
          <w14:ligatures w14:val="standardContextual"/>
        </w:rPr>
      </w:pPr>
      <w:r>
        <w:fldChar w:fldCharType="begin"/>
      </w:r>
      <w:r>
        <w:instrText xml:space="preserve"> HYPERLINK \l "_Toc147740942" </w:instrText>
      </w:r>
      <w:r>
        <w:fldChar w:fldCharType="separate"/>
      </w:r>
      <w:r>
        <w:rPr>
          <w:rStyle w:val="20"/>
          <w:rFonts w:hint="eastAsia" w:ascii="楷体_GB2312" w:hAnsi="黑体" w:eastAsia="楷体_GB2312"/>
          <w:sz w:val="28"/>
          <w:szCs w:val="32"/>
        </w:rPr>
        <w:t>（二）加速推动制造业数字化转型</w:t>
      </w:r>
      <w:r>
        <w:rPr>
          <w:rFonts w:hint="eastAsia" w:ascii="楷体_GB2312" w:eastAsia="楷体_GB2312"/>
          <w:sz w:val="28"/>
          <w:szCs w:val="32"/>
        </w:rPr>
        <w:tab/>
      </w:r>
      <w:r>
        <w:rPr>
          <w:rFonts w:hint="eastAsia" w:ascii="楷体_GB2312" w:eastAsia="楷体_GB2312"/>
          <w:sz w:val="28"/>
          <w:szCs w:val="32"/>
        </w:rPr>
        <w:fldChar w:fldCharType="begin"/>
      </w:r>
      <w:r>
        <w:rPr>
          <w:rFonts w:hint="eastAsia" w:ascii="楷体_GB2312" w:eastAsia="楷体_GB2312"/>
          <w:sz w:val="28"/>
          <w:szCs w:val="32"/>
        </w:rPr>
        <w:instrText xml:space="preserve"> PAGEREF _Toc147740942 \h </w:instrText>
      </w:r>
      <w:r>
        <w:rPr>
          <w:rFonts w:hint="eastAsia" w:ascii="楷体_GB2312" w:eastAsia="楷体_GB2312"/>
          <w:sz w:val="28"/>
          <w:szCs w:val="32"/>
        </w:rPr>
        <w:fldChar w:fldCharType="separate"/>
      </w:r>
      <w:r>
        <w:rPr>
          <w:rFonts w:ascii="楷体_GB2312" w:eastAsia="楷体_GB2312"/>
          <w:sz w:val="28"/>
          <w:szCs w:val="32"/>
        </w:rPr>
        <w:t>24</w:t>
      </w:r>
      <w:r>
        <w:rPr>
          <w:rFonts w:hint="eastAsia" w:ascii="楷体_GB2312" w:eastAsia="楷体_GB2312"/>
          <w:sz w:val="28"/>
          <w:szCs w:val="32"/>
        </w:rPr>
        <w:fldChar w:fldCharType="end"/>
      </w:r>
      <w:r>
        <w:rPr>
          <w:rFonts w:hint="eastAsia" w:ascii="楷体_GB2312" w:eastAsia="楷体_GB2312"/>
          <w:sz w:val="28"/>
          <w:szCs w:val="32"/>
        </w:rPr>
        <w:fldChar w:fldCharType="end"/>
      </w:r>
    </w:p>
    <w:p w14:paraId="3361856C">
      <w:pPr>
        <w:pStyle w:val="13"/>
        <w:tabs>
          <w:tab w:val="right" w:leader="dot" w:pos="8296"/>
        </w:tabs>
        <w:rPr>
          <w:rFonts w:hint="eastAsia" w:ascii="楷体_GB2312" w:eastAsia="楷体_GB2312"/>
          <w:sz w:val="28"/>
          <w:szCs w:val="32"/>
          <w14:ligatures w14:val="standardContextual"/>
        </w:rPr>
      </w:pPr>
      <w:r>
        <w:fldChar w:fldCharType="begin"/>
      </w:r>
      <w:r>
        <w:instrText xml:space="preserve"> HYPERLINK \l "_Toc147740943" </w:instrText>
      </w:r>
      <w:r>
        <w:fldChar w:fldCharType="separate"/>
      </w:r>
      <w:r>
        <w:rPr>
          <w:rStyle w:val="20"/>
          <w:rFonts w:hint="eastAsia" w:ascii="楷体_GB2312" w:hAnsi="黑体" w:eastAsia="楷体_GB2312"/>
          <w:sz w:val="28"/>
          <w:szCs w:val="32"/>
        </w:rPr>
        <w:t>（三）培育壮大数字新业态</w:t>
      </w:r>
      <w:r>
        <w:rPr>
          <w:rFonts w:hint="eastAsia" w:ascii="楷体_GB2312" w:eastAsia="楷体_GB2312"/>
          <w:sz w:val="28"/>
          <w:szCs w:val="32"/>
        </w:rPr>
        <w:tab/>
      </w:r>
      <w:r>
        <w:rPr>
          <w:rFonts w:hint="eastAsia" w:ascii="楷体_GB2312" w:eastAsia="楷体_GB2312"/>
          <w:sz w:val="28"/>
          <w:szCs w:val="32"/>
        </w:rPr>
        <w:fldChar w:fldCharType="begin"/>
      </w:r>
      <w:r>
        <w:rPr>
          <w:rFonts w:hint="eastAsia" w:ascii="楷体_GB2312" w:eastAsia="楷体_GB2312"/>
          <w:sz w:val="28"/>
          <w:szCs w:val="32"/>
        </w:rPr>
        <w:instrText xml:space="preserve"> PAGEREF _Toc147740943 \h </w:instrText>
      </w:r>
      <w:r>
        <w:rPr>
          <w:rFonts w:hint="eastAsia" w:ascii="楷体_GB2312" w:eastAsia="楷体_GB2312"/>
          <w:sz w:val="28"/>
          <w:szCs w:val="32"/>
        </w:rPr>
        <w:fldChar w:fldCharType="separate"/>
      </w:r>
      <w:r>
        <w:rPr>
          <w:rFonts w:ascii="楷体_GB2312" w:eastAsia="楷体_GB2312"/>
          <w:sz w:val="28"/>
          <w:szCs w:val="32"/>
        </w:rPr>
        <w:t>27</w:t>
      </w:r>
      <w:r>
        <w:rPr>
          <w:rFonts w:hint="eastAsia" w:ascii="楷体_GB2312" w:eastAsia="楷体_GB2312"/>
          <w:sz w:val="28"/>
          <w:szCs w:val="32"/>
        </w:rPr>
        <w:fldChar w:fldCharType="end"/>
      </w:r>
      <w:r>
        <w:rPr>
          <w:rFonts w:hint="eastAsia" w:ascii="楷体_GB2312" w:eastAsia="楷体_GB2312"/>
          <w:sz w:val="28"/>
          <w:szCs w:val="32"/>
        </w:rPr>
        <w:fldChar w:fldCharType="end"/>
      </w:r>
    </w:p>
    <w:p w14:paraId="111BD8C3">
      <w:pPr>
        <w:pStyle w:val="13"/>
        <w:tabs>
          <w:tab w:val="right" w:leader="dot" w:pos="8296"/>
        </w:tabs>
        <w:rPr>
          <w:rFonts w:hint="eastAsia" w:ascii="楷体_GB2312" w:eastAsia="楷体_GB2312"/>
          <w:sz w:val="28"/>
          <w:szCs w:val="32"/>
          <w14:ligatures w14:val="standardContextual"/>
        </w:rPr>
      </w:pPr>
      <w:r>
        <w:fldChar w:fldCharType="begin"/>
      </w:r>
      <w:r>
        <w:instrText xml:space="preserve"> HYPERLINK \l "_Toc147740944" </w:instrText>
      </w:r>
      <w:r>
        <w:fldChar w:fldCharType="separate"/>
      </w:r>
      <w:r>
        <w:rPr>
          <w:rStyle w:val="20"/>
          <w:rFonts w:hint="eastAsia" w:ascii="楷体_GB2312" w:hAnsi="黑体" w:eastAsia="楷体_GB2312"/>
          <w:sz w:val="28"/>
          <w:szCs w:val="32"/>
        </w:rPr>
        <w:t>（四）推动经开区数字化转型</w:t>
      </w:r>
      <w:r>
        <w:rPr>
          <w:rFonts w:hint="eastAsia" w:ascii="楷体_GB2312" w:eastAsia="楷体_GB2312"/>
          <w:sz w:val="28"/>
          <w:szCs w:val="32"/>
        </w:rPr>
        <w:tab/>
      </w:r>
      <w:r>
        <w:rPr>
          <w:rFonts w:hint="eastAsia" w:ascii="楷体_GB2312" w:eastAsia="楷体_GB2312"/>
          <w:sz w:val="28"/>
          <w:szCs w:val="32"/>
        </w:rPr>
        <w:fldChar w:fldCharType="begin"/>
      </w:r>
      <w:r>
        <w:rPr>
          <w:rFonts w:hint="eastAsia" w:ascii="楷体_GB2312" w:eastAsia="楷体_GB2312"/>
          <w:sz w:val="28"/>
          <w:szCs w:val="32"/>
        </w:rPr>
        <w:instrText xml:space="preserve"> PAGEREF _Toc147740944 \h </w:instrText>
      </w:r>
      <w:r>
        <w:rPr>
          <w:rFonts w:hint="eastAsia" w:ascii="楷体_GB2312" w:eastAsia="楷体_GB2312"/>
          <w:sz w:val="28"/>
          <w:szCs w:val="32"/>
        </w:rPr>
        <w:fldChar w:fldCharType="separate"/>
      </w:r>
      <w:r>
        <w:rPr>
          <w:rFonts w:ascii="楷体_GB2312" w:eastAsia="楷体_GB2312"/>
          <w:sz w:val="28"/>
          <w:szCs w:val="32"/>
        </w:rPr>
        <w:t>30</w:t>
      </w:r>
      <w:r>
        <w:rPr>
          <w:rFonts w:hint="eastAsia" w:ascii="楷体_GB2312" w:eastAsia="楷体_GB2312"/>
          <w:sz w:val="28"/>
          <w:szCs w:val="32"/>
        </w:rPr>
        <w:fldChar w:fldCharType="end"/>
      </w:r>
      <w:r>
        <w:rPr>
          <w:rFonts w:hint="eastAsia" w:ascii="楷体_GB2312" w:eastAsia="楷体_GB2312"/>
          <w:sz w:val="28"/>
          <w:szCs w:val="32"/>
        </w:rPr>
        <w:fldChar w:fldCharType="end"/>
      </w:r>
    </w:p>
    <w:p w14:paraId="35AF57A1">
      <w:pPr>
        <w:pStyle w:val="12"/>
        <w:tabs>
          <w:tab w:val="left" w:pos="840"/>
          <w:tab w:val="right" w:leader="dot" w:pos="8296"/>
        </w:tabs>
        <w:rPr>
          <w:rFonts w:ascii="黑体" w:hAnsi="黑体" w:eastAsia="黑体"/>
          <w:sz w:val="28"/>
          <w:szCs w:val="32"/>
          <w14:ligatures w14:val="standardContextual"/>
        </w:rPr>
      </w:pPr>
      <w:r>
        <w:fldChar w:fldCharType="begin"/>
      </w:r>
      <w:r>
        <w:instrText xml:space="preserve"> HYPERLINK \l "_Toc147740945" </w:instrText>
      </w:r>
      <w:r>
        <w:fldChar w:fldCharType="separate"/>
      </w:r>
      <w:r>
        <w:rPr>
          <w:rStyle w:val="20"/>
          <w:rFonts w:ascii="黑体" w:hAnsi="黑体" w:eastAsia="黑体"/>
          <w:sz w:val="28"/>
          <w:szCs w:val="32"/>
        </w:rPr>
        <w:t>五、</w:t>
      </w:r>
      <w:r>
        <w:rPr>
          <w:rFonts w:ascii="黑体" w:hAnsi="黑体" w:eastAsia="黑体"/>
          <w:sz w:val="28"/>
          <w:szCs w:val="32"/>
          <w14:ligatures w14:val="standardContextual"/>
        </w:rPr>
        <w:tab/>
      </w:r>
      <w:r>
        <w:rPr>
          <w:rStyle w:val="20"/>
          <w:rFonts w:hint="eastAsia" w:ascii="黑体" w:hAnsi="黑体" w:eastAsia="黑体"/>
          <w:sz w:val="28"/>
          <w:szCs w:val="32"/>
          <w:lang w:eastAsia="zh-CN"/>
        </w:rPr>
        <w:t>深耕产业赛道推动数字产业化高质量发展</w:t>
      </w:r>
      <w:r>
        <w:rPr>
          <w:rFonts w:ascii="黑体" w:hAnsi="黑体" w:eastAsia="黑体"/>
          <w:sz w:val="28"/>
          <w:szCs w:val="32"/>
        </w:rPr>
        <w:tab/>
      </w:r>
      <w:r>
        <w:rPr>
          <w:rFonts w:ascii="黑体" w:hAnsi="黑体" w:eastAsia="黑体"/>
          <w:sz w:val="28"/>
          <w:szCs w:val="32"/>
        </w:rPr>
        <w:fldChar w:fldCharType="begin"/>
      </w:r>
      <w:r>
        <w:rPr>
          <w:rFonts w:ascii="黑体" w:hAnsi="黑体" w:eastAsia="黑体"/>
          <w:sz w:val="28"/>
          <w:szCs w:val="32"/>
        </w:rPr>
        <w:instrText xml:space="preserve"> PAGEREF _Toc147740945 \h </w:instrText>
      </w:r>
      <w:r>
        <w:rPr>
          <w:rFonts w:ascii="黑体" w:hAnsi="黑体" w:eastAsia="黑体"/>
          <w:sz w:val="28"/>
          <w:szCs w:val="32"/>
        </w:rPr>
        <w:fldChar w:fldCharType="separate"/>
      </w:r>
      <w:r>
        <w:rPr>
          <w:rFonts w:ascii="黑体" w:hAnsi="黑体" w:eastAsia="黑体"/>
          <w:sz w:val="28"/>
          <w:szCs w:val="32"/>
        </w:rPr>
        <w:t>31</w:t>
      </w:r>
      <w:r>
        <w:rPr>
          <w:rFonts w:ascii="黑体" w:hAnsi="黑体" w:eastAsia="黑体"/>
          <w:sz w:val="28"/>
          <w:szCs w:val="32"/>
        </w:rPr>
        <w:fldChar w:fldCharType="end"/>
      </w:r>
      <w:r>
        <w:rPr>
          <w:rFonts w:ascii="黑体" w:hAnsi="黑体" w:eastAsia="黑体"/>
          <w:sz w:val="28"/>
          <w:szCs w:val="32"/>
        </w:rPr>
        <w:fldChar w:fldCharType="end"/>
      </w:r>
    </w:p>
    <w:p w14:paraId="520B5E26">
      <w:pPr>
        <w:pStyle w:val="13"/>
        <w:tabs>
          <w:tab w:val="right" w:leader="dot" w:pos="8296"/>
        </w:tabs>
        <w:rPr>
          <w:rFonts w:hint="eastAsia" w:ascii="楷体_GB2312" w:eastAsia="楷体_GB2312"/>
          <w:sz w:val="28"/>
          <w:szCs w:val="32"/>
          <w14:ligatures w14:val="standardContextual"/>
        </w:rPr>
      </w:pPr>
      <w:r>
        <w:fldChar w:fldCharType="begin"/>
      </w:r>
      <w:r>
        <w:instrText xml:space="preserve"> HYPERLINK \l "_Toc147740946" </w:instrText>
      </w:r>
      <w:r>
        <w:fldChar w:fldCharType="separate"/>
      </w:r>
      <w:r>
        <w:rPr>
          <w:rStyle w:val="20"/>
          <w:rFonts w:hint="eastAsia" w:ascii="楷体_GB2312" w:hAnsi="楷体" w:eastAsia="楷体_GB2312" w:cs="Times New Roman"/>
          <w:kern w:val="0"/>
          <w:sz w:val="28"/>
          <w:szCs w:val="32"/>
        </w:rPr>
        <w:t>（一）做大做强基础赛道</w:t>
      </w:r>
      <w:r>
        <w:rPr>
          <w:rFonts w:hint="eastAsia" w:ascii="楷体_GB2312" w:eastAsia="楷体_GB2312"/>
          <w:sz w:val="28"/>
          <w:szCs w:val="32"/>
        </w:rPr>
        <w:tab/>
      </w:r>
      <w:r>
        <w:rPr>
          <w:rFonts w:hint="eastAsia" w:ascii="楷体_GB2312" w:eastAsia="楷体_GB2312"/>
          <w:sz w:val="28"/>
          <w:szCs w:val="32"/>
        </w:rPr>
        <w:fldChar w:fldCharType="begin"/>
      </w:r>
      <w:r>
        <w:rPr>
          <w:rFonts w:hint="eastAsia" w:ascii="楷体_GB2312" w:eastAsia="楷体_GB2312"/>
          <w:sz w:val="28"/>
          <w:szCs w:val="32"/>
        </w:rPr>
        <w:instrText xml:space="preserve"> PAGEREF _Toc147740946 \h </w:instrText>
      </w:r>
      <w:r>
        <w:rPr>
          <w:rFonts w:hint="eastAsia" w:ascii="楷体_GB2312" w:eastAsia="楷体_GB2312"/>
          <w:sz w:val="28"/>
          <w:szCs w:val="32"/>
        </w:rPr>
        <w:fldChar w:fldCharType="separate"/>
      </w:r>
      <w:r>
        <w:rPr>
          <w:rFonts w:ascii="楷体_GB2312" w:eastAsia="楷体_GB2312"/>
          <w:sz w:val="28"/>
          <w:szCs w:val="32"/>
        </w:rPr>
        <w:t>32</w:t>
      </w:r>
      <w:r>
        <w:rPr>
          <w:rFonts w:hint="eastAsia" w:ascii="楷体_GB2312" w:eastAsia="楷体_GB2312"/>
          <w:sz w:val="28"/>
          <w:szCs w:val="32"/>
        </w:rPr>
        <w:fldChar w:fldCharType="end"/>
      </w:r>
      <w:r>
        <w:rPr>
          <w:rFonts w:hint="eastAsia" w:ascii="楷体_GB2312" w:eastAsia="楷体_GB2312"/>
          <w:sz w:val="28"/>
          <w:szCs w:val="32"/>
        </w:rPr>
        <w:fldChar w:fldCharType="end"/>
      </w:r>
    </w:p>
    <w:p w14:paraId="56497290">
      <w:pPr>
        <w:pStyle w:val="13"/>
        <w:tabs>
          <w:tab w:val="right" w:leader="dot" w:pos="8296"/>
        </w:tabs>
        <w:rPr>
          <w:rFonts w:hint="eastAsia" w:ascii="楷体_GB2312" w:eastAsia="楷体_GB2312"/>
          <w:sz w:val="28"/>
          <w:szCs w:val="32"/>
          <w14:ligatures w14:val="standardContextual"/>
        </w:rPr>
      </w:pPr>
      <w:r>
        <w:fldChar w:fldCharType="begin"/>
      </w:r>
      <w:r>
        <w:instrText xml:space="preserve"> HYPERLINK \l "_Toc147740947" </w:instrText>
      </w:r>
      <w:r>
        <w:fldChar w:fldCharType="separate"/>
      </w:r>
      <w:r>
        <w:rPr>
          <w:rStyle w:val="20"/>
          <w:rFonts w:hint="eastAsia" w:ascii="楷体_GB2312" w:hAnsi="楷体" w:eastAsia="楷体_GB2312" w:cs="宋体"/>
          <w:kern w:val="0"/>
          <w:sz w:val="28"/>
          <w:szCs w:val="32"/>
        </w:rPr>
        <w:t>（二）培育发展新兴赛道</w:t>
      </w:r>
      <w:r>
        <w:rPr>
          <w:rFonts w:hint="eastAsia" w:ascii="楷体_GB2312" w:eastAsia="楷体_GB2312"/>
          <w:sz w:val="28"/>
          <w:szCs w:val="32"/>
        </w:rPr>
        <w:tab/>
      </w:r>
      <w:r>
        <w:rPr>
          <w:rFonts w:hint="eastAsia" w:ascii="楷体_GB2312" w:eastAsia="楷体_GB2312"/>
          <w:sz w:val="28"/>
          <w:szCs w:val="32"/>
        </w:rPr>
        <w:fldChar w:fldCharType="begin"/>
      </w:r>
      <w:r>
        <w:rPr>
          <w:rFonts w:hint="eastAsia" w:ascii="楷体_GB2312" w:eastAsia="楷体_GB2312"/>
          <w:sz w:val="28"/>
          <w:szCs w:val="32"/>
        </w:rPr>
        <w:instrText xml:space="preserve"> PAGEREF _Toc147740947 \h </w:instrText>
      </w:r>
      <w:r>
        <w:rPr>
          <w:rFonts w:hint="eastAsia" w:ascii="楷体_GB2312" w:eastAsia="楷体_GB2312"/>
          <w:sz w:val="28"/>
          <w:szCs w:val="32"/>
        </w:rPr>
        <w:fldChar w:fldCharType="separate"/>
      </w:r>
      <w:r>
        <w:rPr>
          <w:rFonts w:ascii="楷体_GB2312" w:eastAsia="楷体_GB2312"/>
          <w:sz w:val="28"/>
          <w:szCs w:val="32"/>
        </w:rPr>
        <w:t>34</w:t>
      </w:r>
      <w:r>
        <w:rPr>
          <w:rFonts w:hint="eastAsia" w:ascii="楷体_GB2312" w:eastAsia="楷体_GB2312"/>
          <w:sz w:val="28"/>
          <w:szCs w:val="32"/>
        </w:rPr>
        <w:fldChar w:fldCharType="end"/>
      </w:r>
      <w:r>
        <w:rPr>
          <w:rFonts w:hint="eastAsia" w:ascii="楷体_GB2312" w:eastAsia="楷体_GB2312"/>
          <w:sz w:val="28"/>
          <w:szCs w:val="32"/>
        </w:rPr>
        <w:fldChar w:fldCharType="end"/>
      </w:r>
    </w:p>
    <w:p w14:paraId="3D940A73">
      <w:pPr>
        <w:pStyle w:val="13"/>
        <w:tabs>
          <w:tab w:val="right" w:leader="dot" w:pos="8296"/>
        </w:tabs>
        <w:rPr>
          <w:rFonts w:hint="eastAsia" w:ascii="楷体_GB2312" w:eastAsia="楷体_GB2312"/>
          <w:sz w:val="28"/>
          <w:szCs w:val="32"/>
          <w14:ligatures w14:val="standardContextual"/>
        </w:rPr>
      </w:pPr>
      <w:r>
        <w:fldChar w:fldCharType="begin"/>
      </w:r>
      <w:r>
        <w:instrText xml:space="preserve"> HYPERLINK \l "_Toc147740948" </w:instrText>
      </w:r>
      <w:r>
        <w:fldChar w:fldCharType="separate"/>
      </w:r>
      <w:r>
        <w:rPr>
          <w:rStyle w:val="20"/>
          <w:rFonts w:hint="eastAsia" w:ascii="楷体_GB2312" w:hAnsi="楷体" w:eastAsia="楷体_GB2312" w:cs="宋体"/>
          <w:kern w:val="0"/>
          <w:sz w:val="28"/>
          <w:szCs w:val="32"/>
        </w:rPr>
        <w:t>（三）优化数字产业发展环境</w:t>
      </w:r>
      <w:r>
        <w:rPr>
          <w:rFonts w:hint="eastAsia" w:ascii="楷体_GB2312" w:eastAsia="楷体_GB2312"/>
          <w:sz w:val="28"/>
          <w:szCs w:val="32"/>
        </w:rPr>
        <w:tab/>
      </w:r>
      <w:r>
        <w:rPr>
          <w:rFonts w:hint="eastAsia" w:ascii="楷体_GB2312" w:eastAsia="楷体_GB2312"/>
          <w:sz w:val="28"/>
          <w:szCs w:val="32"/>
        </w:rPr>
        <w:fldChar w:fldCharType="begin"/>
      </w:r>
      <w:r>
        <w:rPr>
          <w:rFonts w:hint="eastAsia" w:ascii="楷体_GB2312" w:eastAsia="楷体_GB2312"/>
          <w:sz w:val="28"/>
          <w:szCs w:val="32"/>
        </w:rPr>
        <w:instrText xml:space="preserve"> PAGEREF _Toc147740948 \h </w:instrText>
      </w:r>
      <w:r>
        <w:rPr>
          <w:rFonts w:hint="eastAsia" w:ascii="楷体_GB2312" w:eastAsia="楷体_GB2312"/>
          <w:sz w:val="28"/>
          <w:szCs w:val="32"/>
        </w:rPr>
        <w:fldChar w:fldCharType="separate"/>
      </w:r>
      <w:r>
        <w:rPr>
          <w:rFonts w:ascii="楷体_GB2312" w:eastAsia="楷体_GB2312"/>
          <w:sz w:val="28"/>
          <w:szCs w:val="32"/>
        </w:rPr>
        <w:t>35</w:t>
      </w:r>
      <w:r>
        <w:rPr>
          <w:rFonts w:hint="eastAsia" w:ascii="楷体_GB2312" w:eastAsia="楷体_GB2312"/>
          <w:sz w:val="28"/>
          <w:szCs w:val="32"/>
        </w:rPr>
        <w:fldChar w:fldCharType="end"/>
      </w:r>
      <w:r>
        <w:rPr>
          <w:rFonts w:hint="eastAsia" w:ascii="楷体_GB2312" w:eastAsia="楷体_GB2312"/>
          <w:sz w:val="28"/>
          <w:szCs w:val="32"/>
        </w:rPr>
        <w:fldChar w:fldCharType="end"/>
      </w:r>
    </w:p>
    <w:p w14:paraId="77F722EC">
      <w:pPr>
        <w:pStyle w:val="12"/>
        <w:tabs>
          <w:tab w:val="left" w:pos="840"/>
          <w:tab w:val="right" w:leader="dot" w:pos="8296"/>
        </w:tabs>
        <w:rPr>
          <w:rFonts w:ascii="黑体" w:hAnsi="黑体" w:eastAsia="黑体"/>
          <w:sz w:val="28"/>
          <w:szCs w:val="32"/>
          <w14:ligatures w14:val="standardContextual"/>
        </w:rPr>
      </w:pPr>
      <w:r>
        <w:fldChar w:fldCharType="begin"/>
      </w:r>
      <w:r>
        <w:instrText xml:space="preserve"> HYPERLINK \l "_Toc147740949" </w:instrText>
      </w:r>
      <w:r>
        <w:fldChar w:fldCharType="separate"/>
      </w:r>
      <w:r>
        <w:rPr>
          <w:rStyle w:val="20"/>
          <w:rFonts w:ascii="黑体" w:hAnsi="黑体" w:eastAsia="黑体"/>
          <w:sz w:val="28"/>
          <w:szCs w:val="32"/>
        </w:rPr>
        <w:t>六、</w:t>
      </w:r>
      <w:r>
        <w:rPr>
          <w:rFonts w:ascii="黑体" w:hAnsi="黑体" w:eastAsia="黑体"/>
          <w:sz w:val="28"/>
          <w:szCs w:val="32"/>
          <w14:ligatures w14:val="standardContextual"/>
        </w:rPr>
        <w:tab/>
      </w:r>
      <w:r>
        <w:rPr>
          <w:rStyle w:val="20"/>
          <w:rFonts w:hint="eastAsia" w:ascii="黑体" w:hAnsi="黑体" w:eastAsia="黑体"/>
          <w:sz w:val="28"/>
          <w:szCs w:val="32"/>
          <w:lang w:eastAsia="zh-CN"/>
        </w:rPr>
        <w:t>优化数字服务助力“全景兴国”建设</w:t>
      </w:r>
      <w:r>
        <w:rPr>
          <w:rFonts w:ascii="黑体" w:hAnsi="黑体" w:eastAsia="黑体"/>
          <w:sz w:val="28"/>
          <w:szCs w:val="32"/>
        </w:rPr>
        <w:tab/>
      </w:r>
      <w:r>
        <w:rPr>
          <w:rFonts w:ascii="黑体" w:hAnsi="黑体" w:eastAsia="黑体"/>
          <w:sz w:val="28"/>
          <w:szCs w:val="32"/>
        </w:rPr>
        <w:fldChar w:fldCharType="begin"/>
      </w:r>
      <w:r>
        <w:rPr>
          <w:rFonts w:ascii="黑体" w:hAnsi="黑体" w:eastAsia="黑体"/>
          <w:sz w:val="28"/>
          <w:szCs w:val="32"/>
        </w:rPr>
        <w:instrText xml:space="preserve"> PAGEREF _Toc147740949 \h </w:instrText>
      </w:r>
      <w:r>
        <w:rPr>
          <w:rFonts w:ascii="黑体" w:hAnsi="黑体" w:eastAsia="黑体"/>
          <w:sz w:val="28"/>
          <w:szCs w:val="32"/>
        </w:rPr>
        <w:fldChar w:fldCharType="separate"/>
      </w:r>
      <w:r>
        <w:rPr>
          <w:rFonts w:ascii="黑体" w:hAnsi="黑体" w:eastAsia="黑体"/>
          <w:sz w:val="28"/>
          <w:szCs w:val="32"/>
        </w:rPr>
        <w:t>36</w:t>
      </w:r>
      <w:r>
        <w:rPr>
          <w:rFonts w:ascii="黑体" w:hAnsi="黑体" w:eastAsia="黑体"/>
          <w:sz w:val="28"/>
          <w:szCs w:val="32"/>
        </w:rPr>
        <w:fldChar w:fldCharType="end"/>
      </w:r>
      <w:r>
        <w:rPr>
          <w:rFonts w:ascii="黑体" w:hAnsi="黑体" w:eastAsia="黑体"/>
          <w:sz w:val="28"/>
          <w:szCs w:val="32"/>
        </w:rPr>
        <w:fldChar w:fldCharType="end"/>
      </w:r>
    </w:p>
    <w:p w14:paraId="4128C5BE">
      <w:pPr>
        <w:pStyle w:val="13"/>
        <w:tabs>
          <w:tab w:val="right" w:leader="dot" w:pos="8296"/>
        </w:tabs>
        <w:rPr>
          <w:rFonts w:hint="eastAsia" w:ascii="楷体_GB2312" w:eastAsia="楷体_GB2312"/>
          <w:sz w:val="28"/>
          <w:szCs w:val="32"/>
          <w14:ligatures w14:val="standardContextual"/>
        </w:rPr>
      </w:pPr>
      <w:r>
        <w:fldChar w:fldCharType="begin"/>
      </w:r>
      <w:r>
        <w:instrText xml:space="preserve"> HYPERLINK \l "_Toc147740950" </w:instrText>
      </w:r>
      <w:r>
        <w:fldChar w:fldCharType="separate"/>
      </w:r>
      <w:r>
        <w:rPr>
          <w:rStyle w:val="20"/>
          <w:rFonts w:hint="eastAsia" w:ascii="楷体_GB2312" w:hAnsi="楷体" w:eastAsia="楷体_GB2312" w:cs="宋体"/>
          <w:kern w:val="0"/>
          <w:sz w:val="28"/>
          <w:szCs w:val="32"/>
        </w:rPr>
        <w:t>（一）打造智慧文旅样板</w:t>
      </w:r>
      <w:r>
        <w:rPr>
          <w:rFonts w:hint="eastAsia" w:ascii="楷体_GB2312" w:eastAsia="楷体_GB2312"/>
          <w:sz w:val="28"/>
          <w:szCs w:val="32"/>
        </w:rPr>
        <w:tab/>
      </w:r>
      <w:r>
        <w:rPr>
          <w:rFonts w:hint="eastAsia" w:ascii="楷体_GB2312" w:eastAsia="楷体_GB2312"/>
          <w:sz w:val="28"/>
          <w:szCs w:val="32"/>
        </w:rPr>
        <w:fldChar w:fldCharType="begin"/>
      </w:r>
      <w:r>
        <w:rPr>
          <w:rFonts w:hint="eastAsia" w:ascii="楷体_GB2312" w:eastAsia="楷体_GB2312"/>
          <w:sz w:val="28"/>
          <w:szCs w:val="32"/>
        </w:rPr>
        <w:instrText xml:space="preserve"> PAGEREF _Toc147740950 \h </w:instrText>
      </w:r>
      <w:r>
        <w:rPr>
          <w:rFonts w:hint="eastAsia" w:ascii="楷体_GB2312" w:eastAsia="楷体_GB2312"/>
          <w:sz w:val="28"/>
          <w:szCs w:val="32"/>
        </w:rPr>
        <w:fldChar w:fldCharType="separate"/>
      </w:r>
      <w:r>
        <w:rPr>
          <w:rFonts w:ascii="楷体_GB2312" w:eastAsia="楷体_GB2312"/>
          <w:sz w:val="28"/>
          <w:szCs w:val="32"/>
        </w:rPr>
        <w:t>37</w:t>
      </w:r>
      <w:r>
        <w:rPr>
          <w:rFonts w:hint="eastAsia" w:ascii="楷体_GB2312" w:eastAsia="楷体_GB2312"/>
          <w:sz w:val="28"/>
          <w:szCs w:val="32"/>
        </w:rPr>
        <w:fldChar w:fldCharType="end"/>
      </w:r>
      <w:r>
        <w:rPr>
          <w:rFonts w:hint="eastAsia" w:ascii="楷体_GB2312" w:eastAsia="楷体_GB2312"/>
          <w:sz w:val="28"/>
          <w:szCs w:val="32"/>
        </w:rPr>
        <w:fldChar w:fldCharType="end"/>
      </w:r>
    </w:p>
    <w:p w14:paraId="71F10CE5">
      <w:pPr>
        <w:pStyle w:val="13"/>
        <w:tabs>
          <w:tab w:val="right" w:leader="dot" w:pos="8296"/>
        </w:tabs>
        <w:rPr>
          <w:rFonts w:hint="eastAsia" w:ascii="楷体_GB2312" w:eastAsia="楷体_GB2312"/>
          <w:sz w:val="28"/>
          <w:szCs w:val="32"/>
          <w14:ligatures w14:val="standardContextual"/>
        </w:rPr>
      </w:pPr>
      <w:r>
        <w:fldChar w:fldCharType="begin"/>
      </w:r>
      <w:r>
        <w:instrText xml:space="preserve"> HYPERLINK \l "_Toc147740951" </w:instrText>
      </w:r>
      <w:r>
        <w:fldChar w:fldCharType="separate"/>
      </w:r>
      <w:r>
        <w:rPr>
          <w:rStyle w:val="20"/>
          <w:rFonts w:hint="eastAsia" w:ascii="楷体_GB2312" w:hAnsi="楷体" w:eastAsia="楷体_GB2312" w:cs="宋体"/>
          <w:kern w:val="0"/>
          <w:sz w:val="28"/>
          <w:szCs w:val="32"/>
        </w:rPr>
        <w:t>（二）深化智慧社区建设</w:t>
      </w:r>
      <w:r>
        <w:rPr>
          <w:rFonts w:hint="eastAsia" w:ascii="楷体_GB2312" w:eastAsia="楷体_GB2312"/>
          <w:sz w:val="28"/>
          <w:szCs w:val="32"/>
        </w:rPr>
        <w:tab/>
      </w:r>
      <w:r>
        <w:rPr>
          <w:rFonts w:hint="eastAsia" w:ascii="楷体_GB2312" w:eastAsia="楷体_GB2312"/>
          <w:sz w:val="28"/>
          <w:szCs w:val="32"/>
        </w:rPr>
        <w:fldChar w:fldCharType="begin"/>
      </w:r>
      <w:r>
        <w:rPr>
          <w:rFonts w:hint="eastAsia" w:ascii="楷体_GB2312" w:eastAsia="楷体_GB2312"/>
          <w:sz w:val="28"/>
          <w:szCs w:val="32"/>
        </w:rPr>
        <w:instrText xml:space="preserve"> PAGEREF _Toc147740951 \h </w:instrText>
      </w:r>
      <w:r>
        <w:rPr>
          <w:rFonts w:hint="eastAsia" w:ascii="楷体_GB2312" w:eastAsia="楷体_GB2312"/>
          <w:sz w:val="28"/>
          <w:szCs w:val="32"/>
        </w:rPr>
        <w:fldChar w:fldCharType="separate"/>
      </w:r>
      <w:r>
        <w:rPr>
          <w:rFonts w:ascii="楷体_GB2312" w:eastAsia="楷体_GB2312"/>
          <w:sz w:val="28"/>
          <w:szCs w:val="32"/>
        </w:rPr>
        <w:t>40</w:t>
      </w:r>
      <w:r>
        <w:rPr>
          <w:rFonts w:hint="eastAsia" w:ascii="楷体_GB2312" w:eastAsia="楷体_GB2312"/>
          <w:sz w:val="28"/>
          <w:szCs w:val="32"/>
        </w:rPr>
        <w:fldChar w:fldCharType="end"/>
      </w:r>
      <w:r>
        <w:rPr>
          <w:rFonts w:hint="eastAsia" w:ascii="楷体_GB2312" w:eastAsia="楷体_GB2312"/>
          <w:sz w:val="28"/>
          <w:szCs w:val="32"/>
        </w:rPr>
        <w:fldChar w:fldCharType="end"/>
      </w:r>
    </w:p>
    <w:p w14:paraId="1767C9EE">
      <w:pPr>
        <w:pStyle w:val="13"/>
        <w:tabs>
          <w:tab w:val="right" w:leader="dot" w:pos="8296"/>
        </w:tabs>
        <w:rPr>
          <w:rFonts w:hint="eastAsia" w:ascii="楷体_GB2312" w:eastAsia="楷体_GB2312"/>
          <w:sz w:val="28"/>
          <w:szCs w:val="32"/>
          <w14:ligatures w14:val="standardContextual"/>
        </w:rPr>
      </w:pPr>
      <w:r>
        <w:fldChar w:fldCharType="begin"/>
      </w:r>
      <w:r>
        <w:instrText xml:space="preserve"> HYPERLINK \l "_Toc147740952" </w:instrText>
      </w:r>
      <w:r>
        <w:fldChar w:fldCharType="separate"/>
      </w:r>
      <w:r>
        <w:rPr>
          <w:rStyle w:val="20"/>
          <w:rFonts w:hint="eastAsia" w:ascii="楷体_GB2312" w:hAnsi="楷体" w:eastAsia="楷体_GB2312" w:cs="宋体"/>
          <w:kern w:val="0"/>
          <w:sz w:val="28"/>
          <w:szCs w:val="32"/>
        </w:rPr>
        <w:t>（三）推广智慧医养服务</w:t>
      </w:r>
      <w:r>
        <w:rPr>
          <w:rFonts w:hint="eastAsia" w:ascii="楷体_GB2312" w:eastAsia="楷体_GB2312"/>
          <w:sz w:val="28"/>
          <w:szCs w:val="32"/>
        </w:rPr>
        <w:tab/>
      </w:r>
      <w:r>
        <w:rPr>
          <w:rFonts w:hint="eastAsia" w:ascii="楷体_GB2312" w:eastAsia="楷体_GB2312"/>
          <w:sz w:val="28"/>
          <w:szCs w:val="32"/>
        </w:rPr>
        <w:fldChar w:fldCharType="begin"/>
      </w:r>
      <w:r>
        <w:rPr>
          <w:rFonts w:hint="eastAsia" w:ascii="楷体_GB2312" w:eastAsia="楷体_GB2312"/>
          <w:sz w:val="28"/>
          <w:szCs w:val="32"/>
        </w:rPr>
        <w:instrText xml:space="preserve"> PAGEREF _Toc147740952 \h </w:instrText>
      </w:r>
      <w:r>
        <w:rPr>
          <w:rFonts w:hint="eastAsia" w:ascii="楷体_GB2312" w:eastAsia="楷体_GB2312"/>
          <w:sz w:val="28"/>
          <w:szCs w:val="32"/>
        </w:rPr>
        <w:fldChar w:fldCharType="separate"/>
      </w:r>
      <w:r>
        <w:rPr>
          <w:rFonts w:ascii="楷体_GB2312" w:eastAsia="楷体_GB2312"/>
          <w:sz w:val="28"/>
          <w:szCs w:val="32"/>
        </w:rPr>
        <w:t>42</w:t>
      </w:r>
      <w:r>
        <w:rPr>
          <w:rFonts w:hint="eastAsia" w:ascii="楷体_GB2312" w:eastAsia="楷体_GB2312"/>
          <w:sz w:val="28"/>
          <w:szCs w:val="32"/>
        </w:rPr>
        <w:fldChar w:fldCharType="end"/>
      </w:r>
      <w:r>
        <w:rPr>
          <w:rFonts w:hint="eastAsia" w:ascii="楷体_GB2312" w:eastAsia="楷体_GB2312"/>
          <w:sz w:val="28"/>
          <w:szCs w:val="32"/>
        </w:rPr>
        <w:fldChar w:fldCharType="end"/>
      </w:r>
    </w:p>
    <w:p w14:paraId="26E1724E">
      <w:pPr>
        <w:pStyle w:val="13"/>
        <w:tabs>
          <w:tab w:val="right" w:leader="dot" w:pos="8296"/>
        </w:tabs>
        <w:rPr>
          <w:rFonts w:hint="eastAsia" w:ascii="楷体_GB2312" w:eastAsia="楷体_GB2312"/>
          <w:sz w:val="28"/>
          <w:szCs w:val="32"/>
          <w14:ligatures w14:val="standardContextual"/>
        </w:rPr>
      </w:pPr>
      <w:r>
        <w:fldChar w:fldCharType="begin"/>
      </w:r>
      <w:r>
        <w:instrText xml:space="preserve"> HYPERLINK \l "_Toc147740953" </w:instrText>
      </w:r>
      <w:r>
        <w:fldChar w:fldCharType="separate"/>
      </w:r>
      <w:r>
        <w:rPr>
          <w:rStyle w:val="20"/>
          <w:rFonts w:hint="eastAsia" w:ascii="楷体_GB2312" w:hAnsi="楷体" w:eastAsia="楷体_GB2312" w:cs="宋体"/>
          <w:kern w:val="0"/>
          <w:sz w:val="28"/>
          <w:szCs w:val="32"/>
        </w:rPr>
        <w:t>（四）提升智慧教育水平</w:t>
      </w:r>
      <w:r>
        <w:rPr>
          <w:rFonts w:hint="eastAsia" w:ascii="楷体_GB2312" w:eastAsia="楷体_GB2312"/>
          <w:sz w:val="28"/>
          <w:szCs w:val="32"/>
        </w:rPr>
        <w:tab/>
      </w:r>
      <w:r>
        <w:rPr>
          <w:rFonts w:hint="eastAsia" w:ascii="楷体_GB2312" w:eastAsia="楷体_GB2312"/>
          <w:sz w:val="28"/>
          <w:szCs w:val="32"/>
        </w:rPr>
        <w:fldChar w:fldCharType="begin"/>
      </w:r>
      <w:r>
        <w:rPr>
          <w:rFonts w:hint="eastAsia" w:ascii="楷体_GB2312" w:eastAsia="楷体_GB2312"/>
          <w:sz w:val="28"/>
          <w:szCs w:val="32"/>
        </w:rPr>
        <w:instrText xml:space="preserve"> PAGEREF _Toc147740953 \h </w:instrText>
      </w:r>
      <w:r>
        <w:rPr>
          <w:rFonts w:hint="eastAsia" w:ascii="楷体_GB2312" w:eastAsia="楷体_GB2312"/>
          <w:sz w:val="28"/>
          <w:szCs w:val="32"/>
        </w:rPr>
        <w:fldChar w:fldCharType="separate"/>
      </w:r>
      <w:r>
        <w:rPr>
          <w:rFonts w:ascii="楷体_GB2312" w:eastAsia="楷体_GB2312"/>
          <w:sz w:val="28"/>
          <w:szCs w:val="32"/>
        </w:rPr>
        <w:t>44</w:t>
      </w:r>
      <w:r>
        <w:rPr>
          <w:rFonts w:hint="eastAsia" w:ascii="楷体_GB2312" w:eastAsia="楷体_GB2312"/>
          <w:sz w:val="28"/>
          <w:szCs w:val="32"/>
        </w:rPr>
        <w:fldChar w:fldCharType="end"/>
      </w:r>
      <w:r>
        <w:rPr>
          <w:rFonts w:hint="eastAsia" w:ascii="楷体_GB2312" w:eastAsia="楷体_GB2312"/>
          <w:sz w:val="28"/>
          <w:szCs w:val="32"/>
        </w:rPr>
        <w:fldChar w:fldCharType="end"/>
      </w:r>
    </w:p>
    <w:p w14:paraId="35C8E525">
      <w:pPr>
        <w:pStyle w:val="12"/>
        <w:tabs>
          <w:tab w:val="left" w:pos="840"/>
          <w:tab w:val="right" w:leader="dot" w:pos="8296"/>
        </w:tabs>
        <w:rPr>
          <w:rFonts w:ascii="黑体" w:hAnsi="黑体" w:eastAsia="黑体"/>
          <w:sz w:val="28"/>
          <w:szCs w:val="32"/>
          <w14:ligatures w14:val="standardContextual"/>
        </w:rPr>
      </w:pPr>
      <w:r>
        <w:fldChar w:fldCharType="begin"/>
      </w:r>
      <w:r>
        <w:instrText xml:space="preserve"> HYPERLINK \l "_Toc147740954" </w:instrText>
      </w:r>
      <w:r>
        <w:fldChar w:fldCharType="separate"/>
      </w:r>
      <w:r>
        <w:rPr>
          <w:rStyle w:val="20"/>
          <w:rFonts w:ascii="黑体" w:hAnsi="黑体" w:eastAsia="黑体"/>
          <w:sz w:val="28"/>
          <w:szCs w:val="32"/>
        </w:rPr>
        <w:t>七、</w:t>
      </w:r>
      <w:r>
        <w:rPr>
          <w:rFonts w:ascii="黑体" w:hAnsi="黑体" w:eastAsia="黑体"/>
          <w:sz w:val="28"/>
          <w:szCs w:val="32"/>
          <w14:ligatures w14:val="standardContextual"/>
        </w:rPr>
        <w:tab/>
      </w:r>
      <w:r>
        <w:rPr>
          <w:rStyle w:val="20"/>
          <w:rFonts w:hint="eastAsia" w:ascii="黑体" w:hAnsi="黑体" w:eastAsia="黑体"/>
          <w:sz w:val="28"/>
          <w:szCs w:val="32"/>
          <w:lang w:eastAsia="zh-CN"/>
        </w:rPr>
        <w:t>提升数字治理效能推动治理能力现代化</w:t>
      </w:r>
      <w:r>
        <w:rPr>
          <w:rFonts w:ascii="黑体" w:hAnsi="黑体" w:eastAsia="黑体"/>
          <w:sz w:val="28"/>
          <w:szCs w:val="32"/>
        </w:rPr>
        <w:tab/>
      </w:r>
      <w:r>
        <w:rPr>
          <w:rFonts w:ascii="黑体" w:hAnsi="黑体" w:eastAsia="黑体"/>
          <w:sz w:val="28"/>
          <w:szCs w:val="32"/>
        </w:rPr>
        <w:fldChar w:fldCharType="begin"/>
      </w:r>
      <w:r>
        <w:rPr>
          <w:rFonts w:ascii="黑体" w:hAnsi="黑体" w:eastAsia="黑体"/>
          <w:sz w:val="28"/>
          <w:szCs w:val="32"/>
        </w:rPr>
        <w:instrText xml:space="preserve"> PAGEREF _Toc147740954 \h </w:instrText>
      </w:r>
      <w:r>
        <w:rPr>
          <w:rFonts w:ascii="黑体" w:hAnsi="黑体" w:eastAsia="黑体"/>
          <w:sz w:val="28"/>
          <w:szCs w:val="32"/>
        </w:rPr>
        <w:fldChar w:fldCharType="separate"/>
      </w:r>
      <w:r>
        <w:rPr>
          <w:rFonts w:ascii="黑体" w:hAnsi="黑体" w:eastAsia="黑体"/>
          <w:sz w:val="28"/>
          <w:szCs w:val="32"/>
        </w:rPr>
        <w:t>46</w:t>
      </w:r>
      <w:r>
        <w:rPr>
          <w:rFonts w:ascii="黑体" w:hAnsi="黑体" w:eastAsia="黑体"/>
          <w:sz w:val="28"/>
          <w:szCs w:val="32"/>
        </w:rPr>
        <w:fldChar w:fldCharType="end"/>
      </w:r>
      <w:r>
        <w:rPr>
          <w:rFonts w:ascii="黑体" w:hAnsi="黑体" w:eastAsia="黑体"/>
          <w:sz w:val="28"/>
          <w:szCs w:val="32"/>
        </w:rPr>
        <w:fldChar w:fldCharType="end"/>
      </w:r>
    </w:p>
    <w:p w14:paraId="622D189D">
      <w:pPr>
        <w:pStyle w:val="13"/>
        <w:tabs>
          <w:tab w:val="right" w:leader="dot" w:pos="8296"/>
        </w:tabs>
        <w:rPr>
          <w:rFonts w:hint="eastAsia" w:ascii="楷体_GB2312" w:eastAsia="楷体_GB2312"/>
          <w:sz w:val="28"/>
          <w:szCs w:val="32"/>
          <w14:ligatures w14:val="standardContextual"/>
        </w:rPr>
      </w:pPr>
      <w:r>
        <w:fldChar w:fldCharType="begin"/>
      </w:r>
      <w:r>
        <w:instrText xml:space="preserve"> HYPERLINK \l "_Toc147740955" </w:instrText>
      </w:r>
      <w:r>
        <w:fldChar w:fldCharType="separate"/>
      </w:r>
      <w:r>
        <w:rPr>
          <w:rStyle w:val="20"/>
          <w:rFonts w:hint="eastAsia" w:ascii="楷体_GB2312" w:hAnsi="楷体" w:eastAsia="楷体_GB2312" w:cs="宋体"/>
          <w:kern w:val="0"/>
          <w:sz w:val="28"/>
          <w:szCs w:val="32"/>
        </w:rPr>
        <w:t>（一）提升数字化政府管治水平</w:t>
      </w:r>
      <w:r>
        <w:rPr>
          <w:rFonts w:hint="eastAsia" w:ascii="楷体_GB2312" w:eastAsia="楷体_GB2312"/>
          <w:sz w:val="28"/>
          <w:szCs w:val="32"/>
        </w:rPr>
        <w:tab/>
      </w:r>
      <w:r>
        <w:rPr>
          <w:rFonts w:hint="eastAsia" w:ascii="楷体_GB2312" w:eastAsia="楷体_GB2312"/>
          <w:sz w:val="28"/>
          <w:szCs w:val="32"/>
        </w:rPr>
        <w:fldChar w:fldCharType="begin"/>
      </w:r>
      <w:r>
        <w:rPr>
          <w:rFonts w:hint="eastAsia" w:ascii="楷体_GB2312" w:eastAsia="楷体_GB2312"/>
          <w:sz w:val="28"/>
          <w:szCs w:val="32"/>
        </w:rPr>
        <w:instrText xml:space="preserve"> PAGEREF _Toc147740955 \h </w:instrText>
      </w:r>
      <w:r>
        <w:rPr>
          <w:rFonts w:hint="eastAsia" w:ascii="楷体_GB2312" w:eastAsia="楷体_GB2312"/>
          <w:sz w:val="28"/>
          <w:szCs w:val="32"/>
        </w:rPr>
        <w:fldChar w:fldCharType="separate"/>
      </w:r>
      <w:r>
        <w:rPr>
          <w:rFonts w:ascii="楷体_GB2312" w:eastAsia="楷体_GB2312"/>
          <w:sz w:val="28"/>
          <w:szCs w:val="32"/>
        </w:rPr>
        <w:t>46</w:t>
      </w:r>
      <w:r>
        <w:rPr>
          <w:rFonts w:hint="eastAsia" w:ascii="楷体_GB2312" w:eastAsia="楷体_GB2312"/>
          <w:sz w:val="28"/>
          <w:szCs w:val="32"/>
        </w:rPr>
        <w:fldChar w:fldCharType="end"/>
      </w:r>
      <w:r>
        <w:rPr>
          <w:rFonts w:hint="eastAsia" w:ascii="楷体_GB2312" w:eastAsia="楷体_GB2312"/>
          <w:sz w:val="28"/>
          <w:szCs w:val="32"/>
        </w:rPr>
        <w:fldChar w:fldCharType="end"/>
      </w:r>
    </w:p>
    <w:p w14:paraId="02426E5D">
      <w:pPr>
        <w:pStyle w:val="13"/>
        <w:tabs>
          <w:tab w:val="right" w:leader="dot" w:pos="8296"/>
        </w:tabs>
        <w:rPr>
          <w:rFonts w:hint="eastAsia" w:ascii="楷体_GB2312" w:eastAsia="楷体_GB2312"/>
          <w:sz w:val="28"/>
          <w:szCs w:val="32"/>
          <w14:ligatures w14:val="standardContextual"/>
        </w:rPr>
      </w:pPr>
      <w:r>
        <w:fldChar w:fldCharType="begin"/>
      </w:r>
      <w:r>
        <w:instrText xml:space="preserve"> HYPERLINK \l "_Toc147740956" </w:instrText>
      </w:r>
      <w:r>
        <w:fldChar w:fldCharType="separate"/>
      </w:r>
      <w:r>
        <w:rPr>
          <w:rStyle w:val="20"/>
          <w:rFonts w:hint="eastAsia" w:ascii="楷体_GB2312" w:hAnsi="楷体" w:eastAsia="楷体_GB2312" w:cs="宋体"/>
          <w:kern w:val="0"/>
          <w:sz w:val="28"/>
          <w:szCs w:val="32"/>
        </w:rPr>
        <w:t>（二）增强数字化社会治理能力</w:t>
      </w:r>
      <w:r>
        <w:rPr>
          <w:rFonts w:hint="eastAsia" w:ascii="楷体_GB2312" w:eastAsia="楷体_GB2312"/>
          <w:sz w:val="28"/>
          <w:szCs w:val="32"/>
        </w:rPr>
        <w:tab/>
      </w:r>
      <w:r>
        <w:rPr>
          <w:rFonts w:hint="eastAsia" w:ascii="楷体_GB2312" w:eastAsia="楷体_GB2312"/>
          <w:sz w:val="28"/>
          <w:szCs w:val="32"/>
        </w:rPr>
        <w:fldChar w:fldCharType="begin"/>
      </w:r>
      <w:r>
        <w:rPr>
          <w:rFonts w:hint="eastAsia" w:ascii="楷体_GB2312" w:eastAsia="楷体_GB2312"/>
          <w:sz w:val="28"/>
          <w:szCs w:val="32"/>
        </w:rPr>
        <w:instrText xml:space="preserve"> PAGEREF _Toc147740956 \h </w:instrText>
      </w:r>
      <w:r>
        <w:rPr>
          <w:rFonts w:hint="eastAsia" w:ascii="楷体_GB2312" w:eastAsia="楷体_GB2312"/>
          <w:sz w:val="28"/>
          <w:szCs w:val="32"/>
        </w:rPr>
        <w:fldChar w:fldCharType="separate"/>
      </w:r>
      <w:r>
        <w:rPr>
          <w:rFonts w:ascii="楷体_GB2312" w:eastAsia="楷体_GB2312"/>
          <w:sz w:val="28"/>
          <w:szCs w:val="32"/>
        </w:rPr>
        <w:t>50</w:t>
      </w:r>
      <w:r>
        <w:rPr>
          <w:rFonts w:hint="eastAsia" w:ascii="楷体_GB2312" w:eastAsia="楷体_GB2312"/>
          <w:sz w:val="28"/>
          <w:szCs w:val="32"/>
        </w:rPr>
        <w:fldChar w:fldCharType="end"/>
      </w:r>
      <w:r>
        <w:rPr>
          <w:rFonts w:hint="eastAsia" w:ascii="楷体_GB2312" w:eastAsia="楷体_GB2312"/>
          <w:sz w:val="28"/>
          <w:szCs w:val="32"/>
        </w:rPr>
        <w:fldChar w:fldCharType="end"/>
      </w:r>
    </w:p>
    <w:p w14:paraId="3881ECAA">
      <w:pPr>
        <w:pStyle w:val="13"/>
        <w:tabs>
          <w:tab w:val="right" w:leader="dot" w:pos="8296"/>
        </w:tabs>
        <w:rPr>
          <w:rFonts w:hint="eastAsia" w:ascii="楷体_GB2312" w:eastAsia="楷体_GB2312"/>
          <w:sz w:val="28"/>
          <w:szCs w:val="32"/>
          <w14:ligatures w14:val="standardContextual"/>
        </w:rPr>
      </w:pPr>
      <w:r>
        <w:fldChar w:fldCharType="begin"/>
      </w:r>
      <w:r>
        <w:instrText xml:space="preserve"> HYPERLINK \l "_Toc147740957" </w:instrText>
      </w:r>
      <w:r>
        <w:fldChar w:fldCharType="separate"/>
      </w:r>
      <w:r>
        <w:rPr>
          <w:rStyle w:val="20"/>
          <w:rFonts w:hint="eastAsia" w:ascii="楷体_GB2312" w:hAnsi="楷体" w:eastAsia="楷体_GB2312" w:cs="宋体"/>
          <w:kern w:val="0"/>
          <w:sz w:val="28"/>
          <w:szCs w:val="32"/>
        </w:rPr>
        <w:t>（三）构筑数字化安全保障体系</w:t>
      </w:r>
      <w:r>
        <w:rPr>
          <w:rFonts w:hint="eastAsia" w:ascii="楷体_GB2312" w:eastAsia="楷体_GB2312"/>
          <w:sz w:val="28"/>
          <w:szCs w:val="32"/>
        </w:rPr>
        <w:tab/>
      </w:r>
      <w:r>
        <w:rPr>
          <w:rFonts w:hint="eastAsia" w:ascii="楷体_GB2312" w:eastAsia="楷体_GB2312"/>
          <w:sz w:val="28"/>
          <w:szCs w:val="32"/>
        </w:rPr>
        <w:fldChar w:fldCharType="begin"/>
      </w:r>
      <w:r>
        <w:rPr>
          <w:rFonts w:hint="eastAsia" w:ascii="楷体_GB2312" w:eastAsia="楷体_GB2312"/>
          <w:sz w:val="28"/>
          <w:szCs w:val="32"/>
        </w:rPr>
        <w:instrText xml:space="preserve"> PAGEREF _Toc147740957 \h </w:instrText>
      </w:r>
      <w:r>
        <w:rPr>
          <w:rFonts w:hint="eastAsia" w:ascii="楷体_GB2312" w:eastAsia="楷体_GB2312"/>
          <w:sz w:val="28"/>
          <w:szCs w:val="32"/>
        </w:rPr>
        <w:fldChar w:fldCharType="separate"/>
      </w:r>
      <w:r>
        <w:rPr>
          <w:rFonts w:ascii="楷体_GB2312" w:eastAsia="楷体_GB2312"/>
          <w:sz w:val="28"/>
          <w:szCs w:val="32"/>
        </w:rPr>
        <w:t>55</w:t>
      </w:r>
      <w:r>
        <w:rPr>
          <w:rFonts w:hint="eastAsia" w:ascii="楷体_GB2312" w:eastAsia="楷体_GB2312"/>
          <w:sz w:val="28"/>
          <w:szCs w:val="32"/>
        </w:rPr>
        <w:fldChar w:fldCharType="end"/>
      </w:r>
      <w:r>
        <w:rPr>
          <w:rFonts w:hint="eastAsia" w:ascii="楷体_GB2312" w:eastAsia="楷体_GB2312"/>
          <w:sz w:val="28"/>
          <w:szCs w:val="32"/>
        </w:rPr>
        <w:fldChar w:fldCharType="end"/>
      </w:r>
    </w:p>
    <w:p w14:paraId="09923647">
      <w:pPr>
        <w:pStyle w:val="12"/>
        <w:tabs>
          <w:tab w:val="left" w:pos="840"/>
          <w:tab w:val="right" w:leader="dot" w:pos="8296"/>
        </w:tabs>
        <w:rPr>
          <w:rFonts w:ascii="黑体" w:hAnsi="黑体" w:eastAsia="黑体"/>
          <w14:ligatures w14:val="standardContextual"/>
        </w:rPr>
      </w:pPr>
      <w:r>
        <w:fldChar w:fldCharType="begin"/>
      </w:r>
      <w:r>
        <w:instrText xml:space="preserve"> HYPERLINK \l "_Toc147740958" </w:instrText>
      </w:r>
      <w:r>
        <w:fldChar w:fldCharType="separate"/>
      </w:r>
      <w:r>
        <w:rPr>
          <w:rStyle w:val="20"/>
          <w:rFonts w:ascii="黑体" w:hAnsi="黑体" w:eastAsia="黑体"/>
          <w:sz w:val="28"/>
          <w:szCs w:val="32"/>
        </w:rPr>
        <w:t>八、</w:t>
      </w:r>
      <w:r>
        <w:rPr>
          <w:rFonts w:ascii="黑体" w:hAnsi="黑体" w:eastAsia="黑体"/>
          <w:sz w:val="28"/>
          <w:szCs w:val="32"/>
          <w14:ligatures w14:val="standardContextual"/>
        </w:rPr>
        <w:tab/>
      </w:r>
      <w:r>
        <w:rPr>
          <w:rStyle w:val="20"/>
          <w:rFonts w:ascii="黑体" w:hAnsi="黑体" w:eastAsia="黑体"/>
          <w:sz w:val="28"/>
          <w:szCs w:val="32"/>
        </w:rPr>
        <w:t>保障措施</w:t>
      </w:r>
      <w:r>
        <w:rPr>
          <w:rFonts w:ascii="黑体" w:hAnsi="黑体" w:eastAsia="黑体"/>
          <w:sz w:val="28"/>
          <w:szCs w:val="32"/>
        </w:rPr>
        <w:tab/>
      </w:r>
      <w:r>
        <w:rPr>
          <w:rFonts w:ascii="黑体" w:hAnsi="黑体" w:eastAsia="黑体"/>
          <w:sz w:val="28"/>
          <w:szCs w:val="32"/>
        </w:rPr>
        <w:fldChar w:fldCharType="begin"/>
      </w:r>
      <w:r>
        <w:rPr>
          <w:rFonts w:ascii="黑体" w:hAnsi="黑体" w:eastAsia="黑体"/>
          <w:sz w:val="28"/>
          <w:szCs w:val="32"/>
        </w:rPr>
        <w:instrText xml:space="preserve"> PAGEREF _Toc147740958 \h </w:instrText>
      </w:r>
      <w:r>
        <w:rPr>
          <w:rFonts w:ascii="黑体" w:hAnsi="黑体" w:eastAsia="黑体"/>
          <w:sz w:val="28"/>
          <w:szCs w:val="32"/>
        </w:rPr>
        <w:fldChar w:fldCharType="separate"/>
      </w:r>
      <w:r>
        <w:rPr>
          <w:rFonts w:ascii="黑体" w:hAnsi="黑体" w:eastAsia="黑体"/>
          <w:sz w:val="28"/>
          <w:szCs w:val="32"/>
        </w:rPr>
        <w:t>57</w:t>
      </w:r>
      <w:r>
        <w:rPr>
          <w:rFonts w:ascii="黑体" w:hAnsi="黑体" w:eastAsia="黑体"/>
          <w:sz w:val="28"/>
          <w:szCs w:val="32"/>
        </w:rPr>
        <w:fldChar w:fldCharType="end"/>
      </w:r>
      <w:r>
        <w:rPr>
          <w:rFonts w:ascii="黑体" w:hAnsi="黑体" w:eastAsia="黑体"/>
          <w:sz w:val="28"/>
          <w:szCs w:val="32"/>
        </w:rPr>
        <w:fldChar w:fldCharType="end"/>
      </w:r>
    </w:p>
    <w:p w14:paraId="31875680">
      <w:pPr>
        <w:pStyle w:val="2"/>
        <w:spacing w:line="400" w:lineRule="exact"/>
        <w:rPr>
          <w:rFonts w:ascii="宋体" w:hAnsi="宋体" w:eastAsia="宋体"/>
          <w:sz w:val="23"/>
          <w:szCs w:val="23"/>
        </w:rPr>
      </w:pPr>
      <w:r>
        <w:rPr>
          <w:rFonts w:ascii="宋体" w:hAnsi="宋体" w:eastAsia="宋体"/>
          <w:sz w:val="23"/>
          <w:szCs w:val="23"/>
        </w:rPr>
        <w:fldChar w:fldCharType="end"/>
      </w:r>
    </w:p>
    <w:p w14:paraId="6B2CEBF0">
      <w:pPr>
        <w:spacing w:line="400" w:lineRule="exact"/>
        <w:rPr>
          <w:rFonts w:ascii="宋体" w:hAnsi="宋体" w:eastAsia="宋体"/>
          <w:szCs w:val="21"/>
        </w:rPr>
      </w:pPr>
      <w:r>
        <w:rPr>
          <w:rFonts w:ascii="宋体" w:hAnsi="宋体" w:eastAsia="宋体"/>
          <w:szCs w:val="21"/>
        </w:rPr>
        <w:br w:type="page"/>
      </w:r>
    </w:p>
    <w:p w14:paraId="247D10FA">
      <w:pPr>
        <w:pStyle w:val="24"/>
        <w:numPr>
          <w:ilvl w:val="0"/>
          <w:numId w:val="1"/>
        </w:numPr>
        <w:ind w:firstLineChars="0"/>
        <w:outlineLvl w:val="0"/>
        <w:rPr>
          <w:rFonts w:ascii="黑体" w:hAnsi="黑体" w:eastAsia="黑体"/>
          <w:sz w:val="32"/>
          <w:szCs w:val="32"/>
        </w:rPr>
      </w:pPr>
      <w:bookmarkStart w:id="12" w:name="_Toc23608"/>
      <w:bookmarkStart w:id="13" w:name="_Toc22919"/>
      <w:bookmarkStart w:id="14" w:name="_Toc7653"/>
      <w:bookmarkStart w:id="15" w:name="_Toc147740930"/>
      <w:bookmarkStart w:id="16" w:name="_Toc12628"/>
      <w:bookmarkStart w:id="17" w:name="_Toc142986301"/>
      <w:r>
        <w:rPr>
          <w:rFonts w:hint="eastAsia" w:ascii="黑体" w:hAnsi="黑体" w:eastAsia="黑体"/>
          <w:sz w:val="32"/>
          <w:szCs w:val="32"/>
        </w:rPr>
        <w:t>发展基础和面临的形势</w:t>
      </w:r>
      <w:bookmarkEnd w:id="12"/>
      <w:bookmarkEnd w:id="13"/>
      <w:bookmarkEnd w:id="14"/>
      <w:bookmarkEnd w:id="15"/>
      <w:bookmarkEnd w:id="16"/>
      <w:bookmarkEnd w:id="17"/>
    </w:p>
    <w:p w14:paraId="4FD6DE1C">
      <w:pPr>
        <w:pStyle w:val="6"/>
        <w:spacing w:before="0" w:after="0" w:line="560" w:lineRule="exact"/>
        <w:ind w:firstLine="643" w:firstLineChars="200"/>
        <w:rPr>
          <w:rFonts w:ascii="楷体_GB2312" w:hAnsi="黑体" w:eastAsia="楷体_GB2312"/>
        </w:rPr>
      </w:pPr>
      <w:bookmarkStart w:id="18" w:name="_Toc147740931"/>
      <w:bookmarkStart w:id="19" w:name="_Toc1318"/>
      <w:bookmarkStart w:id="20" w:name="_Toc21669"/>
      <w:bookmarkStart w:id="21" w:name="_Toc142986302"/>
      <w:bookmarkStart w:id="22" w:name="_Toc1392"/>
      <w:bookmarkStart w:id="23" w:name="_Toc17736"/>
      <w:r>
        <w:rPr>
          <w:rFonts w:hint="eastAsia" w:ascii="楷体_GB2312" w:hAnsi="黑体" w:eastAsia="楷体_GB2312"/>
        </w:rPr>
        <w:t>（一）发展基础</w:t>
      </w:r>
      <w:bookmarkEnd w:id="18"/>
      <w:bookmarkEnd w:id="19"/>
      <w:bookmarkEnd w:id="20"/>
      <w:bookmarkEnd w:id="21"/>
      <w:bookmarkEnd w:id="22"/>
      <w:bookmarkEnd w:id="23"/>
    </w:p>
    <w:p w14:paraId="48320D32">
      <w:pPr>
        <w:spacing w:line="560" w:lineRule="exact"/>
        <w:ind w:firstLine="643" w:firstLineChars="200"/>
        <w:rPr>
          <w:rFonts w:ascii="仿宋_GB2312" w:hAnsi="黑体" w:eastAsia="仿宋_GB2312" w:cs="Times New Roman"/>
          <w:sz w:val="32"/>
          <w:szCs w:val="32"/>
        </w:rPr>
      </w:pPr>
      <w:r>
        <w:rPr>
          <w:rFonts w:hint="eastAsia" w:ascii="仿宋_GB2312" w:hAnsi="黑体" w:eastAsia="仿宋_GB2312" w:cs="Times New Roman"/>
          <w:b/>
          <w:bCs/>
          <w:sz w:val="32"/>
          <w:szCs w:val="32"/>
        </w:rPr>
        <w:t>数字基础设施建设日益完善。</w:t>
      </w:r>
      <w:r>
        <w:rPr>
          <w:rFonts w:hint="eastAsia" w:ascii="仿宋_GB2312" w:hAnsi="黑体" w:eastAsia="仿宋_GB2312" w:cs="Times New Roman"/>
          <w:sz w:val="32"/>
          <w:szCs w:val="32"/>
        </w:rPr>
        <w:t>全县千兆光网和</w:t>
      </w:r>
      <w:r>
        <w:rPr>
          <w:rFonts w:ascii="仿宋_GB2312" w:hAnsi="黑体" w:eastAsia="仿宋_GB2312" w:cs="Times New Roman"/>
          <w:sz w:val="32"/>
          <w:szCs w:val="32"/>
        </w:rPr>
        <w:t>5G网络</w:t>
      </w:r>
      <w:r>
        <w:rPr>
          <w:rFonts w:hint="eastAsia" w:ascii="仿宋_GB2312" w:hAnsi="黑体" w:eastAsia="仿宋_GB2312" w:cs="Times New Roman"/>
          <w:sz w:val="32"/>
          <w:szCs w:val="32"/>
        </w:rPr>
        <w:t>建设</w:t>
      </w:r>
      <w:r>
        <w:rPr>
          <w:rFonts w:ascii="仿宋_GB2312" w:hAnsi="黑体" w:eastAsia="仿宋_GB2312" w:cs="Times New Roman"/>
          <w:sz w:val="32"/>
          <w:szCs w:val="32"/>
        </w:rPr>
        <w:t>基本实现主城区、工业园和乡镇、行政村主街道信号全覆盖</w:t>
      </w:r>
      <w:r>
        <w:rPr>
          <w:rFonts w:hint="eastAsia" w:ascii="仿宋_GB2312" w:hAnsi="黑体" w:eastAsia="仿宋_GB2312" w:cs="Times New Roman"/>
          <w:sz w:val="32"/>
          <w:szCs w:val="32"/>
        </w:rPr>
        <w:t>。截至2</w:t>
      </w:r>
      <w:r>
        <w:rPr>
          <w:rFonts w:ascii="仿宋_GB2312" w:hAnsi="黑体" w:eastAsia="仿宋_GB2312" w:cs="Times New Roman"/>
          <w:sz w:val="32"/>
          <w:szCs w:val="32"/>
        </w:rPr>
        <w:t>022</w:t>
      </w:r>
      <w:r>
        <w:rPr>
          <w:rFonts w:hint="eastAsia" w:ascii="仿宋_GB2312" w:hAnsi="黑体" w:eastAsia="仿宋_GB2312" w:cs="Times New Roman"/>
          <w:sz w:val="32"/>
          <w:szCs w:val="32"/>
        </w:rPr>
        <w:t>年</w:t>
      </w:r>
      <w:r>
        <w:rPr>
          <w:rFonts w:ascii="仿宋_GB2312" w:hAnsi="黑体" w:eastAsia="仿宋_GB2312" w:cs="Times New Roman"/>
          <w:sz w:val="32"/>
          <w:szCs w:val="32"/>
        </w:rPr>
        <w:t>12月底，</w:t>
      </w:r>
      <w:r>
        <w:rPr>
          <w:rFonts w:hint="eastAsia" w:ascii="仿宋_GB2312" w:hAnsi="黑体" w:eastAsia="仿宋_GB2312" w:cs="Times New Roman"/>
          <w:sz w:val="32"/>
          <w:szCs w:val="32"/>
        </w:rPr>
        <w:t>全</w:t>
      </w:r>
      <w:r>
        <w:rPr>
          <w:rFonts w:ascii="仿宋_GB2312" w:hAnsi="黑体" w:eastAsia="仿宋_GB2312" w:cs="Times New Roman"/>
          <w:sz w:val="32"/>
          <w:szCs w:val="32"/>
        </w:rPr>
        <w:t>县</w:t>
      </w:r>
      <w:r>
        <w:rPr>
          <w:rFonts w:hint="eastAsia" w:ascii="仿宋_GB2312" w:hAnsi="黑体" w:eastAsia="仿宋_GB2312" w:cs="Times New Roman"/>
          <w:sz w:val="32"/>
          <w:szCs w:val="32"/>
        </w:rPr>
        <w:t>累计建设5G基站688座，</w:t>
      </w:r>
      <w:r>
        <w:rPr>
          <w:rFonts w:ascii="仿宋_GB2312" w:hAnsi="黑体" w:eastAsia="仿宋_GB2312" w:cs="Times New Roman"/>
          <w:sz w:val="32"/>
          <w:szCs w:val="32"/>
        </w:rPr>
        <w:t>500M以上宽带用户规模占比37.15%，全市排名9位，二类县第2。IPv6</w:t>
      </w:r>
      <w:r>
        <w:rPr>
          <w:rFonts w:hint="eastAsia" w:ascii="仿宋_GB2312" w:hAnsi="黑体" w:eastAsia="仿宋_GB2312" w:cs="Times New Roman"/>
          <w:sz w:val="32"/>
          <w:szCs w:val="32"/>
        </w:rPr>
        <w:t>规模部署取得初步成果，2</w:t>
      </w:r>
      <w:r>
        <w:rPr>
          <w:rFonts w:ascii="仿宋_GB2312" w:hAnsi="黑体" w:eastAsia="仿宋_GB2312" w:cs="Times New Roman"/>
          <w:sz w:val="32"/>
          <w:szCs w:val="32"/>
        </w:rPr>
        <w:t>022</w:t>
      </w:r>
      <w:r>
        <w:rPr>
          <w:rFonts w:hint="eastAsia" w:ascii="仿宋_GB2312" w:hAnsi="黑体" w:eastAsia="仿宋_GB2312" w:cs="Times New Roman"/>
          <w:sz w:val="32"/>
          <w:szCs w:val="32"/>
        </w:rPr>
        <w:t>年累计完成全县行政和企事业单位、商业网站</w:t>
      </w:r>
      <w:r>
        <w:rPr>
          <w:rFonts w:ascii="仿宋_GB2312" w:hAnsi="黑体" w:eastAsia="仿宋_GB2312" w:cs="Times New Roman"/>
          <w:sz w:val="32"/>
          <w:szCs w:val="32"/>
        </w:rPr>
        <w:t>IPv6升级改造任务15个。</w:t>
      </w:r>
      <w:r>
        <w:rPr>
          <w:rFonts w:hint="eastAsia" w:ascii="仿宋_GB2312" w:hAnsi="黑体" w:eastAsia="仿宋_GB2312" w:cs="Times New Roman"/>
          <w:sz w:val="32"/>
          <w:szCs w:val="32"/>
        </w:rPr>
        <w:t>传统应用基础设施数字化、智能化水平显著提升，全县</w:t>
      </w:r>
      <w:r>
        <w:rPr>
          <w:rFonts w:ascii="仿宋_GB2312" w:hAnsi="黑体" w:eastAsia="仿宋_GB2312" w:cs="Times New Roman"/>
          <w:sz w:val="32"/>
          <w:szCs w:val="32"/>
        </w:rPr>
        <w:t>72辆公交车</w:t>
      </w:r>
      <w:r>
        <w:rPr>
          <w:rFonts w:hint="eastAsia" w:ascii="仿宋_GB2312" w:hAnsi="黑体" w:eastAsia="仿宋_GB2312" w:cs="Times New Roman"/>
          <w:sz w:val="32"/>
          <w:szCs w:val="32"/>
        </w:rPr>
        <w:t>均</w:t>
      </w:r>
      <w:r>
        <w:rPr>
          <w:rFonts w:ascii="仿宋_GB2312" w:hAnsi="黑体" w:eastAsia="仿宋_GB2312" w:cs="Times New Roman"/>
          <w:sz w:val="32"/>
          <w:szCs w:val="32"/>
        </w:rPr>
        <w:t>已实行绿色节能付款方式</w:t>
      </w:r>
      <w:r>
        <w:rPr>
          <w:rFonts w:hint="eastAsia" w:ascii="仿宋_GB2312" w:hAnsi="黑体" w:eastAsia="仿宋_GB2312" w:cs="Times New Roman"/>
          <w:sz w:val="32"/>
          <w:szCs w:val="32"/>
        </w:rPr>
        <w:t>，并接入</w:t>
      </w:r>
      <w:r>
        <w:rPr>
          <w:rFonts w:ascii="仿宋_GB2312" w:hAnsi="黑体" w:eastAsia="仿宋_GB2312" w:cs="Times New Roman"/>
          <w:sz w:val="32"/>
          <w:szCs w:val="32"/>
        </w:rPr>
        <w:t>动态实时视频监控平台及车联网综合信息服务平台</w:t>
      </w:r>
      <w:r>
        <w:rPr>
          <w:rFonts w:hint="eastAsia" w:ascii="仿宋_GB2312" w:hAnsi="黑体" w:eastAsia="仿宋_GB2312" w:cs="Times New Roman"/>
          <w:sz w:val="32"/>
          <w:szCs w:val="32"/>
        </w:rPr>
        <w:t>，改善公众出行体验；实行水库、拦河坝等水情测报及视频监控方面的智慧水利建设，并接入省、市水利系统智慧水利平台。</w:t>
      </w:r>
    </w:p>
    <w:p w14:paraId="369DC2BB">
      <w:pPr>
        <w:spacing w:line="560" w:lineRule="atLeast"/>
        <w:ind w:firstLine="643" w:firstLineChars="200"/>
        <w:rPr>
          <w:rFonts w:ascii="仿宋_GB2312" w:hAnsi="黑体" w:eastAsia="仿宋_GB2312" w:cs="Times New Roman"/>
          <w:sz w:val="32"/>
          <w:szCs w:val="32"/>
        </w:rPr>
      </w:pPr>
      <w:r>
        <w:rPr>
          <w:rFonts w:hint="eastAsia" w:ascii="仿宋_GB2312" w:hAnsi="黑体" w:eastAsia="仿宋_GB2312" w:cs="Times New Roman"/>
          <w:b/>
          <w:bCs/>
          <w:sz w:val="32"/>
          <w:szCs w:val="32"/>
        </w:rPr>
        <w:t>数字产业化规模持续壮大。</w:t>
      </w:r>
      <w:r>
        <w:rPr>
          <w:rFonts w:hint="eastAsia" w:ascii="仿宋_GB2312" w:hAnsi="黑体" w:eastAsia="仿宋_GB2312" w:cs="Times New Roman"/>
          <w:sz w:val="32"/>
          <w:szCs w:val="32"/>
        </w:rPr>
        <w:t>全县</w:t>
      </w:r>
      <w:r>
        <w:rPr>
          <w:rFonts w:ascii="仿宋_GB2312" w:hAnsi="黑体" w:eastAsia="仿宋_GB2312" w:cs="Times New Roman"/>
          <w:sz w:val="32"/>
          <w:szCs w:val="32"/>
        </w:rPr>
        <w:t>500万以上数字经济核心产业项目数量列</w:t>
      </w:r>
      <w:r>
        <w:rPr>
          <w:rFonts w:hint="eastAsia" w:ascii="仿宋_GB2312" w:hAnsi="黑体" w:eastAsia="仿宋_GB2312" w:cs="Times New Roman"/>
          <w:sz w:val="32"/>
          <w:szCs w:val="32"/>
        </w:rPr>
        <w:t>赣州</w:t>
      </w:r>
      <w:r>
        <w:rPr>
          <w:rFonts w:ascii="仿宋_GB2312" w:hAnsi="黑体" w:eastAsia="仿宋_GB2312" w:cs="Times New Roman"/>
          <w:sz w:val="32"/>
          <w:szCs w:val="32"/>
        </w:rPr>
        <w:t>市第4位</w:t>
      </w:r>
      <w:r>
        <w:rPr>
          <w:rFonts w:hint="eastAsia" w:ascii="仿宋_GB2312" w:hAnsi="黑体" w:eastAsia="仿宋_GB2312" w:cs="Times New Roman"/>
          <w:sz w:val="32"/>
          <w:szCs w:val="32"/>
        </w:rPr>
        <w:t>，数字经济核心产业规模以上企业</w:t>
      </w:r>
      <w:r>
        <w:rPr>
          <w:rFonts w:ascii="仿宋_GB2312" w:hAnsi="黑体" w:eastAsia="仿宋_GB2312" w:cs="Times New Roman"/>
          <w:sz w:val="32"/>
          <w:szCs w:val="32"/>
        </w:rPr>
        <w:t>20家</w:t>
      </w:r>
      <w:r>
        <w:rPr>
          <w:rFonts w:hint="eastAsia" w:ascii="仿宋_GB2312" w:hAnsi="黑体" w:eastAsia="仿宋_GB2312" w:cs="Times New Roman"/>
          <w:sz w:val="32"/>
          <w:szCs w:val="32"/>
        </w:rPr>
        <w:t>，</w:t>
      </w:r>
      <w:r>
        <w:rPr>
          <w:rFonts w:ascii="仿宋_GB2312" w:hAnsi="黑体" w:eastAsia="仿宋_GB2312" w:cs="Times New Roman"/>
          <w:sz w:val="32"/>
          <w:szCs w:val="32"/>
        </w:rPr>
        <w:t>其中规模以上工业企业15家，完成营业收入9.21亿元，同比增速40.83%。</w:t>
      </w:r>
      <w:r>
        <w:rPr>
          <w:rFonts w:hint="eastAsia" w:ascii="仿宋_GB2312" w:hAnsi="黑体" w:eastAsia="仿宋_GB2312" w:cs="Times New Roman"/>
          <w:sz w:val="32"/>
          <w:szCs w:val="32"/>
        </w:rPr>
        <w:t>电子信息产业项目大批落户兴国，2022年全县规模以上电子信息企业29</w:t>
      </w:r>
      <w:r>
        <w:rPr>
          <w:rFonts w:ascii="仿宋_GB2312" w:hAnsi="黑体" w:eastAsia="仿宋_GB2312" w:cs="Times New Roman"/>
          <w:sz w:val="32"/>
          <w:szCs w:val="32"/>
        </w:rPr>
        <w:t>家</w:t>
      </w:r>
      <w:r>
        <w:rPr>
          <w:rFonts w:hint="eastAsia" w:ascii="仿宋_GB2312" w:hAnsi="黑体" w:eastAsia="仿宋_GB2312" w:cs="Times New Roman"/>
          <w:sz w:val="32"/>
          <w:szCs w:val="32"/>
        </w:rPr>
        <w:t>，实现规上电子信息企业营业收入11.92</w:t>
      </w:r>
      <w:r>
        <w:rPr>
          <w:rFonts w:ascii="仿宋_GB2312" w:hAnsi="黑体" w:eastAsia="仿宋_GB2312" w:cs="Times New Roman"/>
          <w:sz w:val="32"/>
          <w:szCs w:val="32"/>
        </w:rPr>
        <w:t>亿元</w:t>
      </w:r>
      <w:r>
        <w:rPr>
          <w:rFonts w:hint="eastAsia" w:ascii="仿宋_GB2312" w:hAnsi="黑体" w:eastAsia="仿宋_GB2312" w:cs="Times New Roman"/>
          <w:sz w:val="32"/>
          <w:szCs w:val="32"/>
        </w:rPr>
        <w:t>。锐兴通讯、金电电子、联纲电子等数字经济重点企业不断涌现，其中金电电子</w:t>
      </w:r>
      <w:r>
        <w:rPr>
          <w:rFonts w:ascii="仿宋_GB2312" w:hAnsi="黑体" w:eastAsia="仿宋_GB2312" w:cs="Times New Roman"/>
          <w:sz w:val="32"/>
          <w:szCs w:val="32"/>
        </w:rPr>
        <w:t>2022全年营收2133万元</w:t>
      </w:r>
      <w:r>
        <w:rPr>
          <w:rFonts w:hint="eastAsia" w:ascii="仿宋_GB2312" w:hAnsi="黑体" w:eastAsia="仿宋_GB2312" w:cs="Times New Roman"/>
          <w:sz w:val="32"/>
          <w:szCs w:val="32"/>
        </w:rPr>
        <w:t>，被江西省工信厅认定为规上软件和信息技术服务企业及省级大数据示范企业</w:t>
      </w:r>
      <w:r>
        <w:rPr>
          <w:rFonts w:ascii="仿宋_GB2312" w:hAnsi="黑体" w:eastAsia="仿宋_GB2312" w:cs="Times New Roman"/>
          <w:sz w:val="32"/>
          <w:szCs w:val="32"/>
        </w:rPr>
        <w:t>。</w:t>
      </w:r>
      <w:r>
        <w:rPr>
          <w:rFonts w:hint="eastAsia" w:ascii="仿宋_GB2312" w:hAnsi="黑体" w:eastAsia="仿宋_GB2312" w:cs="Times New Roman"/>
          <w:sz w:val="32"/>
          <w:szCs w:val="32"/>
        </w:rPr>
        <w:t>兴国县经济开发区作为数字经济产业集聚区，目前已规划建设智能终端产业园、智能家电产业园、电子科技园、光电产业园等主题园区，形成以高端智能制造为主导的产业链格局。</w:t>
      </w:r>
    </w:p>
    <w:p w14:paraId="2DE9A5BD">
      <w:pPr>
        <w:spacing w:line="560" w:lineRule="atLeast"/>
        <w:ind w:firstLine="643" w:firstLineChars="200"/>
        <w:rPr>
          <w:rFonts w:ascii="仿宋_GB2312" w:hAnsi="黑体" w:eastAsia="仿宋_GB2312" w:cs="Times New Roman"/>
          <w:sz w:val="32"/>
          <w:szCs w:val="32"/>
        </w:rPr>
      </w:pPr>
      <w:r>
        <w:rPr>
          <w:rFonts w:hint="eastAsia" w:ascii="仿宋_GB2312" w:hAnsi="黑体" w:eastAsia="仿宋_GB2312" w:cs="Times New Roman"/>
          <w:b/>
          <w:bCs/>
          <w:sz w:val="32"/>
          <w:szCs w:val="32"/>
        </w:rPr>
        <w:t>产业数字化转型不断深入。</w:t>
      </w:r>
      <w:r>
        <w:rPr>
          <w:rFonts w:hint="eastAsia" w:ascii="仿宋_GB2312" w:hAnsi="黑体" w:eastAsia="仿宋_GB2312" w:cs="Times New Roman"/>
          <w:sz w:val="32"/>
          <w:szCs w:val="32"/>
        </w:rPr>
        <w:t>农业数字化试点建设陆续开展，利用物联网、大数据等信息技术选定兴国益香园茶叶有限公司等</w:t>
      </w:r>
      <w:r>
        <w:rPr>
          <w:rFonts w:ascii="仿宋_GB2312" w:hAnsi="黑体" w:eastAsia="仿宋_GB2312" w:cs="Times New Roman"/>
          <w:sz w:val="32"/>
          <w:szCs w:val="32"/>
        </w:rPr>
        <w:t>4个智慧农业试点基地</w:t>
      </w:r>
      <w:r>
        <w:rPr>
          <w:rFonts w:hint="eastAsia" w:ascii="仿宋_GB2312" w:hAnsi="黑体" w:eastAsia="仿宋_GB2312" w:cs="Times New Roman"/>
          <w:sz w:val="32"/>
          <w:szCs w:val="32"/>
        </w:rPr>
        <w:t>。</w:t>
      </w:r>
      <w:r>
        <w:rPr>
          <w:rFonts w:ascii="仿宋_GB2312" w:hAnsi="黑体" w:eastAsia="仿宋_GB2312" w:cs="Times New Roman"/>
          <w:sz w:val="32"/>
          <w:szCs w:val="32"/>
        </w:rPr>
        <w:t>重点发展“5G+长效管护平台”、“5G+智慧农业示范平台项目建设”、智慧农场、农产品溯源等智慧农业，大力推进全县5个市级农业物联网示范基地建设。</w:t>
      </w:r>
      <w:r>
        <w:rPr>
          <w:rFonts w:hint="eastAsia" w:ascii="仿宋_GB2312" w:hAnsi="黑体" w:eastAsia="仿宋_GB2312" w:cs="Times New Roman"/>
          <w:sz w:val="32"/>
          <w:szCs w:val="32"/>
        </w:rPr>
        <w:t>工业数字化改造提档加速，两化融合工作取得新进展，2</w:t>
      </w:r>
      <w:r>
        <w:rPr>
          <w:rFonts w:ascii="仿宋_GB2312" w:hAnsi="黑体" w:eastAsia="仿宋_GB2312" w:cs="Times New Roman"/>
          <w:sz w:val="32"/>
          <w:szCs w:val="32"/>
        </w:rPr>
        <w:t>022</w:t>
      </w:r>
      <w:r>
        <w:rPr>
          <w:rFonts w:hint="eastAsia" w:ascii="仿宋_GB2312" w:hAnsi="黑体" w:eastAsia="仿宋_GB2312" w:cs="Times New Roman"/>
          <w:sz w:val="32"/>
          <w:szCs w:val="32"/>
        </w:rPr>
        <w:t>年度全县新增</w:t>
      </w:r>
      <w:r>
        <w:rPr>
          <w:rFonts w:ascii="仿宋_GB2312" w:hAnsi="黑体" w:eastAsia="仿宋_GB2312" w:cs="Times New Roman"/>
          <w:sz w:val="32"/>
          <w:szCs w:val="32"/>
        </w:rPr>
        <w:t>3家</w:t>
      </w:r>
      <w:r>
        <w:rPr>
          <w:rFonts w:hint="eastAsia" w:ascii="仿宋_GB2312" w:hAnsi="黑体" w:eastAsia="仿宋_GB2312" w:cs="Times New Roman"/>
          <w:sz w:val="32"/>
          <w:szCs w:val="32"/>
        </w:rPr>
        <w:t>省级两化融合示范企业。大力推动企业上云进度，完成企业上云1123</w:t>
      </w:r>
      <w:r>
        <w:rPr>
          <w:rFonts w:ascii="仿宋_GB2312" w:hAnsi="黑体" w:eastAsia="仿宋_GB2312" w:cs="Times New Roman"/>
          <w:sz w:val="32"/>
          <w:szCs w:val="32"/>
        </w:rPr>
        <w:t>家</w:t>
      </w:r>
      <w:r>
        <w:rPr>
          <w:rFonts w:hint="eastAsia" w:ascii="仿宋_GB2312" w:hAnsi="黑体" w:eastAsia="仿宋_GB2312" w:cs="Times New Roman"/>
          <w:sz w:val="32"/>
          <w:szCs w:val="32"/>
        </w:rPr>
        <w:t>，基本实现规模以上工业企业上云全覆盖</w:t>
      </w:r>
      <w:r>
        <w:rPr>
          <w:rFonts w:ascii="仿宋_GB2312" w:hAnsi="黑体" w:eastAsia="仿宋_GB2312" w:cs="Times New Roman"/>
          <w:sz w:val="32"/>
          <w:szCs w:val="32"/>
        </w:rPr>
        <w:t>。</w:t>
      </w:r>
      <w:r>
        <w:rPr>
          <w:rFonts w:hint="eastAsia" w:ascii="仿宋_GB2312" w:hAnsi="黑体" w:eastAsia="仿宋_GB2312" w:cs="Times New Roman"/>
          <w:sz w:val="32"/>
          <w:szCs w:val="32"/>
        </w:rPr>
        <w:t>助推兴氟化工、海文生物等龙头企业打造“</w:t>
      </w:r>
      <w:r>
        <w:rPr>
          <w:rFonts w:ascii="仿宋_GB2312" w:hAnsi="黑体" w:eastAsia="仿宋_GB2312" w:cs="Times New Roman"/>
          <w:sz w:val="32"/>
          <w:szCs w:val="32"/>
        </w:rPr>
        <w:t>5G+工业互联网</w:t>
      </w:r>
      <w:r>
        <w:rPr>
          <w:rFonts w:hint="eastAsia" w:ascii="仿宋_GB2312" w:hAnsi="黑体" w:eastAsia="仿宋_GB2312" w:cs="Times New Roman"/>
          <w:sz w:val="32"/>
          <w:szCs w:val="32"/>
        </w:rPr>
        <w:t>”平台</w:t>
      </w:r>
      <w:r>
        <w:rPr>
          <w:rFonts w:ascii="仿宋_GB2312" w:hAnsi="黑体" w:eastAsia="仿宋_GB2312" w:cs="Times New Roman"/>
          <w:sz w:val="32"/>
          <w:szCs w:val="32"/>
        </w:rPr>
        <w:t>，推进中萤发展、锐兴通讯等企业实施智能化升级</w:t>
      </w:r>
      <w:r>
        <w:rPr>
          <w:rFonts w:hint="eastAsia" w:ascii="仿宋_GB2312" w:hAnsi="黑体" w:eastAsia="仿宋_GB2312" w:cs="Times New Roman"/>
          <w:sz w:val="32"/>
          <w:szCs w:val="32"/>
        </w:rPr>
        <w:t>。服务业数字化理念全面普及，电子商务与现代物流产业加快融合发展，整合电商企业资源，建立兴国电商仓储配送集散中心与数字经济电商直播孵化基地，积极组织电子商务实操技能提升培训，全县2</w:t>
      </w:r>
      <w:r>
        <w:rPr>
          <w:rFonts w:ascii="仿宋_GB2312" w:hAnsi="黑体" w:eastAsia="仿宋_GB2312" w:cs="Times New Roman"/>
          <w:sz w:val="32"/>
          <w:szCs w:val="32"/>
        </w:rPr>
        <w:t>022</w:t>
      </w:r>
      <w:r>
        <w:rPr>
          <w:rFonts w:hint="eastAsia" w:ascii="仿宋_GB2312" w:hAnsi="黑体" w:eastAsia="仿宋_GB2312" w:cs="Times New Roman"/>
          <w:sz w:val="32"/>
          <w:szCs w:val="32"/>
        </w:rPr>
        <w:t>年电子商务网络店铺数</w:t>
      </w:r>
      <w:r>
        <w:rPr>
          <w:rFonts w:ascii="仿宋_GB2312" w:hAnsi="黑体" w:eastAsia="仿宋_GB2312" w:cs="Times New Roman"/>
          <w:sz w:val="32"/>
          <w:szCs w:val="32"/>
        </w:rPr>
        <w:t>4711个，</w:t>
      </w:r>
      <w:r>
        <w:rPr>
          <w:rFonts w:hint="eastAsia" w:ascii="仿宋_GB2312" w:hAnsi="黑体" w:eastAsia="仿宋_GB2312" w:cs="Times New Roman"/>
          <w:sz w:val="32"/>
          <w:szCs w:val="32"/>
        </w:rPr>
        <w:t>实现</w:t>
      </w:r>
      <w:r>
        <w:rPr>
          <w:rFonts w:ascii="仿宋_GB2312" w:hAnsi="黑体" w:eastAsia="仿宋_GB2312" w:cs="Times New Roman"/>
          <w:sz w:val="32"/>
          <w:szCs w:val="32"/>
        </w:rPr>
        <w:t>零售额67597.59万元</w:t>
      </w:r>
      <w:r>
        <w:rPr>
          <w:rFonts w:hint="eastAsia" w:ascii="仿宋_GB2312" w:hAnsi="黑体" w:eastAsia="仿宋_GB2312" w:cs="Times New Roman"/>
          <w:sz w:val="32"/>
          <w:szCs w:val="32"/>
        </w:rPr>
        <w:t>。</w:t>
      </w:r>
    </w:p>
    <w:p w14:paraId="5AD4E09E">
      <w:pPr>
        <w:spacing w:line="560" w:lineRule="atLeast"/>
        <w:ind w:firstLine="643" w:firstLineChars="200"/>
        <w:rPr>
          <w:rFonts w:ascii="仿宋_GB2312" w:hAnsi="黑体" w:eastAsia="仿宋_GB2312" w:cs="Times New Roman"/>
          <w:sz w:val="32"/>
          <w:szCs w:val="32"/>
        </w:rPr>
      </w:pPr>
      <w:r>
        <w:rPr>
          <w:rFonts w:hint="eastAsia" w:ascii="仿宋_GB2312" w:hAnsi="黑体" w:eastAsia="仿宋_GB2312" w:cs="Times New Roman"/>
          <w:b/>
          <w:bCs/>
          <w:sz w:val="32"/>
          <w:szCs w:val="32"/>
        </w:rPr>
        <w:t>数字化公共服务初见成效。</w:t>
      </w:r>
      <w:r>
        <w:rPr>
          <w:rFonts w:hint="eastAsia" w:ascii="仿宋_GB2312" w:hAnsi="黑体" w:eastAsia="仿宋_GB2312" w:cs="Times New Roman"/>
          <w:sz w:val="32"/>
          <w:szCs w:val="32"/>
        </w:rPr>
        <w:t>数字社会发展全面赋能，智慧社区试点工作蓄势待发，赣鄱邻里智慧社区平台得到推广普及，从省级层面打通民政数据关联，实现数据融合汇聚。智慧医疗体系蓬勃发展，县级公立医院及基层卫生院实现区域医疗资源共享，统一建立全县医谷平台居民电子健康档案数据库。智慧健康养老呈现良好态势，全县共建成养老机构</w:t>
      </w:r>
      <w:r>
        <w:rPr>
          <w:rFonts w:ascii="仿宋_GB2312" w:hAnsi="黑体" w:eastAsia="仿宋_GB2312" w:cs="Times New Roman"/>
          <w:sz w:val="32"/>
          <w:szCs w:val="32"/>
        </w:rPr>
        <w:t>28个</w:t>
      </w:r>
      <w:r>
        <w:rPr>
          <w:rFonts w:hint="eastAsia" w:ascii="仿宋_GB2312" w:hAnsi="黑体" w:eastAsia="仿宋_GB2312" w:cs="Times New Roman"/>
          <w:sz w:val="32"/>
          <w:szCs w:val="32"/>
        </w:rPr>
        <w:t>，城市社区居家养老服务中心1</w:t>
      </w:r>
      <w:r>
        <w:rPr>
          <w:rFonts w:ascii="仿宋_GB2312" w:hAnsi="黑体" w:eastAsia="仿宋_GB2312" w:cs="Times New Roman"/>
          <w:sz w:val="32"/>
          <w:szCs w:val="32"/>
        </w:rPr>
        <w:t>0</w:t>
      </w:r>
      <w:r>
        <w:rPr>
          <w:rFonts w:hint="eastAsia" w:ascii="仿宋_GB2312" w:hAnsi="黑体" w:eastAsia="仿宋_GB2312" w:cs="Times New Roman"/>
          <w:sz w:val="32"/>
          <w:szCs w:val="32"/>
        </w:rPr>
        <w:t>个，智慧养老服务信息平台1个，实施居家适老化改造，推动生命体征检测仪、感应夜灯、智能手环等智慧健康养老产品应用。智慧教育模式逐步加大投入，高速互联网校校通、高质量班班通、教学点专递课堂等方面覆盖率达</w:t>
      </w:r>
      <w:r>
        <w:rPr>
          <w:rFonts w:ascii="仿宋_GB2312" w:hAnsi="黑体" w:eastAsia="仿宋_GB2312" w:cs="Times New Roman"/>
          <w:sz w:val="32"/>
          <w:szCs w:val="32"/>
        </w:rPr>
        <w:t>100%</w:t>
      </w:r>
      <w:r>
        <w:rPr>
          <w:rFonts w:hint="eastAsia" w:ascii="仿宋_GB2312" w:hAnsi="黑体" w:eastAsia="仿宋_GB2312" w:cs="Times New Roman"/>
          <w:sz w:val="32"/>
          <w:szCs w:val="32"/>
        </w:rPr>
        <w:t>。智慧文旅改革扎实推进，信息化宣传兴国旅游资源，制定全县数字文化馆、数字图书馆建设工作方案。</w:t>
      </w:r>
    </w:p>
    <w:p w14:paraId="05EE886F">
      <w:pPr>
        <w:pStyle w:val="2"/>
        <w:spacing w:line="560" w:lineRule="atLeast"/>
        <w:ind w:firstLine="643" w:firstLineChars="200"/>
      </w:pPr>
      <w:r>
        <w:rPr>
          <w:rFonts w:hint="eastAsia" w:ascii="仿宋_GB2312" w:hAnsi="黑体" w:eastAsia="仿宋_GB2312" w:cs="Times New Roman"/>
          <w:b/>
          <w:bCs/>
          <w:sz w:val="32"/>
          <w:szCs w:val="32"/>
        </w:rPr>
        <w:t>县域数字化治理稳步推进。</w:t>
      </w:r>
      <w:r>
        <w:rPr>
          <w:rFonts w:hint="eastAsia" w:ascii="仿宋_GB2312" w:hAnsi="黑体" w:eastAsia="仿宋_GB2312" w:cs="Times New Roman"/>
          <w:sz w:val="32"/>
          <w:szCs w:val="32"/>
        </w:rPr>
        <w:t>政府一体化协同治理逐步完善，完成“赣服通”5</w:t>
      </w:r>
      <w:r>
        <w:rPr>
          <w:rFonts w:ascii="仿宋_GB2312" w:hAnsi="黑体" w:eastAsia="仿宋_GB2312" w:cs="Times New Roman"/>
          <w:sz w:val="32"/>
          <w:szCs w:val="32"/>
        </w:rPr>
        <w:t>.0建设</w:t>
      </w:r>
      <w:r>
        <w:rPr>
          <w:rFonts w:hint="eastAsia" w:ascii="仿宋_GB2312" w:hAnsi="黑体" w:eastAsia="仿宋_GB2312" w:cs="Times New Roman"/>
          <w:sz w:val="32"/>
          <w:szCs w:val="32"/>
        </w:rPr>
        <w:t>，</w:t>
      </w:r>
      <w:r>
        <w:rPr>
          <w:rFonts w:ascii="仿宋_GB2312" w:hAnsi="黑体" w:eastAsia="仿宋_GB2312" w:cs="Times New Roman"/>
          <w:sz w:val="32"/>
          <w:szCs w:val="32"/>
        </w:rPr>
        <w:t>上线教育缴费、消防场景、红色旅游场景等21个</w:t>
      </w:r>
      <w:r>
        <w:rPr>
          <w:rFonts w:hint="eastAsia" w:ascii="仿宋_GB2312" w:hAnsi="黑体" w:eastAsia="仿宋_GB2312" w:cs="Times New Roman"/>
          <w:sz w:val="32"/>
          <w:szCs w:val="32"/>
        </w:rPr>
        <w:t>“</w:t>
      </w:r>
      <w:r>
        <w:rPr>
          <w:rFonts w:ascii="仿宋_GB2312" w:hAnsi="黑体" w:eastAsia="仿宋_GB2312" w:cs="Times New Roman"/>
          <w:sz w:val="32"/>
          <w:szCs w:val="32"/>
        </w:rPr>
        <w:t>赣服通</w:t>
      </w:r>
      <w:r>
        <w:rPr>
          <w:rFonts w:hint="eastAsia" w:ascii="仿宋_GB2312" w:hAnsi="黑体" w:eastAsia="仿宋_GB2312" w:cs="Times New Roman"/>
          <w:sz w:val="32"/>
          <w:szCs w:val="32"/>
        </w:rPr>
        <w:t>”</w:t>
      </w:r>
      <w:r>
        <w:rPr>
          <w:rFonts w:ascii="仿宋_GB2312" w:hAnsi="黑体" w:eastAsia="仿宋_GB2312" w:cs="Times New Roman"/>
          <w:sz w:val="32"/>
          <w:szCs w:val="32"/>
        </w:rPr>
        <w:t>兴国分厅特色场景</w:t>
      </w:r>
      <w:r>
        <w:rPr>
          <w:rFonts w:hint="eastAsia" w:ascii="仿宋_GB2312" w:hAnsi="黑体" w:eastAsia="仿宋_GB2312" w:cs="Times New Roman"/>
          <w:sz w:val="32"/>
          <w:szCs w:val="32"/>
        </w:rPr>
        <w:t>，新建入规入统企业电子交易平台。市场数字化监管能力持续增强，建立网络交易监测监管五级贯通系统与江西省网络交易监管平台，将全县</w:t>
      </w:r>
      <w:r>
        <w:rPr>
          <w:rFonts w:ascii="仿宋_GB2312" w:hAnsi="黑体" w:eastAsia="仿宋_GB2312" w:cs="Times New Roman"/>
          <w:sz w:val="32"/>
          <w:szCs w:val="32"/>
        </w:rPr>
        <w:t>1982户网络经营交易主体纳入互联网</w:t>
      </w:r>
      <w:r>
        <w:rPr>
          <w:rFonts w:hint="eastAsia" w:ascii="仿宋_GB2312" w:hAnsi="黑体" w:eastAsia="仿宋_GB2312" w:cs="Times New Roman"/>
          <w:sz w:val="32"/>
          <w:szCs w:val="32"/>
        </w:rPr>
        <w:t>监测体系</w:t>
      </w:r>
      <w:r>
        <w:rPr>
          <w:rFonts w:ascii="仿宋_GB2312" w:hAnsi="黑体" w:eastAsia="仿宋_GB2312" w:cs="Times New Roman"/>
          <w:sz w:val="32"/>
          <w:szCs w:val="32"/>
        </w:rPr>
        <w:t>。</w:t>
      </w:r>
      <w:r>
        <w:rPr>
          <w:rFonts w:hint="eastAsia" w:ascii="仿宋_GB2312" w:hAnsi="黑体" w:eastAsia="仿宋_GB2312" w:cs="Times New Roman"/>
          <w:sz w:val="32"/>
          <w:szCs w:val="32"/>
        </w:rPr>
        <w:t>乡村网格化治理场景不断丰富，运用“万村码上通”</w:t>
      </w:r>
      <w:r>
        <w:rPr>
          <w:rFonts w:ascii="仿宋_GB2312" w:hAnsi="黑体" w:eastAsia="仿宋_GB2312" w:cs="Times New Roman"/>
          <w:sz w:val="32"/>
          <w:szCs w:val="32"/>
        </w:rPr>
        <w:t>5G+长效管护平台AI技术，对垃圾溢桶、乱堆乱放等问题进行预警监测。</w:t>
      </w:r>
      <w:r>
        <w:rPr>
          <w:rFonts w:hint="eastAsia" w:ascii="仿宋_GB2312" w:hAnsi="黑体" w:eastAsia="仿宋_GB2312" w:cs="Times New Roman"/>
          <w:sz w:val="32"/>
          <w:szCs w:val="32"/>
        </w:rPr>
        <w:t>生态</w:t>
      </w:r>
      <w:r>
        <w:rPr>
          <w:rFonts w:ascii="仿宋_GB2312" w:hAnsi="黑体" w:eastAsia="仿宋_GB2312" w:cs="Times New Roman"/>
          <w:sz w:val="32"/>
          <w:szCs w:val="32"/>
        </w:rPr>
        <w:t>环境监测能力显著提高，建成两个空气自动监测站，对全县城区主要污染物以及气温、气压等气象参数因子开展24小时连续自动监测。</w:t>
      </w:r>
      <w:r>
        <w:rPr>
          <w:rFonts w:hint="eastAsia" w:ascii="仿宋_GB2312" w:hAnsi="黑体" w:eastAsia="仿宋_GB2312" w:cs="Times New Roman"/>
          <w:sz w:val="32"/>
          <w:szCs w:val="32"/>
        </w:rPr>
        <w:t>治安信息防控制度多措并举，通过“睿警云”、雪亮工程、移动警务终端等系统实现治安要素实时监控与社区治理全面感知。网络安全技术保障不断强化，开展</w:t>
      </w:r>
      <w:r>
        <w:rPr>
          <w:rFonts w:ascii="仿宋_GB2312" w:hAnsi="黑体" w:eastAsia="仿宋_GB2312" w:cs="Times New Roman"/>
          <w:sz w:val="32"/>
          <w:szCs w:val="32"/>
        </w:rPr>
        <w:t>4次网络安全检查，</w:t>
      </w:r>
      <w:r>
        <w:rPr>
          <w:rFonts w:hint="eastAsia" w:ascii="仿宋_GB2312" w:hAnsi="黑体" w:eastAsia="仿宋_GB2312" w:cs="Times New Roman"/>
          <w:sz w:val="32"/>
          <w:szCs w:val="32"/>
        </w:rPr>
        <w:t>共计发现</w:t>
      </w:r>
      <w:r>
        <w:rPr>
          <w:rFonts w:ascii="仿宋_GB2312" w:hAnsi="黑体" w:eastAsia="仿宋_GB2312" w:cs="Times New Roman"/>
          <w:sz w:val="32"/>
          <w:szCs w:val="32"/>
        </w:rPr>
        <w:t>64个紧急漏洞，205个高危漏洞、775个中危漏洞、132个低危漏洞</w:t>
      </w:r>
      <w:r>
        <w:rPr>
          <w:rFonts w:hint="eastAsia" w:ascii="仿宋_GB2312" w:hAnsi="黑体" w:eastAsia="仿宋_GB2312" w:cs="Times New Roman"/>
          <w:sz w:val="32"/>
          <w:szCs w:val="32"/>
        </w:rPr>
        <w:t>，均已督促相关单位整改到位。</w:t>
      </w:r>
    </w:p>
    <w:p w14:paraId="2BE1B83C">
      <w:pPr>
        <w:pStyle w:val="2"/>
        <w:spacing w:line="560" w:lineRule="atLeas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尽管我县在数字化发展方方面面均取得了有目共睹的成就，但还是存在一些短板和弱项。主要表现为：一是数字经济基础较为薄弱。数字经济领域企业不多不强，数字核心产业集聚效能不明显，工业产业链条偏短，缺乏数字经济龙头企业。二是产业数字化转型速度偏慢。农业发展层次较低，存在精深加工薄弱、信息技术服务体系不健全及数字化生产管理水平不高等问题；制造业企业对建立数字化供应链体系、智能生产线和智慧车间等数字化改造项目欠缺积极性；文化旅游产业网络宣传力度不大，市场营销渠道不广，许多基础设施仍然落后。三是数字经济专业人才队伍结构性矛盾突出。重点领域产业和乡村振兴产业数字领军人才及团队短缺，难以匹配全县产业发展。</w:t>
      </w:r>
    </w:p>
    <w:p w14:paraId="7A571FBA">
      <w:pPr>
        <w:pStyle w:val="6"/>
        <w:rPr>
          <w:rFonts w:ascii="楷体_GB2312" w:hAnsi="黑体" w:eastAsia="楷体_GB2312"/>
        </w:rPr>
      </w:pPr>
      <w:bookmarkStart w:id="24" w:name="_Toc147740932"/>
      <w:bookmarkStart w:id="25" w:name="_Toc12746"/>
      <w:bookmarkStart w:id="26" w:name="_Toc22231"/>
      <w:bookmarkStart w:id="27" w:name="_Toc11143"/>
      <w:bookmarkStart w:id="28" w:name="_Toc13611"/>
      <w:bookmarkStart w:id="29" w:name="_Toc142986303"/>
      <w:r>
        <w:rPr>
          <w:rFonts w:hint="eastAsia" w:ascii="楷体_GB2312" w:hAnsi="黑体" w:eastAsia="楷体_GB2312"/>
        </w:rPr>
        <w:t>（二）面临的形势</w:t>
      </w:r>
      <w:bookmarkEnd w:id="24"/>
      <w:bookmarkEnd w:id="25"/>
      <w:bookmarkEnd w:id="26"/>
      <w:bookmarkEnd w:id="27"/>
      <w:bookmarkEnd w:id="28"/>
      <w:bookmarkEnd w:id="29"/>
    </w:p>
    <w:p w14:paraId="5AAD6829">
      <w:pPr>
        <w:spacing w:line="560" w:lineRule="exact"/>
        <w:ind w:firstLine="643" w:firstLineChars="200"/>
        <w:rPr>
          <w:rFonts w:ascii="仿宋_GB2312" w:hAnsi="黑体" w:eastAsia="仿宋_GB2312"/>
          <w:sz w:val="32"/>
          <w:szCs w:val="32"/>
        </w:rPr>
      </w:pPr>
      <w:r>
        <w:rPr>
          <w:rFonts w:hint="eastAsia" w:ascii="仿宋_GB2312" w:hAnsi="黑体" w:eastAsia="仿宋_GB2312"/>
          <w:b/>
          <w:bCs/>
          <w:sz w:val="32"/>
          <w:szCs w:val="32"/>
        </w:rPr>
        <w:t>数字经济持续为国民经济稳增长保驾护航</w:t>
      </w:r>
      <w:r>
        <w:rPr>
          <w:rFonts w:hint="eastAsia" w:ascii="仿宋_GB2312" w:hAnsi="黑体" w:eastAsia="仿宋_GB2312"/>
          <w:sz w:val="32"/>
          <w:szCs w:val="32"/>
        </w:rPr>
        <w:t>。中华民族伟大复兴进入关键时期，党的二十大明确提出“加快发展数字经济，促进数字经济和实体经济深度融合，打造具有国际竞争力的数字产业集群”。中国已形</w:t>
      </w:r>
      <w:r>
        <w:rPr>
          <w:rFonts w:ascii="仿宋_GB2312" w:hAnsi="黑体" w:eastAsia="仿宋_GB2312"/>
          <w:sz w:val="32"/>
          <w:szCs w:val="32"/>
        </w:rPr>
        <w:t>成了横向联动、纵向贯通的数字经济战略体系，数据成为新的生产要素，以数字技术为动力牵引，全面赋能我国经济社会高质量发展，2022年</w:t>
      </w:r>
      <w:r>
        <w:rPr>
          <w:rFonts w:hint="eastAsia" w:ascii="仿宋_GB2312" w:hAnsi="黑体" w:eastAsia="仿宋_GB2312"/>
          <w:sz w:val="32"/>
          <w:szCs w:val="32"/>
        </w:rPr>
        <w:t>我国数字经济规模达到</w:t>
      </w:r>
      <w:r>
        <w:rPr>
          <w:rFonts w:ascii="仿宋_GB2312" w:hAnsi="黑体" w:eastAsia="仿宋_GB2312"/>
          <w:sz w:val="32"/>
          <w:szCs w:val="32"/>
        </w:rPr>
        <w:t>50.2万亿元，同比增加4.68万亿元，北京、上海、天津等地数字经济GDP占比已超过50%，数字经济成为推动经济提质增效和转型增长的新动力、新蓝海，数据融合应用程度不断深化，“一网通办”</w:t>
      </w:r>
      <w:r>
        <w:rPr>
          <w:rFonts w:hint="eastAsia" w:ascii="仿宋_GB2312" w:hAnsi="黑体" w:eastAsia="仿宋_GB2312"/>
          <w:sz w:val="32"/>
          <w:szCs w:val="32"/>
        </w:rPr>
        <w:t>服务事项占比持续提升，政府治理能力和人民群众获得感显著提升。</w:t>
      </w:r>
    </w:p>
    <w:p w14:paraId="17C05DDD">
      <w:pPr>
        <w:spacing w:line="560" w:lineRule="exact"/>
        <w:ind w:firstLine="643" w:firstLineChars="200"/>
        <w:rPr>
          <w:rFonts w:ascii="仿宋_GB2312" w:hAnsi="仿宋_GB2312" w:eastAsia="仿宋_GB2312" w:cs="仿宋_GB2312"/>
          <w:color w:val="000000"/>
          <w:sz w:val="32"/>
        </w:rPr>
      </w:pPr>
      <w:r>
        <w:rPr>
          <w:rFonts w:hint="eastAsia" w:ascii="仿宋_GB2312" w:hAnsi="仿宋_GB2312" w:eastAsia="仿宋_GB2312" w:cs="仿宋_GB2312"/>
          <w:b/>
          <w:bCs/>
          <w:color w:val="000000"/>
          <w:sz w:val="32"/>
        </w:rPr>
        <w:t>数字经济成为促进江西省经济高质量发展的关键动能。</w:t>
      </w:r>
      <w:r>
        <w:rPr>
          <w:rFonts w:hint="eastAsia" w:ascii="仿宋_GB2312" w:hAnsi="仿宋_GB2312" w:eastAsia="仿宋_GB2312" w:cs="仿宋_GB2312"/>
          <w:color w:val="000000"/>
          <w:sz w:val="32"/>
        </w:rPr>
        <w:t>江西省持续高度重视数字经济发展，深入推进数字经济做优做强“一号发展工程”，加快推进“数字江西”建设步伐。在壮大数字产业方面，主动承接粤港澳大湾区等地区产业转移，加速推进重点项目，2022年全省电子信息产业营业收入达1.01万亿元、增长32.2%，物联网、VR赛道营业收入增速均在20%以上，数字经济集聚区效能初显。同时，在推进数实融合方面，持续深化制造业数字化转型、提高服务业数字化水平、稳步推进农业数字化转型，2022年全省上云企业累计突破25万家，智能工厂（数字化车间）累计达到1604个。此外，在丰富数字应用场景和优化数字发展环境方面，积极推进数字政府和数字社会建设，加强数据共享应用，实施“全景江西”建设工程。“赣服通”5.0版上线，提供上线服务1.6万余项，实名注册用户数量累计达4805.9万，访问量累计达72亿余次。</w:t>
      </w:r>
    </w:p>
    <w:p w14:paraId="3D4D82D6">
      <w:pPr>
        <w:spacing w:line="560" w:lineRule="exact"/>
        <w:ind w:firstLine="643" w:firstLineChars="200"/>
        <w:rPr>
          <w:rFonts w:ascii="仿宋_GB2312" w:hAnsi="仿宋_GB2312" w:eastAsia="仿宋_GB2312" w:cs="仿宋_GB2312"/>
          <w:color w:val="000000"/>
          <w:sz w:val="32"/>
        </w:rPr>
      </w:pPr>
      <w:r>
        <w:rPr>
          <w:rFonts w:hint="eastAsia" w:ascii="仿宋_GB2312" w:hAnsi="仿宋_GB2312" w:eastAsia="仿宋_GB2312" w:cs="仿宋_GB2312"/>
          <w:b/>
          <w:bCs/>
          <w:color w:val="000000"/>
          <w:sz w:val="32"/>
        </w:rPr>
        <w:t>赣州成为打造成粤港澳大湾区数字经济重要腹地。</w:t>
      </w:r>
      <w:r>
        <w:rPr>
          <w:rFonts w:hint="eastAsia" w:ascii="仿宋_GB2312" w:hAnsi="仿宋_GB2312" w:eastAsia="仿宋_GB2312" w:cs="仿宋_GB2312"/>
          <w:color w:val="000000"/>
          <w:sz w:val="32"/>
        </w:rPr>
        <w:t>赣州市作为江西省对接融入大湾区的最前沿以及大湾区联动内陆发展的直接腹地，近年来抢抓数字经济发展新机遇，坚定不移开展工业倍增升级行动的要求，围绕电子信息、信创、区块北斗时空等数字产业，积极推进与粤港澳大湾区合作，引进了一批行业领军企业承接省内超10亿元的信创项目，成功创建“千兆城市”，积极推广“工业数字云脑+共享智造工厂”产业数字化转型模式，建设城市工业数字大脑，持续推动全域首位产业集群协同发展。2022年赣州市数字经济增加值突破1700亿元、保持全省第二，赣州跃居全国数字经济城市发展百强榜第58位、前移4位。</w:t>
      </w:r>
    </w:p>
    <w:p w14:paraId="73FB6BD1">
      <w:pPr>
        <w:spacing w:line="560" w:lineRule="exact"/>
        <w:ind w:firstLine="643" w:firstLineChars="200"/>
        <w:rPr>
          <w:rFonts w:ascii="楷体" w:hAnsi="楷体" w:eastAsia="楷体" w:cs="宋体"/>
          <w:kern w:val="0"/>
          <w:sz w:val="32"/>
          <w:szCs w:val="32"/>
        </w:rPr>
      </w:pPr>
      <w:r>
        <w:rPr>
          <w:rFonts w:hint="eastAsia" w:ascii="仿宋_GB2312" w:hAnsi="仿宋_GB2312" w:eastAsia="仿宋_GB2312" w:cs="仿宋_GB2312"/>
          <w:b/>
          <w:bCs/>
          <w:color w:val="000000"/>
          <w:sz w:val="32"/>
        </w:rPr>
        <w:t>兴国县处于国家中部崛起以及苏区振兴等战略机遇叠加期。</w:t>
      </w:r>
      <w:r>
        <w:rPr>
          <w:rFonts w:hint="eastAsia" w:ascii="仿宋_GB2312" w:hAnsi="黑体" w:eastAsia="仿宋_GB2312"/>
          <w:sz w:val="32"/>
          <w:szCs w:val="32"/>
        </w:rPr>
        <w:t>兴国县是江西腹地离东南沿海最近的出海口和内陆地区连接东南沿海的重要枢纽，是吸引项目、聚集产业、汇聚人才的高地，同时也是实施国家中部崛起战略、苏区振兴发展战略、长江经济带发展战略的重要地区。赣州市推动数字经济发展、建设革命老区高质量发展示范区、打造“瑞兴于“3+2”振兴发展片区”等稳步加快</w:t>
      </w:r>
      <w:r>
        <w:rPr>
          <w:rFonts w:hint="eastAsia" w:ascii="仿宋_GB2312" w:hAnsi="仿宋_GB2312" w:eastAsia="仿宋_GB2312" w:cs="仿宋_GB2312"/>
          <w:color w:val="000000"/>
          <w:sz w:val="32"/>
        </w:rPr>
        <w:t>为兴国县电子信息、纺织服装、农业、红色文旅等产业数字化发展创造新机遇、开拓新空间。同时，兴国县持续深化“放管服”改革，依托政务一体化平台，全面打响“兴速办”品牌，以数字赋能产业升级、政府治理，为推动建设高水平数字兴国打下了坚实的基础。</w:t>
      </w:r>
    </w:p>
    <w:p w14:paraId="5382FD53">
      <w:pPr>
        <w:pStyle w:val="24"/>
        <w:numPr>
          <w:ilvl w:val="0"/>
          <w:numId w:val="1"/>
        </w:numPr>
        <w:ind w:firstLineChars="0"/>
        <w:outlineLvl w:val="0"/>
        <w:rPr>
          <w:rFonts w:ascii="黑体" w:hAnsi="黑体" w:eastAsia="黑体"/>
          <w:sz w:val="32"/>
          <w:szCs w:val="32"/>
        </w:rPr>
      </w:pPr>
      <w:bookmarkStart w:id="30" w:name="_Toc9833"/>
      <w:bookmarkStart w:id="31" w:name="_Toc7869"/>
      <w:bookmarkStart w:id="32" w:name="_Toc147740933"/>
      <w:bookmarkStart w:id="33" w:name="_Toc9883"/>
      <w:bookmarkStart w:id="34" w:name="_Toc142986304"/>
      <w:bookmarkStart w:id="35" w:name="_Toc6552"/>
      <w:r>
        <w:rPr>
          <w:rFonts w:hint="eastAsia" w:ascii="黑体" w:hAnsi="黑体" w:eastAsia="黑体"/>
          <w:sz w:val="32"/>
          <w:szCs w:val="32"/>
        </w:rPr>
        <w:t>总体要求</w:t>
      </w:r>
      <w:bookmarkEnd w:id="30"/>
      <w:bookmarkEnd w:id="31"/>
      <w:bookmarkEnd w:id="32"/>
      <w:bookmarkEnd w:id="33"/>
      <w:bookmarkEnd w:id="34"/>
      <w:bookmarkEnd w:id="35"/>
    </w:p>
    <w:p w14:paraId="5BFCFDBA">
      <w:pPr>
        <w:pStyle w:val="24"/>
        <w:numPr>
          <w:ilvl w:val="0"/>
          <w:numId w:val="2"/>
        </w:numPr>
        <w:ind w:firstLineChars="0"/>
        <w:outlineLvl w:val="1"/>
        <w:rPr>
          <w:rFonts w:ascii="楷体_GB2312" w:hAnsi="黑体" w:eastAsia="楷体_GB2312"/>
          <w:b/>
          <w:bCs/>
          <w:sz w:val="32"/>
          <w:szCs w:val="32"/>
        </w:rPr>
      </w:pPr>
      <w:bookmarkStart w:id="36" w:name="_Toc147740934"/>
      <w:bookmarkStart w:id="37" w:name="_Toc22060"/>
      <w:bookmarkStart w:id="38" w:name="_Toc7610"/>
      <w:bookmarkStart w:id="39" w:name="_Toc32204"/>
      <w:bookmarkStart w:id="40" w:name="_Toc500"/>
      <w:bookmarkStart w:id="41" w:name="_Toc142986305"/>
      <w:r>
        <w:rPr>
          <w:rFonts w:hint="eastAsia" w:ascii="楷体_GB2312" w:hAnsi="黑体" w:eastAsia="楷体_GB2312"/>
          <w:b/>
          <w:bCs/>
          <w:sz w:val="32"/>
          <w:szCs w:val="32"/>
        </w:rPr>
        <w:t>指导思想</w:t>
      </w:r>
      <w:bookmarkEnd w:id="36"/>
      <w:bookmarkEnd w:id="37"/>
      <w:bookmarkEnd w:id="38"/>
      <w:bookmarkEnd w:id="39"/>
      <w:bookmarkEnd w:id="40"/>
      <w:bookmarkEnd w:id="41"/>
    </w:p>
    <w:p w14:paraId="15BF9BA7">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以习近平新时代中国特色社会主义思想为指导，深入贯彻党的二十大精神，深刻把握数字中国建设的战略要求，立足新发展阶段、贯彻新发展理念、构建新发展格局，全面落实省、市关于数字经济做优做强“一号发展工程”的工作部署，紧扣新时代革命老区振兴发展、粤港澳大湾区产业转移、建设省域副中心城市等多元重叠战略机遇，以数字经济与先进制造业、现代服务业深度融合为主线，着力加强数字基础设施建设、赋能产业转型升级、壮大数字新产业、推动数字服务创新、完善数字经济治理体系，培育发展以数字经济为重要引擎的新经济新动能，打造革命老区数字经济高质量跨越式发展示范县，为奋力开创“模范兴国”新荣光提供强大动能。</w:t>
      </w:r>
    </w:p>
    <w:p w14:paraId="6CB48BFB">
      <w:pPr>
        <w:pStyle w:val="24"/>
        <w:numPr>
          <w:ilvl w:val="0"/>
          <w:numId w:val="2"/>
        </w:numPr>
        <w:ind w:firstLineChars="0"/>
        <w:outlineLvl w:val="1"/>
        <w:rPr>
          <w:rFonts w:ascii="楷体_GB2312" w:hAnsi="黑体" w:eastAsia="楷体_GB2312"/>
          <w:b/>
          <w:bCs/>
          <w:sz w:val="32"/>
          <w:szCs w:val="32"/>
        </w:rPr>
      </w:pPr>
      <w:bookmarkStart w:id="42" w:name="_Toc147740935"/>
      <w:bookmarkStart w:id="43" w:name="_Toc27856"/>
      <w:bookmarkStart w:id="44" w:name="_Toc30761"/>
      <w:bookmarkStart w:id="45" w:name="_Toc4231"/>
      <w:bookmarkStart w:id="46" w:name="_Toc26335"/>
      <w:bookmarkStart w:id="47" w:name="_Toc142986306"/>
      <w:r>
        <w:rPr>
          <w:rFonts w:hint="eastAsia" w:ascii="楷体_GB2312" w:hAnsi="黑体" w:eastAsia="楷体_GB2312"/>
          <w:b/>
          <w:bCs/>
          <w:sz w:val="32"/>
          <w:szCs w:val="32"/>
        </w:rPr>
        <w:t>基本原则</w:t>
      </w:r>
      <w:bookmarkEnd w:id="42"/>
      <w:bookmarkEnd w:id="43"/>
      <w:bookmarkEnd w:id="44"/>
      <w:bookmarkEnd w:id="45"/>
      <w:bookmarkEnd w:id="46"/>
      <w:bookmarkEnd w:id="47"/>
    </w:p>
    <w:p w14:paraId="05078707">
      <w:pPr>
        <w:spacing w:line="560" w:lineRule="exact"/>
        <w:ind w:firstLine="643" w:firstLineChars="200"/>
        <w:rPr>
          <w:rFonts w:ascii="仿宋_GB2312" w:hAnsi="黑体" w:eastAsia="仿宋_GB2312"/>
          <w:sz w:val="32"/>
          <w:szCs w:val="32"/>
        </w:rPr>
      </w:pPr>
      <w:r>
        <w:rPr>
          <w:rFonts w:hint="eastAsia" w:ascii="仿宋_GB2312" w:hAnsi="黑体" w:eastAsia="仿宋_GB2312"/>
          <w:b/>
          <w:bCs/>
          <w:sz w:val="32"/>
          <w:szCs w:val="32"/>
        </w:rPr>
        <w:t>系统布局，统筹推进</w:t>
      </w:r>
      <w:r>
        <w:rPr>
          <w:rFonts w:hint="eastAsia" w:ascii="仿宋_GB2312" w:hAnsi="黑体" w:eastAsia="仿宋_GB2312"/>
          <w:sz w:val="32"/>
          <w:szCs w:val="32"/>
        </w:rPr>
        <w:t>。全面对接省、市数字经济发展布局，建立健全党委领导、政府引导、市场主导、社会参与的高效协同工作机制，主动融入长江经济带、粤港澳大湾区等国家战略部署谋划兴国数字经济发展的新生态、新格局，构建公平规范、开放共赢的数字化发展新环境。积极引进整合国内外优质资源，加强技术、标准、人才合作，服务兴国数字经济发展。</w:t>
      </w:r>
    </w:p>
    <w:p w14:paraId="2DAE0D7E">
      <w:pPr>
        <w:spacing w:line="560" w:lineRule="exact"/>
        <w:ind w:firstLine="643" w:firstLineChars="200"/>
        <w:rPr>
          <w:rFonts w:ascii="仿宋_GB2312" w:hAnsi="黑体" w:eastAsia="仿宋_GB2312"/>
          <w:sz w:val="32"/>
          <w:szCs w:val="32"/>
        </w:rPr>
      </w:pPr>
      <w:r>
        <w:rPr>
          <w:rFonts w:hint="eastAsia" w:ascii="仿宋_GB2312" w:hAnsi="黑体" w:eastAsia="仿宋_GB2312"/>
          <w:b/>
          <w:bCs/>
          <w:sz w:val="32"/>
          <w:szCs w:val="32"/>
        </w:rPr>
        <w:t>融合发展，特色引领</w:t>
      </w:r>
      <w:r>
        <w:rPr>
          <w:rFonts w:hint="eastAsia" w:ascii="仿宋_GB2312" w:hAnsi="黑体" w:eastAsia="仿宋_GB2312"/>
          <w:sz w:val="32"/>
          <w:szCs w:val="32"/>
        </w:rPr>
        <w:t>。加强兴国特色、应用场景和模式创新研究，推动数字技术与“</w:t>
      </w:r>
      <w:r>
        <w:rPr>
          <w:rFonts w:ascii="仿宋_GB2312" w:hAnsi="黑体" w:eastAsia="仿宋_GB2312"/>
          <w:sz w:val="32"/>
          <w:szCs w:val="32"/>
        </w:rPr>
        <w:t>2+</w:t>
      </w:r>
      <w:r>
        <w:rPr>
          <w:rFonts w:hint="eastAsia" w:ascii="仿宋_GB2312" w:hAnsi="黑体" w:eastAsia="仿宋_GB2312"/>
          <w:sz w:val="32"/>
          <w:szCs w:val="32"/>
        </w:rPr>
        <w:t>1</w:t>
      </w:r>
      <w:r>
        <w:rPr>
          <w:rFonts w:ascii="仿宋_GB2312" w:hAnsi="黑体" w:eastAsia="仿宋_GB2312"/>
          <w:sz w:val="32"/>
          <w:szCs w:val="32"/>
        </w:rPr>
        <w:t>+N”产业深度融合发展，探索数字农业、数字旅游等新业态、新模式、新路径，谋划江西重要、全国知名的系列亮点智慧应用项目，以数字化推动质量变革、效率变革、动力变革。</w:t>
      </w:r>
    </w:p>
    <w:p w14:paraId="3F05EB5F">
      <w:pPr>
        <w:spacing w:line="560" w:lineRule="exact"/>
        <w:ind w:firstLine="643" w:firstLineChars="200"/>
        <w:rPr>
          <w:rFonts w:ascii="仿宋_GB2312" w:hAnsi="黑体" w:eastAsia="仿宋_GB2312"/>
          <w:sz w:val="32"/>
          <w:szCs w:val="32"/>
        </w:rPr>
      </w:pPr>
      <w:r>
        <w:rPr>
          <w:rFonts w:hint="eastAsia" w:ascii="仿宋_GB2312" w:hAnsi="黑体" w:eastAsia="仿宋_GB2312"/>
          <w:b/>
          <w:bCs/>
          <w:sz w:val="32"/>
          <w:szCs w:val="32"/>
        </w:rPr>
        <w:t>兴业惠民，协同高效</w:t>
      </w:r>
      <w:r>
        <w:rPr>
          <w:rFonts w:hint="eastAsia" w:ascii="仿宋_GB2312" w:hAnsi="黑体" w:eastAsia="仿宋_GB2312"/>
          <w:sz w:val="32"/>
          <w:szCs w:val="32"/>
        </w:rPr>
        <w:t>。坚持以人民为中心的发展理念，以便民、利企、强政为根本目标，以产业发展、区域治理、民生改善等各类场景应用需求为导向，深入推进数字政府建设，切实增强生产生活、社会治理和公共服务的精度和效能，让人民群众在数字化发展中有更多获得感、幸福感和安全感。</w:t>
      </w:r>
    </w:p>
    <w:p w14:paraId="42AC8ED5">
      <w:pPr>
        <w:spacing w:line="560" w:lineRule="exact"/>
        <w:ind w:firstLine="643" w:firstLineChars="200"/>
        <w:rPr>
          <w:rFonts w:ascii="仿宋_GB2312" w:hAnsi="黑体" w:eastAsia="仿宋_GB2312"/>
          <w:sz w:val="32"/>
          <w:szCs w:val="32"/>
        </w:rPr>
      </w:pPr>
      <w:r>
        <w:rPr>
          <w:rFonts w:hint="eastAsia" w:ascii="仿宋_GB2312" w:hAnsi="黑体" w:eastAsia="仿宋_GB2312"/>
          <w:b/>
          <w:bCs/>
          <w:sz w:val="32"/>
          <w:szCs w:val="32"/>
        </w:rPr>
        <w:t>完善基础，数据驱动</w:t>
      </w:r>
      <w:r>
        <w:rPr>
          <w:rFonts w:hint="eastAsia" w:ascii="仿宋_GB2312" w:hAnsi="黑体" w:eastAsia="仿宋_GB2312"/>
          <w:sz w:val="32"/>
          <w:szCs w:val="32"/>
        </w:rPr>
        <w:t>。构建泛在互联、融合智能、集约共享的新型基础设施，加强传统基础设施数字化、智能化改造，整体提升数字基础设施水平。有序推动数据分级分类开放共享，畅通数据资源大循环，发掘和释放数据要素价值，筑牢兴国县数字经济发展底座、激发数字经济发展活力。</w:t>
      </w:r>
    </w:p>
    <w:p w14:paraId="1288DD69">
      <w:pPr>
        <w:spacing w:line="560" w:lineRule="exact"/>
        <w:ind w:firstLine="643" w:firstLineChars="200"/>
        <w:rPr>
          <w:rFonts w:ascii="仿宋_GB2312" w:hAnsi="黑体" w:eastAsia="仿宋_GB2312"/>
          <w:sz w:val="32"/>
          <w:szCs w:val="32"/>
        </w:rPr>
      </w:pPr>
      <w:r>
        <w:rPr>
          <w:rFonts w:hint="eastAsia" w:ascii="仿宋_GB2312" w:hAnsi="黑体" w:eastAsia="仿宋_GB2312"/>
          <w:b/>
          <w:bCs/>
          <w:sz w:val="32"/>
          <w:szCs w:val="32"/>
        </w:rPr>
        <w:t>夯实安全，可信可控</w:t>
      </w:r>
      <w:r>
        <w:rPr>
          <w:rFonts w:hint="eastAsia" w:ascii="仿宋_GB2312" w:hAnsi="黑体" w:eastAsia="仿宋_GB2312"/>
          <w:sz w:val="32"/>
          <w:szCs w:val="32"/>
        </w:rPr>
        <w:t>。统筹发展与安全，建立健全网络安全、数据安全和个人信息安全保障体系，全方位提升安全防护能力，实现安全可控、可管、可信。</w:t>
      </w:r>
    </w:p>
    <w:p w14:paraId="52FE2ED2">
      <w:pPr>
        <w:pStyle w:val="24"/>
        <w:numPr>
          <w:ilvl w:val="0"/>
          <w:numId w:val="2"/>
        </w:numPr>
        <w:ind w:firstLineChars="0"/>
        <w:outlineLvl w:val="1"/>
        <w:rPr>
          <w:rFonts w:ascii="楷体_GB2312" w:hAnsi="黑体" w:eastAsia="楷体_GB2312"/>
          <w:b/>
          <w:bCs/>
          <w:sz w:val="32"/>
          <w:szCs w:val="32"/>
        </w:rPr>
      </w:pPr>
      <w:bookmarkStart w:id="48" w:name="_Toc142986307"/>
      <w:bookmarkEnd w:id="48"/>
      <w:bookmarkStart w:id="49" w:name="_Toc142986067"/>
      <w:bookmarkEnd w:id="49"/>
      <w:bookmarkStart w:id="50" w:name="_Toc147740936"/>
      <w:bookmarkStart w:id="51" w:name="_Toc16744"/>
      <w:bookmarkStart w:id="52" w:name="_Toc142986308"/>
      <w:bookmarkStart w:id="53" w:name="_Toc6209"/>
      <w:bookmarkStart w:id="54" w:name="_Toc15355"/>
      <w:bookmarkStart w:id="55" w:name="_Toc363"/>
      <w:r>
        <w:rPr>
          <w:rFonts w:hint="eastAsia" w:ascii="楷体_GB2312" w:hAnsi="黑体" w:eastAsia="楷体_GB2312"/>
          <w:b/>
          <w:bCs/>
          <w:sz w:val="32"/>
          <w:szCs w:val="32"/>
        </w:rPr>
        <w:t>发展目标</w:t>
      </w:r>
      <w:bookmarkEnd w:id="50"/>
      <w:bookmarkEnd w:id="51"/>
      <w:bookmarkEnd w:id="52"/>
      <w:bookmarkEnd w:id="53"/>
      <w:bookmarkEnd w:id="54"/>
      <w:bookmarkEnd w:id="55"/>
    </w:p>
    <w:p w14:paraId="5642923A">
      <w:pPr>
        <w:ind w:firstLine="640" w:firstLineChars="200"/>
        <w:rPr>
          <w:rFonts w:ascii="仿宋_GB2312" w:hAnsi="仿宋_GB2312" w:eastAsia="仿宋_GB2312" w:cs="仿宋_GB2312"/>
          <w:color w:val="000000"/>
          <w:sz w:val="32"/>
        </w:rPr>
      </w:pPr>
      <w:r>
        <w:rPr>
          <w:rFonts w:ascii="仿宋_GB2312" w:hAnsi="仿宋_GB2312" w:eastAsia="仿宋_GB2312" w:cs="仿宋_GB2312"/>
          <w:color w:val="000000"/>
          <w:sz w:val="32"/>
        </w:rPr>
        <w:t>到202</w:t>
      </w:r>
      <w:r>
        <w:rPr>
          <w:rFonts w:hint="eastAsia" w:ascii="仿宋_GB2312" w:hAnsi="仿宋_GB2312" w:eastAsia="仿宋_GB2312" w:cs="仿宋_GB2312"/>
          <w:color w:val="000000"/>
          <w:sz w:val="32"/>
        </w:rPr>
        <w:t>7</w:t>
      </w:r>
      <w:r>
        <w:rPr>
          <w:rFonts w:ascii="仿宋_GB2312" w:hAnsi="仿宋_GB2312" w:eastAsia="仿宋_GB2312" w:cs="仿宋_GB2312"/>
          <w:color w:val="000000"/>
          <w:sz w:val="32"/>
        </w:rPr>
        <w:t>年，数字经济成为</w:t>
      </w:r>
      <w:r>
        <w:rPr>
          <w:rFonts w:hint="eastAsia" w:ascii="仿宋_GB2312" w:hAnsi="仿宋_GB2312" w:eastAsia="仿宋_GB2312" w:cs="仿宋_GB2312"/>
          <w:color w:val="000000"/>
          <w:sz w:val="32"/>
        </w:rPr>
        <w:t>兴国</w:t>
      </w:r>
      <w:r>
        <w:rPr>
          <w:rFonts w:ascii="仿宋_GB2312" w:hAnsi="仿宋_GB2312" w:eastAsia="仿宋_GB2312" w:cs="仿宋_GB2312"/>
          <w:color w:val="000000"/>
          <w:sz w:val="32"/>
        </w:rPr>
        <w:t>经济发展新引擎，数字经济核心产业进一步壮大，数字技术赋能</w:t>
      </w:r>
      <w:r>
        <w:rPr>
          <w:rFonts w:hint="eastAsia" w:ascii="仿宋_GB2312" w:hAnsi="仿宋_GB2312" w:eastAsia="仿宋_GB2312" w:cs="仿宋_GB2312"/>
          <w:color w:val="000000"/>
          <w:sz w:val="32"/>
        </w:rPr>
        <w:t>兴国</w:t>
      </w:r>
      <w:r>
        <w:rPr>
          <w:rFonts w:ascii="仿宋_GB2312" w:hAnsi="仿宋_GB2312" w:eastAsia="仿宋_GB2312" w:cs="仿宋_GB2312"/>
          <w:color w:val="000000"/>
          <w:sz w:val="32"/>
        </w:rPr>
        <w:t>经济社会转型升级的成效全面显现，数字基础支撑能力全面提升，数字政府运行效能显著优化，数字社会服务模式创新升级，</w:t>
      </w:r>
      <w:r>
        <w:rPr>
          <w:rFonts w:hint="eastAsia" w:ascii="仿宋_GB2312" w:hAnsi="仿宋_GB2312" w:eastAsia="仿宋_GB2312" w:cs="仿宋_GB2312"/>
          <w:color w:val="000000"/>
          <w:sz w:val="32"/>
        </w:rPr>
        <w:t>基本建成增速更增势、量增质更优、群众高度认可、治理效能提升的数字经济“模范兴国”，力争成为全国革命老区数字经济高质量跨越式发展示范区域和中部领先、全省一流的数字经济创新发展区域。</w:t>
      </w:r>
    </w:p>
    <w:p w14:paraId="73C1CF82">
      <w:pPr>
        <w:ind w:firstLine="643" w:firstLineChars="200"/>
        <w:rPr>
          <w:rFonts w:ascii="仿宋_GB2312" w:hAnsi="仿宋_GB2312" w:eastAsia="仿宋_GB2312" w:cs="仿宋_GB2312"/>
          <w:sz w:val="32"/>
        </w:rPr>
      </w:pPr>
      <w:r>
        <w:rPr>
          <w:rFonts w:ascii="仿宋_GB2312" w:hAnsi="仿宋_GB2312" w:eastAsia="仿宋_GB2312" w:cs="仿宋_GB2312"/>
          <w:b/>
          <w:color w:val="000000"/>
          <w:sz w:val="32"/>
        </w:rPr>
        <w:t>数字基础设施支撑有力。</w:t>
      </w:r>
      <w:r>
        <w:rPr>
          <w:rFonts w:hint="eastAsia" w:ascii="仿宋_GB2312" w:hAnsi="仿宋_GB2312" w:eastAsia="仿宋_GB2312" w:cs="仿宋_GB2312"/>
          <w:sz w:val="32"/>
        </w:rPr>
        <w:t>到2027年，全县数据中心布局科学、绿色低碳、赋能高效，打造并持续深化“数治兴国”等人工智能行业应用平台，智慧城市融合基础设施快速发展，建成5G基站1100个以上，</w:t>
      </w:r>
      <w:r>
        <w:rPr>
          <w:rFonts w:hint="eastAsia" w:ascii="仿宋_GB2312" w:eastAsia="仿宋_GB2312" w:cs="仿宋_GB2312"/>
          <w:sz w:val="31"/>
          <w:szCs w:val="31"/>
        </w:rPr>
        <w:t>5G网络、千兆宽带、NB-IoT网络</w:t>
      </w:r>
      <w:r>
        <w:rPr>
          <w:rFonts w:hint="eastAsia" w:ascii="仿宋_GB2312" w:hAnsi="仿宋_GB2312" w:eastAsia="仿宋_GB2312" w:cs="仿宋_GB2312"/>
          <w:sz w:val="32"/>
        </w:rPr>
        <w:t>实现全县城区、行政村和重点应用场景全面覆盖，打造赣南数字基础设施标杆。</w:t>
      </w:r>
    </w:p>
    <w:p w14:paraId="02E68D59">
      <w:pPr>
        <w:ind w:firstLine="643" w:firstLineChars="200"/>
        <w:rPr>
          <w:rFonts w:ascii="仿宋_GB2312" w:hAnsi="仿宋_GB2312" w:eastAsia="仿宋_GB2312" w:cs="仿宋_GB2312"/>
          <w:color w:val="000000"/>
          <w:sz w:val="32"/>
        </w:rPr>
      </w:pPr>
      <w:r>
        <w:rPr>
          <w:rFonts w:ascii="仿宋_GB2312" w:hAnsi="仿宋_GB2312" w:eastAsia="仿宋_GB2312" w:cs="仿宋_GB2312"/>
          <w:b/>
          <w:color w:val="000000"/>
          <w:sz w:val="32"/>
        </w:rPr>
        <w:t>数字产业竞争力不断提升。</w:t>
      </w:r>
      <w:r>
        <w:rPr>
          <w:rFonts w:ascii="仿宋_GB2312" w:hAnsi="仿宋_GB2312" w:eastAsia="仿宋_GB2312" w:cs="仿宋_GB2312"/>
          <w:color w:val="000000"/>
          <w:sz w:val="32"/>
        </w:rPr>
        <w:t>到202</w:t>
      </w:r>
      <w:r>
        <w:rPr>
          <w:rFonts w:hint="eastAsia" w:ascii="仿宋_GB2312" w:hAnsi="仿宋_GB2312" w:eastAsia="仿宋_GB2312" w:cs="仿宋_GB2312"/>
          <w:color w:val="000000"/>
          <w:sz w:val="32"/>
        </w:rPr>
        <w:t>7</w:t>
      </w:r>
      <w:r>
        <w:rPr>
          <w:rFonts w:ascii="仿宋_GB2312" w:hAnsi="仿宋_GB2312" w:eastAsia="仿宋_GB2312" w:cs="仿宋_GB2312"/>
          <w:color w:val="000000"/>
          <w:sz w:val="32"/>
        </w:rPr>
        <w:t>年，</w:t>
      </w:r>
      <w:r>
        <w:rPr>
          <w:rFonts w:hint="eastAsia" w:ascii="仿宋_GB2312" w:hAnsi="仿宋_GB2312" w:eastAsia="仿宋_GB2312" w:cs="仿宋_GB2312"/>
          <w:color w:val="000000"/>
          <w:sz w:val="32"/>
        </w:rPr>
        <w:t>数字经济核心产业增加值占全县GDP比重达到10%以上，数字经济核心产业企业数突破60家，新增省级工程研究中心数量达</w:t>
      </w:r>
      <w:r>
        <w:rPr>
          <w:rFonts w:hint="eastAsia" w:ascii="仿宋_GB2312" w:hAnsi="仿宋_GB2312" w:eastAsia="仿宋_GB2312" w:cs="仿宋_GB2312"/>
          <w:color w:val="000000"/>
          <w:sz w:val="32"/>
          <w:lang w:val="en-US" w:eastAsia="zh-CN"/>
        </w:rPr>
        <w:t>2</w:t>
      </w:r>
      <w:r>
        <w:rPr>
          <w:rFonts w:hint="eastAsia" w:ascii="仿宋_GB2312" w:hAnsi="仿宋_GB2312" w:eastAsia="仿宋_GB2312" w:cs="仿宋_GB2312"/>
          <w:color w:val="000000"/>
          <w:sz w:val="32"/>
        </w:rPr>
        <w:t>个，软件产业规模突破</w:t>
      </w:r>
      <w:r>
        <w:rPr>
          <w:rFonts w:hint="eastAsia" w:ascii="仿宋_GB2312" w:hAnsi="仿宋_GB2312" w:eastAsia="仿宋_GB2312" w:cs="仿宋_GB2312"/>
          <w:color w:val="000000"/>
          <w:sz w:val="32"/>
          <w:highlight w:val="none"/>
          <w:lang w:eastAsia="zh-CN"/>
        </w:rPr>
        <w:t>3</w:t>
      </w:r>
      <w:r>
        <w:rPr>
          <w:rFonts w:hint="eastAsia" w:ascii="仿宋_GB2312" w:hAnsi="仿宋_GB2312" w:eastAsia="仿宋_GB2312" w:cs="仿宋_GB2312"/>
          <w:color w:val="000000"/>
          <w:sz w:val="32"/>
          <w:highlight w:val="none"/>
          <w:lang w:val="en-US" w:eastAsia="zh-CN"/>
        </w:rPr>
        <w:t>000</w:t>
      </w:r>
      <w:r>
        <w:rPr>
          <w:rFonts w:hint="eastAsia" w:ascii="仿宋_GB2312" w:hAnsi="仿宋_GB2312" w:eastAsia="仿宋_GB2312" w:cs="仿宋_GB2312"/>
          <w:color w:val="000000"/>
          <w:sz w:val="32"/>
        </w:rPr>
        <w:t>万元，积极承接粤港澳大湾区、长三角、</w:t>
      </w:r>
      <w:r>
        <w:rPr>
          <w:rFonts w:hint="eastAsia" w:ascii="仿宋_GB2312" w:hAnsi="仿宋_GB2312" w:eastAsia="仿宋_GB2312" w:cs="仿宋_GB2312"/>
          <w:bCs/>
          <w:color w:val="000000"/>
          <w:sz w:val="32"/>
        </w:rPr>
        <w:t>海西经济区等地区产业转移，引进一批高成长性的数字经济企业和项目，</w:t>
      </w:r>
      <w:r>
        <w:rPr>
          <w:rFonts w:hint="eastAsia" w:ascii="仿宋_GB2312" w:hAnsi="仿宋_GB2312" w:eastAsia="仿宋_GB2312" w:cs="仿宋_GB2312"/>
          <w:color w:val="000000"/>
          <w:sz w:val="32"/>
        </w:rPr>
        <w:t>初步形成5G、物联网、数字文旅和线上经济等一批</w:t>
      </w:r>
      <w:r>
        <w:rPr>
          <w:rFonts w:ascii="仿宋_GB2312" w:hAnsi="仿宋_GB2312" w:eastAsia="仿宋_GB2312" w:cs="仿宋_GB2312"/>
          <w:color w:val="000000"/>
          <w:sz w:val="32"/>
        </w:rPr>
        <w:t>具有区域竞争力的</w:t>
      </w:r>
      <w:r>
        <w:rPr>
          <w:rFonts w:hint="eastAsia" w:ascii="仿宋_GB2312" w:hAnsi="仿宋_GB2312" w:eastAsia="仿宋_GB2312" w:cs="仿宋_GB2312"/>
          <w:color w:val="000000"/>
          <w:sz w:val="32"/>
        </w:rPr>
        <w:t>细分领域产业集群。</w:t>
      </w:r>
    </w:p>
    <w:p w14:paraId="7B7DC8A4">
      <w:pPr>
        <w:ind w:firstLine="643" w:firstLineChars="200"/>
        <w:rPr>
          <w:rFonts w:ascii="仿宋_GB2312" w:hAnsi="仿宋_GB2312" w:eastAsia="仿宋_GB2312" w:cs="仿宋_GB2312"/>
          <w:b/>
          <w:color w:val="000000"/>
          <w:sz w:val="32"/>
        </w:rPr>
      </w:pPr>
      <w:r>
        <w:rPr>
          <w:rFonts w:ascii="仿宋_GB2312" w:hAnsi="仿宋_GB2312" w:eastAsia="仿宋_GB2312" w:cs="仿宋_GB2312"/>
          <w:b/>
          <w:color w:val="000000"/>
          <w:sz w:val="32"/>
        </w:rPr>
        <w:t>产业数字化转型成效显著。</w:t>
      </w:r>
      <w:r>
        <w:rPr>
          <w:rFonts w:ascii="仿宋_GB2312" w:hAnsi="仿宋_GB2312" w:eastAsia="仿宋_GB2312" w:cs="仿宋_GB2312"/>
          <w:color w:val="000000"/>
          <w:sz w:val="32"/>
        </w:rPr>
        <w:t>到202</w:t>
      </w:r>
      <w:r>
        <w:rPr>
          <w:rFonts w:hint="eastAsia" w:ascii="仿宋_GB2312" w:hAnsi="仿宋_GB2312" w:eastAsia="仿宋_GB2312" w:cs="仿宋_GB2312"/>
          <w:color w:val="000000"/>
          <w:sz w:val="32"/>
        </w:rPr>
        <w:t>7</w:t>
      </w:r>
      <w:r>
        <w:rPr>
          <w:rFonts w:ascii="仿宋_GB2312" w:hAnsi="仿宋_GB2312" w:eastAsia="仿宋_GB2312" w:cs="仿宋_GB2312"/>
          <w:color w:val="000000"/>
          <w:sz w:val="32"/>
        </w:rPr>
        <w:t>年，实现数字技术在第一、二、三产业中</w:t>
      </w:r>
      <w:r>
        <w:rPr>
          <w:rFonts w:hint="eastAsia" w:ascii="仿宋_GB2312" w:hAnsi="仿宋_GB2312" w:eastAsia="仿宋_GB2312" w:cs="仿宋_GB2312"/>
          <w:color w:val="000000"/>
          <w:sz w:val="32"/>
        </w:rPr>
        <w:t>的</w:t>
      </w:r>
      <w:r>
        <w:rPr>
          <w:rFonts w:ascii="仿宋_GB2312" w:hAnsi="仿宋_GB2312" w:eastAsia="仿宋_GB2312" w:cs="仿宋_GB2312"/>
          <w:color w:val="000000"/>
          <w:sz w:val="32"/>
        </w:rPr>
        <w:t>广泛应用与深度融合</w:t>
      </w:r>
      <w:r>
        <w:rPr>
          <w:rFonts w:hint="eastAsia" w:ascii="仿宋_GB2312" w:hAnsi="仿宋_GB2312" w:eastAsia="仿宋_GB2312" w:cs="仿宋_GB2312"/>
          <w:color w:val="000000"/>
          <w:sz w:val="32"/>
        </w:rPr>
        <w:t>，</w:t>
      </w:r>
      <w:r>
        <w:rPr>
          <w:rFonts w:hint="eastAsia" w:ascii="仿宋_GB2312" w:hAnsi="仿宋_GB2312" w:eastAsia="仿宋_GB2312" w:cs="仿宋_GB2312"/>
          <w:color w:val="000000"/>
          <w:sz w:val="32"/>
          <w:lang w:val="en-US" w:eastAsia="zh-CN"/>
        </w:rPr>
        <w:t>规模以上工业</w:t>
      </w:r>
      <w:r>
        <w:rPr>
          <w:rFonts w:hint="eastAsia" w:ascii="仿宋_GB2312" w:hAnsi="仿宋_GB2312" w:eastAsia="仿宋_GB2312" w:cs="仿宋_GB2312"/>
          <w:color w:val="000000"/>
          <w:sz w:val="32"/>
        </w:rPr>
        <w:t>企业上云率达</w:t>
      </w:r>
      <w:r>
        <w:rPr>
          <w:rFonts w:ascii="仿宋_GB2312" w:hAnsi="仿宋_GB2312" w:eastAsia="仿宋_GB2312" w:cs="仿宋_GB2312"/>
          <w:color w:val="000000"/>
          <w:sz w:val="32"/>
        </w:rPr>
        <w:t>100%</w:t>
      </w:r>
      <w:r>
        <w:rPr>
          <w:rFonts w:hint="eastAsia" w:ascii="仿宋_GB2312" w:hAnsi="仿宋_GB2312" w:eastAsia="仿宋_GB2312" w:cs="仿宋_GB2312"/>
          <w:color w:val="000000"/>
          <w:sz w:val="32"/>
        </w:rPr>
        <w:t>，两化融合示范企业数量达到</w:t>
      </w:r>
      <w:r>
        <w:rPr>
          <w:rFonts w:hint="eastAsia" w:ascii="仿宋_GB2312" w:hAnsi="仿宋_GB2312" w:eastAsia="仿宋_GB2312" w:cs="仿宋_GB2312"/>
          <w:color w:val="000000"/>
          <w:sz w:val="32"/>
          <w:highlight w:val="none"/>
          <w:lang w:eastAsia="zh-CN"/>
        </w:rPr>
        <w:t>1</w:t>
      </w:r>
      <w:r>
        <w:rPr>
          <w:rFonts w:hint="eastAsia" w:ascii="仿宋_GB2312" w:hAnsi="仿宋_GB2312" w:eastAsia="仿宋_GB2312" w:cs="仿宋_GB2312"/>
          <w:color w:val="000000"/>
          <w:sz w:val="32"/>
          <w:highlight w:val="none"/>
          <w:lang w:val="en-US" w:eastAsia="zh-CN"/>
        </w:rPr>
        <w:t>5</w:t>
      </w:r>
      <w:r>
        <w:rPr>
          <w:rFonts w:hint="eastAsia" w:ascii="仿宋_GB2312" w:hAnsi="仿宋_GB2312" w:eastAsia="仿宋_GB2312" w:cs="仿宋_GB2312"/>
          <w:color w:val="000000"/>
          <w:sz w:val="32"/>
        </w:rPr>
        <w:t>个，</w:t>
      </w:r>
      <w:r>
        <w:rPr>
          <w:rFonts w:hint="eastAsia" w:ascii="仿宋_GB2312" w:hAnsi="仿宋_GB2312" w:eastAsia="仿宋_GB2312" w:cs="仿宋_GB2312"/>
          <w:color w:val="000000"/>
          <w:sz w:val="32"/>
          <w:lang w:val="en-US" w:eastAsia="zh-CN"/>
        </w:rPr>
        <w:t>力争运用</w:t>
      </w:r>
      <w:r>
        <w:rPr>
          <w:rFonts w:hint="eastAsia" w:ascii="仿宋_GB2312" w:hAnsi="仿宋_GB2312" w:eastAsia="仿宋_GB2312" w:cs="仿宋_GB2312"/>
          <w:color w:val="000000"/>
          <w:sz w:val="32"/>
        </w:rPr>
        <w:t>数字化转型</w:t>
      </w:r>
      <w:r>
        <w:rPr>
          <w:rFonts w:hint="eastAsia" w:ascii="仿宋_GB2312" w:hAnsi="仿宋_GB2312" w:eastAsia="仿宋_GB2312" w:cs="仿宋_GB2312"/>
          <w:color w:val="000000"/>
          <w:sz w:val="32"/>
          <w:lang w:eastAsia="zh-CN"/>
        </w:rPr>
        <w:t>的</w:t>
      </w:r>
      <w:r>
        <w:rPr>
          <w:rFonts w:hint="eastAsia" w:ascii="仿宋_GB2312" w:hAnsi="仿宋_GB2312" w:eastAsia="仿宋_GB2312" w:cs="仿宋_GB2312"/>
          <w:color w:val="000000"/>
          <w:sz w:val="32"/>
        </w:rPr>
        <w:t>工业企业100家以上</w:t>
      </w:r>
      <w:r>
        <w:rPr>
          <w:rFonts w:ascii="仿宋_GB2312" w:hAnsi="仿宋_GB2312" w:eastAsia="仿宋_GB2312" w:cs="仿宋_GB2312"/>
          <w:color w:val="000000"/>
          <w:sz w:val="32"/>
        </w:rPr>
        <w:t>，</w:t>
      </w:r>
      <w:r>
        <w:rPr>
          <w:rFonts w:hint="eastAsia" w:ascii="仿宋_GB2312" w:eastAsia="仿宋_GB2312" w:cs="仿宋_GB2312"/>
          <w:sz w:val="31"/>
          <w:szCs w:val="31"/>
        </w:rPr>
        <w:t>培育10个以上升级版智能工厂、数字车间，建成1个以上工业互联网标识解析</w:t>
      </w:r>
      <w:r>
        <w:rPr>
          <w:rFonts w:hint="eastAsia" w:ascii="仿宋_GB2312" w:eastAsia="仿宋_GB2312" w:cs="仿宋_GB2312"/>
          <w:sz w:val="31"/>
          <w:szCs w:val="31"/>
          <w:lang w:val="en-US" w:eastAsia="zh-CN"/>
        </w:rPr>
        <w:t>应用服务平台</w:t>
      </w:r>
      <w:r>
        <w:rPr>
          <w:rFonts w:hint="eastAsia" w:ascii="仿宋_GB2312" w:eastAsia="仿宋_GB2312" w:cs="仿宋_GB2312"/>
          <w:sz w:val="31"/>
          <w:szCs w:val="31"/>
        </w:rPr>
        <w:t>，</w:t>
      </w:r>
      <w:r>
        <w:rPr>
          <w:rFonts w:hint="eastAsia" w:ascii="仿宋_GB2312" w:eastAsia="仿宋_GB2312" w:cs="仿宋_GB2312"/>
          <w:sz w:val="31"/>
          <w:szCs w:val="31"/>
          <w:lang w:val="en-US" w:eastAsia="zh-CN"/>
        </w:rPr>
        <w:t>建成1</w:t>
      </w:r>
      <w:r>
        <w:rPr>
          <w:rFonts w:hint="eastAsia" w:ascii="仿宋_GB2312" w:eastAsia="仿宋_GB2312" w:cs="仿宋_GB2312"/>
          <w:sz w:val="31"/>
          <w:szCs w:val="31"/>
        </w:rPr>
        <w:t>个以上涵盖优质产业的行业级工业互联网平台，</w:t>
      </w:r>
      <w:r>
        <w:rPr>
          <w:rFonts w:ascii="仿宋_GB2312" w:hAnsi="仿宋_GB2312" w:eastAsia="仿宋_GB2312" w:cs="仿宋_GB2312"/>
          <w:color w:val="000000"/>
          <w:sz w:val="32"/>
        </w:rPr>
        <w:t>省级农业物联网示范基地</w:t>
      </w:r>
      <w:r>
        <w:rPr>
          <w:rFonts w:hint="eastAsia" w:ascii="仿宋_GB2312" w:hAnsi="仿宋_GB2312" w:eastAsia="仿宋_GB2312" w:cs="仿宋_GB2312"/>
          <w:color w:val="000000"/>
          <w:sz w:val="32"/>
        </w:rPr>
        <w:t>突破10个</w:t>
      </w:r>
      <w:r>
        <w:rPr>
          <w:rFonts w:ascii="仿宋_GB2312" w:hAnsi="仿宋_GB2312" w:eastAsia="仿宋_GB2312" w:cs="仿宋_GB2312"/>
          <w:color w:val="000000"/>
          <w:sz w:val="32"/>
        </w:rPr>
        <w:t>，</w:t>
      </w:r>
      <w:r>
        <w:rPr>
          <w:rFonts w:hint="eastAsia" w:ascii="仿宋_GB2312" w:hAnsi="仿宋_GB2312" w:eastAsia="仿宋_GB2312" w:cs="仿宋_GB2312"/>
          <w:color w:val="000000"/>
          <w:sz w:val="32"/>
        </w:rPr>
        <w:t>省级数字乡村优秀创新案例数量</w:t>
      </w:r>
      <w:r>
        <w:rPr>
          <w:rFonts w:ascii="仿宋_GB2312" w:hAnsi="仿宋_GB2312" w:eastAsia="仿宋_GB2312" w:cs="仿宋_GB2312"/>
          <w:color w:val="000000"/>
          <w:sz w:val="32"/>
        </w:rPr>
        <w:t>2</w:t>
      </w:r>
      <w:r>
        <w:rPr>
          <w:rFonts w:hint="eastAsia" w:ascii="仿宋_GB2312" w:hAnsi="仿宋_GB2312" w:eastAsia="仿宋_GB2312" w:cs="仿宋_GB2312"/>
          <w:color w:val="000000"/>
          <w:sz w:val="32"/>
        </w:rPr>
        <w:t>个，创建省级以上电子商务示范基地</w:t>
      </w:r>
      <w:r>
        <w:rPr>
          <w:rFonts w:ascii="仿宋_GB2312" w:hAnsi="仿宋_GB2312" w:eastAsia="仿宋_GB2312" w:cs="仿宋_GB2312"/>
          <w:color w:val="000000"/>
          <w:sz w:val="32"/>
        </w:rPr>
        <w:t>1</w:t>
      </w:r>
      <w:r>
        <w:rPr>
          <w:rFonts w:hint="eastAsia" w:ascii="仿宋_GB2312" w:eastAsia="仿宋_GB2312" w:cs="仿宋_GB2312"/>
          <w:sz w:val="31"/>
          <w:szCs w:val="31"/>
        </w:rPr>
        <w:t>家、电子商务示范企业</w:t>
      </w:r>
      <w:r>
        <w:rPr>
          <w:rFonts w:hint="eastAsia" w:ascii="仿宋_GB2312" w:eastAsia="仿宋_GB2312" w:cs="仿宋_GB2312"/>
          <w:sz w:val="31"/>
          <w:szCs w:val="31"/>
          <w:lang w:val="en-US" w:eastAsia="zh-CN"/>
        </w:rPr>
        <w:t>5</w:t>
      </w:r>
      <w:r>
        <w:rPr>
          <w:rFonts w:hint="eastAsia" w:ascii="仿宋_GB2312" w:eastAsia="仿宋_GB2312" w:cs="仿宋_GB2312"/>
          <w:sz w:val="31"/>
          <w:szCs w:val="31"/>
        </w:rPr>
        <w:t>家，网络零售额突破</w:t>
      </w:r>
      <w:r>
        <w:rPr>
          <w:rFonts w:hint="eastAsia" w:ascii="仿宋_GB2312" w:eastAsia="仿宋_GB2312" w:cs="仿宋_GB2312"/>
          <w:sz w:val="31"/>
          <w:szCs w:val="31"/>
          <w:lang w:val="en-US" w:eastAsia="zh-CN"/>
        </w:rPr>
        <w:t>15</w:t>
      </w:r>
      <w:r>
        <w:rPr>
          <w:rFonts w:hint="eastAsia" w:ascii="仿宋_GB2312" w:eastAsia="仿宋_GB2312" w:cs="仿宋_GB2312"/>
          <w:sz w:val="31"/>
          <w:szCs w:val="31"/>
        </w:rPr>
        <w:t>亿元。</w:t>
      </w:r>
    </w:p>
    <w:p w14:paraId="5D33E201">
      <w:pPr>
        <w:ind w:firstLine="643" w:firstLineChars="200"/>
        <w:rPr>
          <w:rFonts w:ascii="仿宋_GB2312" w:hAnsi="仿宋_GB2312" w:eastAsia="仿宋_GB2312" w:cs="仿宋_GB2312"/>
          <w:color w:val="000000"/>
          <w:sz w:val="32"/>
        </w:rPr>
      </w:pPr>
      <w:r>
        <w:rPr>
          <w:rFonts w:hint="eastAsia" w:ascii="仿宋_GB2312" w:hAnsi="仿宋_GB2312" w:eastAsia="仿宋_GB2312" w:cs="仿宋_GB2312"/>
          <w:b/>
          <w:bCs/>
          <w:color w:val="000000"/>
          <w:sz w:val="32"/>
        </w:rPr>
        <w:t>数字化公共服务能力显著增强。</w:t>
      </w:r>
      <w:r>
        <w:rPr>
          <w:rFonts w:hint="eastAsia" w:ascii="仿宋_GB2312" w:hAnsi="仿宋_GB2312" w:eastAsia="仿宋_GB2312" w:cs="仿宋_GB2312"/>
          <w:color w:val="000000"/>
          <w:sz w:val="32"/>
        </w:rPr>
        <w:t>到2027年，数字政府建设成效显著，“赣服通”“赣政通”兴国分厅功能大幅拓展完善，赣服通查询办理率和赣政通高质量代办使用率均达</w:t>
      </w:r>
      <w:r>
        <w:rPr>
          <w:rFonts w:ascii="仿宋_GB2312" w:hAnsi="仿宋_GB2312" w:eastAsia="仿宋_GB2312" w:cs="仿宋_GB2312"/>
          <w:color w:val="000000"/>
          <w:sz w:val="32"/>
        </w:rPr>
        <w:t>100%</w:t>
      </w:r>
      <w:r>
        <w:rPr>
          <w:rFonts w:hint="eastAsia" w:ascii="仿宋_GB2312" w:hAnsi="仿宋_GB2312" w:eastAsia="仿宋_GB2312" w:cs="仿宋_GB2312"/>
          <w:color w:val="000000"/>
          <w:sz w:val="32"/>
        </w:rPr>
        <w:t>，本地数据目录挂接完成率达</w:t>
      </w:r>
      <w:r>
        <w:rPr>
          <w:rFonts w:hint="eastAsia" w:ascii="仿宋_GB2312" w:hAnsi="仿宋_GB2312" w:eastAsia="仿宋_GB2312" w:cs="仿宋_GB2312"/>
          <w:color w:val="000000"/>
          <w:sz w:val="32"/>
          <w:highlight w:val="none"/>
          <w:lang w:eastAsia="zh-CN"/>
        </w:rPr>
        <w:t>1</w:t>
      </w:r>
      <w:r>
        <w:rPr>
          <w:rFonts w:hint="eastAsia" w:ascii="仿宋_GB2312" w:hAnsi="仿宋_GB2312" w:eastAsia="仿宋_GB2312" w:cs="仿宋_GB2312"/>
          <w:color w:val="000000"/>
          <w:sz w:val="32"/>
          <w:highlight w:val="none"/>
          <w:lang w:val="en-US" w:eastAsia="zh-CN"/>
        </w:rPr>
        <w:t>00</w:t>
      </w:r>
      <w:r>
        <w:rPr>
          <w:rFonts w:ascii="仿宋_GB2312" w:hAnsi="仿宋_GB2312" w:eastAsia="仿宋_GB2312" w:cs="仿宋_GB2312"/>
          <w:color w:val="000000"/>
          <w:sz w:val="32"/>
        </w:rPr>
        <w:t>%</w:t>
      </w:r>
      <w:r>
        <w:rPr>
          <w:rFonts w:hint="eastAsia" w:ascii="仿宋_GB2312" w:hAnsi="仿宋_GB2312" w:eastAsia="仿宋_GB2312" w:cs="仿宋_GB2312"/>
          <w:color w:val="000000"/>
          <w:sz w:val="32"/>
        </w:rPr>
        <w:t>，新型智慧城市和“城市大脑”基本建成，高质量打造政务服务“一网通办”、城市运行“一网统管”、社会诉求“一键回应”等精细化治理场景，形成智慧交通、智慧水利、智慧能源、智慧物流等一批典型应用，政府为民服务、社会治理和赋能产业的体制机制更加完善，智慧养老示范机构数量达</w:t>
      </w:r>
      <w:r>
        <w:rPr>
          <w:rFonts w:ascii="仿宋_GB2312" w:hAnsi="仿宋_GB2312" w:eastAsia="仿宋_GB2312" w:cs="仿宋_GB2312"/>
          <w:color w:val="000000"/>
          <w:sz w:val="32"/>
        </w:rPr>
        <w:t>50</w:t>
      </w:r>
      <w:r>
        <w:rPr>
          <w:rFonts w:hint="eastAsia" w:ascii="仿宋_GB2312" w:hAnsi="仿宋_GB2312" w:eastAsia="仿宋_GB2312" w:cs="仿宋_GB2312"/>
          <w:color w:val="000000"/>
          <w:sz w:val="32"/>
        </w:rPr>
        <w:t>家，智慧教育平台使用情况达</w:t>
      </w:r>
      <w:r>
        <w:rPr>
          <w:rFonts w:ascii="仿宋_GB2312" w:hAnsi="仿宋_GB2312" w:eastAsia="仿宋_GB2312" w:cs="仿宋_GB2312"/>
          <w:color w:val="000000"/>
          <w:sz w:val="32"/>
        </w:rPr>
        <w:t>100%</w:t>
      </w:r>
      <w:r>
        <w:rPr>
          <w:rFonts w:hint="eastAsia" w:ascii="仿宋_GB2312" w:hAnsi="仿宋_GB2312" w:eastAsia="仿宋_GB2312" w:cs="仿宋_GB2312"/>
          <w:color w:val="000000"/>
          <w:sz w:val="32"/>
        </w:rPr>
        <w:t>。</w:t>
      </w:r>
    </w:p>
    <w:p w14:paraId="3F811504">
      <w:pPr>
        <w:ind w:firstLine="643" w:firstLineChars="200"/>
        <w:rPr>
          <w:rFonts w:ascii="仿宋_GB2312" w:hAnsi="仿宋_GB2312" w:eastAsia="仿宋_GB2312" w:cs="仿宋_GB2312"/>
          <w:color w:val="000000"/>
          <w:sz w:val="32"/>
        </w:rPr>
      </w:pPr>
      <w:r>
        <w:rPr>
          <w:rFonts w:ascii="仿宋_GB2312" w:hAnsi="仿宋_GB2312" w:eastAsia="仿宋_GB2312" w:cs="仿宋_GB2312"/>
          <w:b/>
          <w:color w:val="000000"/>
          <w:sz w:val="32"/>
        </w:rPr>
        <w:t>数字</w:t>
      </w:r>
      <w:r>
        <w:rPr>
          <w:rFonts w:hint="eastAsia" w:ascii="仿宋_GB2312" w:hAnsi="仿宋_GB2312" w:eastAsia="仿宋_GB2312" w:cs="仿宋_GB2312"/>
          <w:b/>
          <w:color w:val="000000"/>
          <w:sz w:val="32"/>
        </w:rPr>
        <w:t>经济</w:t>
      </w:r>
      <w:r>
        <w:rPr>
          <w:rFonts w:ascii="仿宋_GB2312" w:hAnsi="仿宋_GB2312" w:eastAsia="仿宋_GB2312" w:cs="仿宋_GB2312"/>
          <w:b/>
          <w:color w:val="000000"/>
          <w:sz w:val="32"/>
        </w:rPr>
        <w:t>治理能力提档升级。</w:t>
      </w:r>
      <w:r>
        <w:rPr>
          <w:rFonts w:ascii="仿宋_GB2312" w:hAnsi="仿宋_GB2312" w:eastAsia="仿宋_GB2312" w:cs="仿宋_GB2312"/>
          <w:color w:val="000000"/>
          <w:sz w:val="32"/>
        </w:rPr>
        <w:t>到202</w:t>
      </w:r>
      <w:r>
        <w:rPr>
          <w:rFonts w:hint="eastAsia" w:ascii="仿宋_GB2312" w:hAnsi="仿宋_GB2312" w:eastAsia="仿宋_GB2312" w:cs="仿宋_GB2312"/>
          <w:color w:val="000000"/>
          <w:sz w:val="32"/>
        </w:rPr>
        <w:t>7</w:t>
      </w:r>
      <w:r>
        <w:rPr>
          <w:rFonts w:ascii="仿宋_GB2312" w:hAnsi="仿宋_GB2312" w:eastAsia="仿宋_GB2312" w:cs="仿宋_GB2312"/>
          <w:color w:val="000000"/>
          <w:sz w:val="32"/>
        </w:rPr>
        <w:t>年，</w:t>
      </w:r>
      <w:r>
        <w:rPr>
          <w:rFonts w:hint="eastAsia" w:ascii="仿宋_GB2312" w:hAnsi="仿宋_GB2312" w:eastAsia="仿宋_GB2312" w:cs="仿宋_GB2312"/>
          <w:color w:val="000000"/>
          <w:sz w:val="32"/>
        </w:rPr>
        <w:t>数字经济治理框架和规则制度基本建立，政府数字化监管能力显著增强，政府主导、多元参与、法治保障的数字经济治理格局基本形成，数字营商环境更加完善，基本构建适应数字经济发展的良好生态。</w:t>
      </w:r>
    </w:p>
    <w:p w14:paraId="0EAC9288">
      <w:pPr>
        <w:pStyle w:val="2"/>
        <w:rPr>
          <w:rFonts w:hint="eastAsia"/>
        </w:rPr>
      </w:pPr>
    </w:p>
    <w:p w14:paraId="224A7DDC">
      <w:pPr>
        <w:jc w:val="center"/>
        <w:rPr>
          <w:rFonts w:ascii="黑体" w:hAnsi="黑体" w:eastAsia="黑体" w:cs="仿宋_GB2312"/>
          <w:sz w:val="32"/>
          <w:szCs w:val="32"/>
        </w:rPr>
      </w:pPr>
      <w:r>
        <w:rPr>
          <w:rFonts w:hint="eastAsia" w:ascii="黑体" w:hAnsi="黑体" w:eastAsia="黑体" w:cs="仿宋_GB2312"/>
          <w:sz w:val="32"/>
          <w:szCs w:val="32"/>
        </w:rPr>
        <w:t>兴国县数字经济发展主要指标</w:t>
      </w:r>
    </w:p>
    <w:tbl>
      <w:tblPr>
        <w:tblStyle w:val="18"/>
        <w:tblW w:w="7371" w:type="dxa"/>
        <w:jc w:val="center"/>
        <w:tblLayout w:type="fixed"/>
        <w:tblCellMar>
          <w:top w:w="0" w:type="dxa"/>
          <w:left w:w="108" w:type="dxa"/>
          <w:bottom w:w="0" w:type="dxa"/>
          <w:right w:w="108" w:type="dxa"/>
        </w:tblCellMar>
      </w:tblPr>
      <w:tblGrid>
        <w:gridCol w:w="3969"/>
        <w:gridCol w:w="1134"/>
        <w:gridCol w:w="1134"/>
        <w:gridCol w:w="1134"/>
      </w:tblGrid>
      <w:tr w14:paraId="1E5CDDF5">
        <w:tblPrEx>
          <w:tblCellMar>
            <w:top w:w="0" w:type="dxa"/>
            <w:left w:w="108" w:type="dxa"/>
            <w:bottom w:w="0" w:type="dxa"/>
            <w:right w:w="108" w:type="dxa"/>
          </w:tblCellMar>
        </w:tblPrEx>
        <w:trPr>
          <w:trHeight w:val="641" w:hRule="atLeast"/>
          <w:jc w:val="center"/>
        </w:trPr>
        <w:tc>
          <w:tcPr>
            <w:tcW w:w="3969" w:type="dxa"/>
            <w:tcBorders>
              <w:top w:val="single" w:color="auto" w:sz="8" w:space="0"/>
              <w:left w:val="single" w:color="auto" w:sz="8" w:space="0"/>
              <w:bottom w:val="single" w:color="auto" w:sz="4" w:space="0"/>
              <w:right w:val="single" w:color="auto" w:sz="8" w:space="0"/>
            </w:tcBorders>
            <w:shd w:val="clear" w:color="000000" w:fill="FFFFFF"/>
            <w:vAlign w:val="center"/>
          </w:tcPr>
          <w:p w14:paraId="3C84731B">
            <w:pPr>
              <w:widowControl/>
              <w:jc w:val="center"/>
              <w:rPr>
                <w:rFonts w:hint="eastAsia" w:ascii="楷体_GB2312" w:hAnsi="黑体" w:eastAsia="楷体_GB2312" w:cs="宋体"/>
                <w:b/>
                <w:bCs/>
                <w:color w:val="000000"/>
                <w:kern w:val="0"/>
                <w:sz w:val="28"/>
                <w:szCs w:val="28"/>
              </w:rPr>
            </w:pPr>
            <w:r>
              <w:rPr>
                <w:rFonts w:hint="eastAsia" w:ascii="楷体_GB2312" w:hAnsi="黑体" w:eastAsia="楷体_GB2312" w:cs="宋体"/>
                <w:b/>
                <w:bCs/>
                <w:color w:val="000000"/>
                <w:kern w:val="0"/>
                <w:sz w:val="28"/>
                <w:szCs w:val="28"/>
              </w:rPr>
              <w:t>指标名称（单位）</w:t>
            </w:r>
          </w:p>
        </w:tc>
        <w:tc>
          <w:tcPr>
            <w:tcW w:w="1134" w:type="dxa"/>
            <w:tcBorders>
              <w:top w:val="single" w:color="auto" w:sz="8" w:space="0"/>
              <w:left w:val="nil"/>
              <w:bottom w:val="single" w:color="auto" w:sz="4" w:space="0"/>
              <w:right w:val="single" w:color="auto" w:sz="8" w:space="0"/>
            </w:tcBorders>
            <w:shd w:val="clear" w:color="000000" w:fill="FFFFFF"/>
            <w:vAlign w:val="center"/>
          </w:tcPr>
          <w:p w14:paraId="146CFD58">
            <w:pPr>
              <w:widowControl/>
              <w:jc w:val="center"/>
              <w:rPr>
                <w:rFonts w:hint="eastAsia" w:ascii="楷体_GB2312" w:hAnsi="黑体" w:eastAsia="楷体_GB2312"/>
                <w:b/>
                <w:bCs/>
                <w:color w:val="000000"/>
                <w:kern w:val="0"/>
                <w:sz w:val="28"/>
                <w:szCs w:val="28"/>
              </w:rPr>
            </w:pPr>
            <w:r>
              <w:rPr>
                <w:rFonts w:hint="eastAsia" w:ascii="楷体_GB2312" w:hAnsi="黑体" w:eastAsia="楷体_GB2312"/>
                <w:b/>
                <w:bCs/>
                <w:color w:val="000000"/>
                <w:kern w:val="0"/>
                <w:sz w:val="28"/>
                <w:szCs w:val="28"/>
              </w:rPr>
              <w:t>2022年</w:t>
            </w:r>
          </w:p>
        </w:tc>
        <w:tc>
          <w:tcPr>
            <w:tcW w:w="1134" w:type="dxa"/>
            <w:tcBorders>
              <w:top w:val="single" w:color="auto" w:sz="8" w:space="0"/>
              <w:left w:val="nil"/>
              <w:bottom w:val="single" w:color="auto" w:sz="4" w:space="0"/>
              <w:right w:val="single" w:color="auto" w:sz="8" w:space="0"/>
            </w:tcBorders>
            <w:shd w:val="clear" w:color="000000" w:fill="FFFFFF"/>
            <w:vAlign w:val="center"/>
          </w:tcPr>
          <w:p w14:paraId="18080C74">
            <w:pPr>
              <w:widowControl/>
              <w:jc w:val="center"/>
              <w:rPr>
                <w:rFonts w:hint="eastAsia" w:ascii="楷体_GB2312" w:hAnsi="黑体" w:eastAsia="楷体_GB2312"/>
                <w:b/>
                <w:bCs/>
                <w:color w:val="000000"/>
                <w:kern w:val="0"/>
                <w:sz w:val="28"/>
                <w:szCs w:val="28"/>
              </w:rPr>
            </w:pPr>
            <w:r>
              <w:rPr>
                <w:rFonts w:hint="eastAsia" w:ascii="楷体_GB2312" w:hAnsi="黑体" w:eastAsia="楷体_GB2312"/>
                <w:b/>
                <w:bCs/>
                <w:color w:val="000000"/>
                <w:kern w:val="0"/>
                <w:sz w:val="28"/>
                <w:szCs w:val="28"/>
              </w:rPr>
              <w:t>2025年</w:t>
            </w:r>
          </w:p>
        </w:tc>
        <w:tc>
          <w:tcPr>
            <w:tcW w:w="1134" w:type="dxa"/>
            <w:tcBorders>
              <w:top w:val="single" w:color="auto" w:sz="8" w:space="0"/>
              <w:left w:val="nil"/>
              <w:bottom w:val="single" w:color="auto" w:sz="4" w:space="0"/>
              <w:right w:val="single" w:color="auto" w:sz="8" w:space="0"/>
            </w:tcBorders>
            <w:shd w:val="clear" w:color="000000" w:fill="FFFFFF"/>
            <w:vAlign w:val="center"/>
          </w:tcPr>
          <w:p w14:paraId="1E4BB520">
            <w:pPr>
              <w:widowControl/>
              <w:jc w:val="center"/>
              <w:rPr>
                <w:rFonts w:hint="eastAsia" w:ascii="楷体_GB2312" w:hAnsi="黑体" w:eastAsia="楷体_GB2312"/>
                <w:b/>
                <w:bCs/>
                <w:color w:val="000000"/>
                <w:kern w:val="0"/>
                <w:sz w:val="28"/>
                <w:szCs w:val="28"/>
              </w:rPr>
            </w:pPr>
            <w:r>
              <w:rPr>
                <w:rFonts w:hint="eastAsia" w:ascii="楷体_GB2312" w:hAnsi="黑体" w:eastAsia="楷体_GB2312"/>
                <w:b/>
                <w:bCs/>
                <w:color w:val="000000"/>
                <w:kern w:val="0"/>
                <w:sz w:val="28"/>
                <w:szCs w:val="28"/>
              </w:rPr>
              <w:t>2027年</w:t>
            </w:r>
          </w:p>
        </w:tc>
      </w:tr>
      <w:tr w14:paraId="6ADC93AD">
        <w:tblPrEx>
          <w:tblCellMar>
            <w:top w:w="0" w:type="dxa"/>
            <w:left w:w="108" w:type="dxa"/>
            <w:bottom w:w="0" w:type="dxa"/>
            <w:right w:w="108" w:type="dxa"/>
          </w:tblCellMar>
        </w:tblPrEx>
        <w:trPr>
          <w:trHeight w:val="567" w:hRule="atLeast"/>
          <w:jc w:val="center"/>
        </w:trPr>
        <w:tc>
          <w:tcPr>
            <w:tcW w:w="7371"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36BD7C71">
            <w:pPr>
              <w:widowControl/>
              <w:jc w:val="left"/>
              <w:rPr>
                <w:rFonts w:hint="eastAsia" w:ascii="仿宋_GB2312" w:hAnsi="Times New Roman" w:eastAsia="仿宋_GB2312"/>
                <w:b/>
                <w:bCs/>
                <w:color w:val="000000"/>
                <w:kern w:val="0"/>
                <w:sz w:val="24"/>
              </w:rPr>
            </w:pPr>
            <w:r>
              <w:rPr>
                <w:rFonts w:hint="eastAsia" w:ascii="仿宋_GB2312" w:hAnsi="Times New Roman" w:eastAsia="仿宋_GB2312"/>
                <w:b/>
                <w:bCs/>
                <w:color w:val="000000"/>
                <w:kern w:val="0"/>
                <w:sz w:val="28"/>
                <w:szCs w:val="24"/>
              </w:rPr>
              <w:t>数字基础设施</w:t>
            </w:r>
          </w:p>
        </w:tc>
      </w:tr>
      <w:tr w14:paraId="79ACB8E5">
        <w:tblPrEx>
          <w:tblCellMar>
            <w:top w:w="0" w:type="dxa"/>
            <w:left w:w="108" w:type="dxa"/>
            <w:bottom w:w="0" w:type="dxa"/>
            <w:right w:w="108" w:type="dxa"/>
          </w:tblCellMar>
        </w:tblPrEx>
        <w:trPr>
          <w:trHeight w:val="567" w:hRule="atLeast"/>
          <w:jc w:val="center"/>
        </w:trPr>
        <w:tc>
          <w:tcPr>
            <w:tcW w:w="3969" w:type="dxa"/>
            <w:tcBorders>
              <w:top w:val="single" w:color="auto" w:sz="4" w:space="0"/>
              <w:left w:val="single" w:color="auto" w:sz="4" w:space="0"/>
              <w:bottom w:val="single" w:color="auto" w:sz="4" w:space="0"/>
              <w:right w:val="single" w:color="auto" w:sz="4" w:space="0"/>
            </w:tcBorders>
            <w:shd w:val="clear" w:color="000000" w:fill="FFFFFF"/>
            <w:vAlign w:val="center"/>
          </w:tcPr>
          <w:p w14:paraId="79802430">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5G基站数（个）</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0C056531">
            <w:pPr>
              <w:widowControl/>
              <w:jc w:val="center"/>
              <w:rPr>
                <w:rFonts w:ascii="仿宋_GB2312" w:hAnsi="Times New Roman" w:eastAsia="仿宋_GB2312"/>
                <w:color w:val="000000"/>
                <w:kern w:val="0"/>
                <w:sz w:val="24"/>
              </w:rPr>
            </w:pPr>
            <w:r>
              <w:rPr>
                <w:rFonts w:ascii="仿宋_GB2312" w:hAnsi="Times New Roman" w:eastAsia="仿宋_GB2312"/>
                <w:color w:val="000000"/>
                <w:kern w:val="0"/>
                <w:sz w:val="24"/>
              </w:rPr>
              <w:t>688</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245E6F90">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10</w:t>
            </w:r>
            <w:r>
              <w:rPr>
                <w:rFonts w:ascii="仿宋_GB2312" w:hAnsi="Times New Roman" w:eastAsia="仿宋_GB2312"/>
                <w:color w:val="000000"/>
                <w:kern w:val="0"/>
                <w:sz w:val="24"/>
              </w:rPr>
              <w:t>00</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1852574C">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1100</w:t>
            </w:r>
          </w:p>
        </w:tc>
      </w:tr>
      <w:tr w14:paraId="42B0B785">
        <w:tblPrEx>
          <w:tblCellMar>
            <w:top w:w="0" w:type="dxa"/>
            <w:left w:w="108" w:type="dxa"/>
            <w:bottom w:w="0" w:type="dxa"/>
            <w:right w:w="108" w:type="dxa"/>
          </w:tblCellMar>
        </w:tblPrEx>
        <w:trPr>
          <w:trHeight w:val="567" w:hRule="atLeast"/>
          <w:jc w:val="center"/>
        </w:trPr>
        <w:tc>
          <w:tcPr>
            <w:tcW w:w="3969" w:type="dxa"/>
            <w:tcBorders>
              <w:top w:val="single" w:color="auto" w:sz="4" w:space="0"/>
              <w:left w:val="single" w:color="auto" w:sz="4" w:space="0"/>
              <w:bottom w:val="single" w:color="auto" w:sz="4" w:space="0"/>
              <w:right w:val="single" w:color="auto" w:sz="4" w:space="0"/>
            </w:tcBorders>
            <w:shd w:val="clear" w:color="000000" w:fill="FFFFFF"/>
            <w:vAlign w:val="center"/>
          </w:tcPr>
          <w:p w14:paraId="33BDF5FB">
            <w:pPr>
              <w:widowControl/>
              <w:jc w:val="center"/>
              <w:rPr>
                <w:rFonts w:ascii="仿宋_GB2312" w:hAnsi="等线" w:eastAsia="仿宋_GB2312" w:cs="宋体"/>
                <w:color w:val="000000"/>
                <w:kern w:val="0"/>
                <w:sz w:val="24"/>
              </w:rPr>
            </w:pPr>
            <w:r>
              <w:rPr>
                <w:rFonts w:hint="eastAsia" w:ascii="仿宋_GB2312" w:hAnsi="Times New Roman" w:eastAsia="仿宋_GB2312"/>
                <w:color w:val="000000"/>
                <w:kern w:val="0"/>
                <w:sz w:val="24"/>
              </w:rPr>
              <w:t>千兆宽带用户占比（%）</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10BC3A26">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6847F52A">
            <w:pPr>
              <w:widowControl/>
              <w:jc w:val="center"/>
              <w:rPr>
                <w:rFonts w:ascii="仿宋_GB2312" w:hAnsi="Times New Roman" w:eastAsia="仿宋_GB2312"/>
                <w:color w:val="000000"/>
                <w:kern w:val="0"/>
                <w:sz w:val="24"/>
              </w:rPr>
            </w:pPr>
            <w:r>
              <w:rPr>
                <w:rFonts w:ascii="仿宋_GB2312" w:hAnsi="Times New Roman" w:eastAsia="仿宋_GB2312"/>
                <w:color w:val="000000"/>
                <w:kern w:val="0"/>
                <w:sz w:val="24"/>
              </w:rPr>
              <w:t>35</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2937157B">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40</w:t>
            </w:r>
          </w:p>
        </w:tc>
      </w:tr>
      <w:tr w14:paraId="71A4D2D9">
        <w:tblPrEx>
          <w:tblCellMar>
            <w:top w:w="0" w:type="dxa"/>
            <w:left w:w="108" w:type="dxa"/>
            <w:bottom w:w="0" w:type="dxa"/>
            <w:right w:w="108" w:type="dxa"/>
          </w:tblCellMar>
        </w:tblPrEx>
        <w:trPr>
          <w:trHeight w:val="567" w:hRule="atLeast"/>
          <w:jc w:val="center"/>
        </w:trPr>
        <w:tc>
          <w:tcPr>
            <w:tcW w:w="7371"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52C24CDE">
            <w:pPr>
              <w:widowControl/>
              <w:jc w:val="left"/>
              <w:rPr>
                <w:rFonts w:hint="eastAsia" w:ascii="仿宋_GB2312" w:hAnsi="Times New Roman" w:eastAsia="仿宋_GB2312"/>
                <w:b/>
                <w:bCs/>
                <w:color w:val="000000"/>
                <w:kern w:val="0"/>
                <w:sz w:val="24"/>
              </w:rPr>
            </w:pPr>
            <w:r>
              <w:rPr>
                <w:rFonts w:hint="eastAsia" w:ascii="仿宋_GB2312" w:hAnsi="Times New Roman" w:eastAsia="仿宋_GB2312"/>
                <w:b/>
                <w:bCs/>
                <w:color w:val="000000"/>
                <w:kern w:val="0"/>
                <w:sz w:val="28"/>
                <w:szCs w:val="24"/>
              </w:rPr>
              <w:t>数字产业化</w:t>
            </w:r>
          </w:p>
        </w:tc>
      </w:tr>
      <w:tr w14:paraId="75BAC7B3">
        <w:tblPrEx>
          <w:tblCellMar>
            <w:top w:w="0" w:type="dxa"/>
            <w:left w:w="108" w:type="dxa"/>
            <w:bottom w:w="0" w:type="dxa"/>
            <w:right w:w="108" w:type="dxa"/>
          </w:tblCellMar>
        </w:tblPrEx>
        <w:trPr>
          <w:trHeight w:val="851" w:hRule="atLeast"/>
          <w:jc w:val="center"/>
        </w:trPr>
        <w:tc>
          <w:tcPr>
            <w:tcW w:w="3969" w:type="dxa"/>
            <w:tcBorders>
              <w:top w:val="single" w:color="auto" w:sz="4" w:space="0"/>
              <w:left w:val="single" w:color="auto" w:sz="4" w:space="0"/>
              <w:bottom w:val="single" w:color="auto" w:sz="4" w:space="0"/>
              <w:right w:val="single" w:color="auto" w:sz="4" w:space="0"/>
            </w:tcBorders>
            <w:shd w:val="clear" w:color="000000" w:fill="FFFFFF"/>
            <w:vAlign w:val="center"/>
          </w:tcPr>
          <w:p w14:paraId="17433451">
            <w:pPr>
              <w:widowControl/>
              <w:jc w:val="center"/>
              <w:rPr>
                <w:rFonts w:ascii="仿宋_GB2312" w:hAnsi="等线" w:eastAsia="仿宋_GB2312" w:cs="宋体"/>
                <w:color w:val="000000"/>
                <w:kern w:val="0"/>
                <w:sz w:val="24"/>
              </w:rPr>
            </w:pPr>
            <w:r>
              <w:rPr>
                <w:rFonts w:hint="eastAsia" w:ascii="仿宋_GB2312" w:hAnsi="等线" w:eastAsia="仿宋_GB2312" w:cs="宋体"/>
                <w:color w:val="000000"/>
                <w:kern w:val="0"/>
                <w:sz w:val="24"/>
              </w:rPr>
              <w:t>数字经济核心产业增加值占</w:t>
            </w:r>
            <w:r>
              <w:rPr>
                <w:rFonts w:hint="eastAsia" w:ascii="仿宋_GB2312" w:hAnsi="Times New Roman" w:eastAsia="仿宋_GB2312"/>
                <w:color w:val="000000"/>
                <w:kern w:val="0"/>
                <w:sz w:val="24"/>
              </w:rPr>
              <w:t>GPD</w:t>
            </w:r>
            <w:r>
              <w:rPr>
                <w:rFonts w:hint="eastAsia" w:ascii="仿宋_GB2312" w:hAnsi="等线" w:eastAsia="仿宋_GB2312" w:cs="宋体"/>
                <w:color w:val="000000"/>
                <w:kern w:val="0"/>
                <w:sz w:val="24"/>
              </w:rPr>
              <w:t>比重（</w:t>
            </w:r>
            <w:r>
              <w:rPr>
                <w:rFonts w:hint="eastAsia" w:ascii="仿宋_GB2312" w:hAnsi="Times New Roman" w:eastAsia="仿宋_GB2312"/>
                <w:color w:val="000000"/>
                <w:kern w:val="0"/>
                <w:sz w:val="24"/>
              </w:rPr>
              <w:t>%</w:t>
            </w:r>
            <w:r>
              <w:rPr>
                <w:rFonts w:hint="eastAsia" w:ascii="仿宋_GB2312" w:hAnsi="等线" w:eastAsia="仿宋_GB2312" w:cs="宋体"/>
                <w:color w:val="000000"/>
                <w:kern w:val="0"/>
                <w:sz w:val="24"/>
              </w:rPr>
              <w:t>）</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033DEAA6">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0.62</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41A7745F">
            <w:pPr>
              <w:widowControl/>
              <w:jc w:val="center"/>
              <w:rPr>
                <w:rFonts w:ascii="仿宋_GB2312" w:hAnsi="Times New Roman" w:eastAsia="仿宋_GB2312"/>
                <w:color w:val="000000"/>
                <w:kern w:val="0"/>
                <w:sz w:val="24"/>
                <w:highlight w:val="yellow"/>
              </w:rPr>
            </w:pPr>
            <w:r>
              <w:rPr>
                <w:rFonts w:ascii="仿宋_GB2312" w:hAnsi="Times New Roman" w:eastAsia="仿宋_GB2312"/>
                <w:color w:val="000000"/>
                <w:kern w:val="0"/>
                <w:sz w:val="24"/>
              </w:rPr>
              <w:t>5.5</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6749DB31">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1</w:t>
            </w:r>
            <w:r>
              <w:rPr>
                <w:rFonts w:ascii="仿宋_GB2312" w:hAnsi="Times New Roman" w:eastAsia="仿宋_GB2312"/>
                <w:color w:val="000000"/>
                <w:kern w:val="0"/>
                <w:sz w:val="24"/>
              </w:rPr>
              <w:t>0%</w:t>
            </w:r>
          </w:p>
        </w:tc>
      </w:tr>
      <w:tr w14:paraId="2913EB96">
        <w:tblPrEx>
          <w:tblCellMar>
            <w:top w:w="0" w:type="dxa"/>
            <w:left w:w="108" w:type="dxa"/>
            <w:bottom w:w="0" w:type="dxa"/>
            <w:right w:w="108" w:type="dxa"/>
          </w:tblCellMar>
        </w:tblPrEx>
        <w:trPr>
          <w:trHeight w:val="567" w:hRule="atLeast"/>
          <w:jc w:val="center"/>
        </w:trPr>
        <w:tc>
          <w:tcPr>
            <w:tcW w:w="3969" w:type="dxa"/>
            <w:tcBorders>
              <w:top w:val="single" w:color="auto" w:sz="4" w:space="0"/>
              <w:left w:val="single" w:color="auto" w:sz="8" w:space="0"/>
              <w:bottom w:val="single" w:color="auto" w:sz="8" w:space="0"/>
              <w:right w:val="single" w:color="auto" w:sz="8" w:space="0"/>
            </w:tcBorders>
            <w:shd w:val="clear" w:color="000000" w:fill="FFFFFF"/>
            <w:vAlign w:val="center"/>
          </w:tcPr>
          <w:p w14:paraId="1E5D0977">
            <w:pPr>
              <w:widowControl/>
              <w:jc w:val="center"/>
              <w:rPr>
                <w:rFonts w:ascii="仿宋_GB2312" w:hAnsi="等线" w:eastAsia="仿宋_GB2312" w:cs="宋体"/>
                <w:color w:val="000000"/>
                <w:kern w:val="0"/>
                <w:sz w:val="24"/>
              </w:rPr>
            </w:pPr>
            <w:r>
              <w:rPr>
                <w:rFonts w:hint="eastAsia" w:ascii="仿宋_GB2312" w:hAnsi="等线" w:eastAsia="仿宋_GB2312" w:cs="宋体"/>
                <w:color w:val="000000"/>
                <w:kern w:val="0"/>
                <w:sz w:val="24"/>
              </w:rPr>
              <w:t>数字经济核心产业企业数（家）</w:t>
            </w:r>
          </w:p>
        </w:tc>
        <w:tc>
          <w:tcPr>
            <w:tcW w:w="1134" w:type="dxa"/>
            <w:tcBorders>
              <w:top w:val="single" w:color="auto" w:sz="4" w:space="0"/>
              <w:left w:val="nil"/>
              <w:bottom w:val="single" w:color="auto" w:sz="8" w:space="0"/>
              <w:right w:val="single" w:color="auto" w:sz="8" w:space="0"/>
            </w:tcBorders>
            <w:shd w:val="clear" w:color="000000" w:fill="FFFFFF"/>
            <w:vAlign w:val="center"/>
          </w:tcPr>
          <w:p w14:paraId="21B961BE">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20</w:t>
            </w:r>
          </w:p>
        </w:tc>
        <w:tc>
          <w:tcPr>
            <w:tcW w:w="1134" w:type="dxa"/>
            <w:tcBorders>
              <w:top w:val="single" w:color="auto" w:sz="4" w:space="0"/>
              <w:left w:val="nil"/>
              <w:bottom w:val="single" w:color="auto" w:sz="8" w:space="0"/>
              <w:right w:val="single" w:color="auto" w:sz="8" w:space="0"/>
            </w:tcBorders>
            <w:shd w:val="clear" w:color="000000" w:fill="FFFFFF"/>
            <w:vAlign w:val="center"/>
          </w:tcPr>
          <w:p w14:paraId="2441C5A3">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40</w:t>
            </w:r>
          </w:p>
        </w:tc>
        <w:tc>
          <w:tcPr>
            <w:tcW w:w="1134" w:type="dxa"/>
            <w:tcBorders>
              <w:top w:val="single" w:color="auto" w:sz="4" w:space="0"/>
              <w:left w:val="nil"/>
              <w:bottom w:val="single" w:color="auto" w:sz="8" w:space="0"/>
              <w:right w:val="single" w:color="auto" w:sz="8" w:space="0"/>
            </w:tcBorders>
            <w:shd w:val="clear" w:color="000000" w:fill="FFFFFF"/>
            <w:vAlign w:val="center"/>
          </w:tcPr>
          <w:p w14:paraId="18484E8D">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60</w:t>
            </w:r>
          </w:p>
        </w:tc>
      </w:tr>
      <w:tr w14:paraId="72EC0A18">
        <w:tblPrEx>
          <w:tblCellMar>
            <w:top w:w="0" w:type="dxa"/>
            <w:left w:w="108" w:type="dxa"/>
            <w:bottom w:w="0" w:type="dxa"/>
            <w:right w:w="108" w:type="dxa"/>
          </w:tblCellMar>
        </w:tblPrEx>
        <w:trPr>
          <w:trHeight w:val="567" w:hRule="atLeast"/>
          <w:jc w:val="center"/>
        </w:trPr>
        <w:tc>
          <w:tcPr>
            <w:tcW w:w="3969" w:type="dxa"/>
            <w:tcBorders>
              <w:top w:val="nil"/>
              <w:left w:val="single" w:color="auto" w:sz="8" w:space="0"/>
              <w:bottom w:val="single" w:color="auto" w:sz="4" w:space="0"/>
              <w:right w:val="single" w:color="auto" w:sz="8" w:space="0"/>
            </w:tcBorders>
            <w:shd w:val="clear" w:color="000000" w:fill="FFFFFF"/>
            <w:vAlign w:val="center"/>
          </w:tcPr>
          <w:p w14:paraId="5BFF48A3">
            <w:pPr>
              <w:widowControl/>
              <w:jc w:val="center"/>
              <w:rPr>
                <w:rFonts w:ascii="仿宋_GB2312" w:hAnsi="等线" w:eastAsia="仿宋_GB2312" w:cs="宋体"/>
                <w:color w:val="000000"/>
                <w:kern w:val="0"/>
                <w:sz w:val="24"/>
              </w:rPr>
            </w:pPr>
            <w:r>
              <w:rPr>
                <w:rFonts w:hint="eastAsia" w:ascii="仿宋_GB2312" w:hAnsi="等线" w:eastAsia="仿宋_GB2312" w:cs="宋体"/>
                <w:color w:val="000000"/>
                <w:kern w:val="0"/>
                <w:sz w:val="24"/>
              </w:rPr>
              <w:t>新增省级工程研究中心数量（个）</w:t>
            </w:r>
          </w:p>
        </w:tc>
        <w:tc>
          <w:tcPr>
            <w:tcW w:w="1134" w:type="dxa"/>
            <w:tcBorders>
              <w:top w:val="nil"/>
              <w:left w:val="nil"/>
              <w:bottom w:val="single" w:color="auto" w:sz="4" w:space="0"/>
              <w:right w:val="single" w:color="auto" w:sz="8" w:space="0"/>
            </w:tcBorders>
            <w:shd w:val="clear" w:color="000000" w:fill="FFFFFF"/>
            <w:vAlign w:val="center"/>
          </w:tcPr>
          <w:p w14:paraId="1F7EC3EA">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w:t>
            </w:r>
          </w:p>
        </w:tc>
        <w:tc>
          <w:tcPr>
            <w:tcW w:w="1134" w:type="dxa"/>
            <w:tcBorders>
              <w:top w:val="nil"/>
              <w:left w:val="nil"/>
              <w:bottom w:val="single" w:color="auto" w:sz="4" w:space="0"/>
              <w:right w:val="single" w:color="auto" w:sz="8" w:space="0"/>
            </w:tcBorders>
            <w:shd w:val="clear" w:color="000000" w:fill="FFFFFF"/>
            <w:vAlign w:val="center"/>
          </w:tcPr>
          <w:p w14:paraId="5F90221E">
            <w:pPr>
              <w:widowControl/>
              <w:jc w:val="center"/>
              <w:rPr>
                <w:rFonts w:hint="eastAsia" w:ascii="仿宋_GB2312" w:hAnsi="Times New Roman" w:eastAsia="仿宋_GB2312"/>
                <w:color w:val="000000"/>
                <w:kern w:val="0"/>
                <w:sz w:val="24"/>
                <w:lang w:eastAsia="zh-CN"/>
              </w:rPr>
            </w:pPr>
            <w:r>
              <w:rPr>
                <w:rFonts w:hint="eastAsia" w:ascii="仿宋_GB2312" w:hAnsi="Times New Roman" w:eastAsia="仿宋_GB2312"/>
                <w:color w:val="000000"/>
                <w:kern w:val="0"/>
                <w:sz w:val="24"/>
                <w:lang w:val="en-US" w:eastAsia="zh-CN"/>
              </w:rPr>
              <w:t>1</w:t>
            </w:r>
          </w:p>
        </w:tc>
        <w:tc>
          <w:tcPr>
            <w:tcW w:w="1134" w:type="dxa"/>
            <w:tcBorders>
              <w:top w:val="nil"/>
              <w:left w:val="nil"/>
              <w:bottom w:val="single" w:color="auto" w:sz="4" w:space="0"/>
              <w:right w:val="single" w:color="auto" w:sz="8" w:space="0"/>
            </w:tcBorders>
            <w:shd w:val="clear" w:color="000000" w:fill="FFFFFF"/>
            <w:vAlign w:val="center"/>
          </w:tcPr>
          <w:p w14:paraId="6628F1CB">
            <w:pPr>
              <w:widowControl/>
              <w:jc w:val="center"/>
              <w:rPr>
                <w:rFonts w:hint="eastAsia" w:ascii="仿宋_GB2312" w:hAnsi="Times New Roman" w:eastAsia="仿宋_GB2312"/>
                <w:color w:val="000000"/>
                <w:kern w:val="0"/>
                <w:sz w:val="24"/>
                <w:lang w:eastAsia="zh-CN"/>
              </w:rPr>
            </w:pPr>
            <w:r>
              <w:rPr>
                <w:rFonts w:hint="eastAsia" w:ascii="仿宋_GB2312" w:hAnsi="Times New Roman" w:eastAsia="仿宋_GB2312"/>
                <w:color w:val="000000"/>
                <w:kern w:val="0"/>
                <w:sz w:val="24"/>
                <w:lang w:val="en-US" w:eastAsia="zh-CN"/>
              </w:rPr>
              <w:t>2</w:t>
            </w:r>
          </w:p>
        </w:tc>
      </w:tr>
      <w:tr w14:paraId="1D93560D">
        <w:tblPrEx>
          <w:tblCellMar>
            <w:top w:w="0" w:type="dxa"/>
            <w:left w:w="108" w:type="dxa"/>
            <w:bottom w:w="0" w:type="dxa"/>
            <w:right w:w="108" w:type="dxa"/>
          </w:tblCellMar>
        </w:tblPrEx>
        <w:trPr>
          <w:trHeight w:val="567" w:hRule="atLeast"/>
          <w:jc w:val="center"/>
        </w:trPr>
        <w:tc>
          <w:tcPr>
            <w:tcW w:w="3969" w:type="dxa"/>
            <w:tcBorders>
              <w:top w:val="nil"/>
              <w:left w:val="single" w:color="auto" w:sz="8" w:space="0"/>
              <w:bottom w:val="single" w:color="auto" w:sz="4" w:space="0"/>
              <w:right w:val="single" w:color="auto" w:sz="8" w:space="0"/>
            </w:tcBorders>
            <w:shd w:val="clear" w:color="000000" w:fill="FFFFFF"/>
            <w:vAlign w:val="center"/>
          </w:tcPr>
          <w:p w14:paraId="003246F1">
            <w:pPr>
              <w:widowControl/>
              <w:jc w:val="center"/>
              <w:rPr>
                <w:rFonts w:ascii="仿宋_GB2312" w:hAnsi="等线" w:eastAsia="仿宋_GB2312" w:cs="宋体"/>
                <w:color w:val="000000"/>
                <w:kern w:val="0"/>
                <w:sz w:val="24"/>
              </w:rPr>
            </w:pPr>
            <w:r>
              <w:rPr>
                <w:rFonts w:hint="eastAsia" w:ascii="仿宋_GB2312" w:hAnsi="等线" w:eastAsia="仿宋_GB2312" w:cs="宋体"/>
                <w:color w:val="000000"/>
                <w:kern w:val="0"/>
                <w:sz w:val="24"/>
              </w:rPr>
              <w:t>软件产业规模（万元）</w:t>
            </w:r>
          </w:p>
        </w:tc>
        <w:tc>
          <w:tcPr>
            <w:tcW w:w="1134" w:type="dxa"/>
            <w:tcBorders>
              <w:top w:val="nil"/>
              <w:left w:val="nil"/>
              <w:bottom w:val="single" w:color="auto" w:sz="4" w:space="0"/>
              <w:right w:val="single" w:color="auto" w:sz="8" w:space="0"/>
            </w:tcBorders>
            <w:shd w:val="clear" w:color="000000" w:fill="FFFFFF"/>
            <w:vAlign w:val="center"/>
          </w:tcPr>
          <w:p w14:paraId="1AF42C4D">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2133</w:t>
            </w:r>
          </w:p>
        </w:tc>
        <w:tc>
          <w:tcPr>
            <w:tcW w:w="1134" w:type="dxa"/>
            <w:tcBorders>
              <w:top w:val="nil"/>
              <w:left w:val="nil"/>
              <w:bottom w:val="single" w:color="auto" w:sz="4" w:space="0"/>
              <w:right w:val="single" w:color="auto" w:sz="8" w:space="0"/>
            </w:tcBorders>
            <w:shd w:val="clear" w:color="000000" w:fill="FFFFFF"/>
            <w:vAlign w:val="center"/>
          </w:tcPr>
          <w:p w14:paraId="7247CF08">
            <w:pPr>
              <w:widowControl/>
              <w:jc w:val="center"/>
              <w:rPr>
                <w:rFonts w:hint="default" w:ascii="仿宋_GB2312" w:hAnsi="Times New Roman" w:eastAsia="仿宋_GB2312"/>
                <w:color w:val="000000"/>
                <w:kern w:val="0"/>
                <w:sz w:val="24"/>
                <w:highlight w:val="yellow"/>
                <w:lang w:val="en-US" w:eastAsia="zh-CN"/>
              </w:rPr>
            </w:pPr>
            <w:r>
              <w:rPr>
                <w:rFonts w:hint="eastAsia" w:ascii="仿宋_GB2312" w:hAnsi="Times New Roman" w:eastAsia="仿宋_GB2312"/>
                <w:color w:val="000000"/>
                <w:kern w:val="0"/>
                <w:sz w:val="24"/>
                <w:highlight w:val="none"/>
                <w:lang w:eastAsia="zh-CN"/>
              </w:rPr>
              <w:t>2</w:t>
            </w:r>
            <w:r>
              <w:rPr>
                <w:rFonts w:hint="eastAsia" w:ascii="仿宋_GB2312" w:hAnsi="Times New Roman" w:eastAsia="仿宋_GB2312"/>
                <w:color w:val="000000"/>
                <w:kern w:val="0"/>
                <w:sz w:val="24"/>
                <w:highlight w:val="none"/>
                <w:lang w:val="en-US" w:eastAsia="zh-CN"/>
              </w:rPr>
              <w:t>500</w:t>
            </w:r>
          </w:p>
        </w:tc>
        <w:tc>
          <w:tcPr>
            <w:tcW w:w="1134" w:type="dxa"/>
            <w:tcBorders>
              <w:top w:val="nil"/>
              <w:left w:val="nil"/>
              <w:bottom w:val="single" w:color="auto" w:sz="4" w:space="0"/>
              <w:right w:val="single" w:color="auto" w:sz="8" w:space="0"/>
            </w:tcBorders>
            <w:shd w:val="clear" w:color="000000" w:fill="FFFFFF"/>
            <w:vAlign w:val="center"/>
          </w:tcPr>
          <w:p w14:paraId="11135E96">
            <w:pPr>
              <w:widowControl/>
              <w:jc w:val="center"/>
              <w:rPr>
                <w:rFonts w:hint="default" w:ascii="仿宋_GB2312" w:hAnsi="Times New Roman" w:eastAsia="仿宋_GB2312"/>
                <w:color w:val="000000"/>
                <w:kern w:val="0"/>
                <w:sz w:val="24"/>
                <w:highlight w:val="yellow"/>
                <w:lang w:val="en-US" w:eastAsia="zh-CN"/>
              </w:rPr>
            </w:pPr>
            <w:r>
              <w:rPr>
                <w:rFonts w:hint="eastAsia" w:ascii="仿宋_GB2312" w:hAnsi="Times New Roman" w:eastAsia="仿宋_GB2312"/>
                <w:color w:val="000000"/>
                <w:kern w:val="0"/>
                <w:sz w:val="24"/>
                <w:highlight w:val="none"/>
                <w:lang w:eastAsia="zh-CN"/>
              </w:rPr>
              <w:t>3</w:t>
            </w:r>
            <w:r>
              <w:rPr>
                <w:rFonts w:hint="eastAsia" w:ascii="仿宋_GB2312" w:hAnsi="Times New Roman" w:eastAsia="仿宋_GB2312"/>
                <w:color w:val="000000"/>
                <w:kern w:val="0"/>
                <w:sz w:val="24"/>
                <w:highlight w:val="none"/>
                <w:lang w:val="en-US" w:eastAsia="zh-CN"/>
              </w:rPr>
              <w:t>000</w:t>
            </w:r>
          </w:p>
        </w:tc>
      </w:tr>
      <w:tr w14:paraId="4AE5746B">
        <w:tblPrEx>
          <w:tblCellMar>
            <w:top w:w="0" w:type="dxa"/>
            <w:left w:w="108" w:type="dxa"/>
            <w:bottom w:w="0" w:type="dxa"/>
            <w:right w:w="108" w:type="dxa"/>
          </w:tblCellMar>
        </w:tblPrEx>
        <w:trPr>
          <w:trHeight w:val="567" w:hRule="atLeast"/>
          <w:jc w:val="center"/>
        </w:trPr>
        <w:tc>
          <w:tcPr>
            <w:tcW w:w="7371"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3529D1A6">
            <w:pPr>
              <w:widowControl/>
              <w:jc w:val="left"/>
              <w:rPr>
                <w:rFonts w:hint="eastAsia" w:ascii="仿宋_GB2312" w:hAnsi="Times New Roman" w:eastAsia="仿宋_GB2312"/>
                <w:b/>
                <w:bCs/>
                <w:color w:val="000000"/>
                <w:kern w:val="0"/>
                <w:sz w:val="24"/>
              </w:rPr>
            </w:pPr>
            <w:r>
              <w:rPr>
                <w:rFonts w:hint="eastAsia" w:ascii="仿宋_GB2312" w:hAnsi="Times New Roman" w:eastAsia="仿宋_GB2312"/>
                <w:b/>
                <w:bCs/>
                <w:color w:val="000000"/>
                <w:kern w:val="0"/>
                <w:sz w:val="28"/>
                <w:szCs w:val="24"/>
              </w:rPr>
              <w:t>产业数字化</w:t>
            </w:r>
          </w:p>
        </w:tc>
      </w:tr>
      <w:tr w14:paraId="32205064">
        <w:tblPrEx>
          <w:tblCellMar>
            <w:top w:w="0" w:type="dxa"/>
            <w:left w:w="108" w:type="dxa"/>
            <w:bottom w:w="0" w:type="dxa"/>
            <w:right w:w="108" w:type="dxa"/>
          </w:tblCellMar>
        </w:tblPrEx>
        <w:trPr>
          <w:trHeight w:val="541" w:hRule="atLeast"/>
          <w:jc w:val="center"/>
        </w:trPr>
        <w:tc>
          <w:tcPr>
            <w:tcW w:w="3969" w:type="dxa"/>
            <w:tcBorders>
              <w:top w:val="single" w:color="auto" w:sz="4" w:space="0"/>
              <w:left w:val="single" w:color="auto" w:sz="4" w:space="0"/>
              <w:bottom w:val="single" w:color="auto" w:sz="4" w:space="0"/>
              <w:right w:val="single" w:color="auto" w:sz="4" w:space="0"/>
            </w:tcBorders>
            <w:shd w:val="clear" w:color="000000" w:fill="FFFFFF"/>
            <w:vAlign w:val="center"/>
          </w:tcPr>
          <w:p w14:paraId="220D524E">
            <w:pPr>
              <w:widowControl/>
              <w:jc w:val="center"/>
              <w:rPr>
                <w:rFonts w:ascii="仿宋_GB2312" w:hAnsi="等线" w:eastAsia="仿宋_GB2312" w:cs="宋体"/>
                <w:color w:val="000000"/>
                <w:kern w:val="0"/>
                <w:sz w:val="24"/>
              </w:rPr>
            </w:pPr>
            <w:r>
              <w:rPr>
                <w:rFonts w:hint="eastAsia" w:ascii="仿宋_GB2312" w:hAnsi="等线" w:eastAsia="仿宋_GB2312" w:cs="宋体"/>
                <w:color w:val="000000"/>
                <w:kern w:val="0"/>
                <w:sz w:val="24"/>
              </w:rPr>
              <w:t>企业上云率（</w:t>
            </w:r>
            <w:r>
              <w:rPr>
                <w:rFonts w:ascii="仿宋_GB2312" w:hAnsi="等线" w:eastAsia="仿宋_GB2312" w:cs="宋体"/>
                <w:color w:val="000000"/>
                <w:kern w:val="0"/>
                <w:sz w:val="24"/>
              </w:rPr>
              <w:t>%）</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0642AD1A">
            <w:pPr>
              <w:widowControl/>
              <w:jc w:val="center"/>
              <w:rPr>
                <w:rFonts w:hint="eastAsia" w:ascii="仿宋_GB2312" w:hAnsi="Times New Roman" w:eastAsia="仿宋_GB2312"/>
                <w:color w:val="000000"/>
                <w:kern w:val="0"/>
                <w:sz w:val="24"/>
                <w:highlight w:val="yellow"/>
                <w:lang w:eastAsia="zh-CN"/>
              </w:rPr>
            </w:pPr>
            <w:r>
              <w:rPr>
                <w:rFonts w:hint="eastAsia" w:ascii="仿宋_GB2312" w:hAnsi="Times New Roman" w:eastAsia="仿宋_GB2312"/>
                <w:color w:val="000000"/>
                <w:kern w:val="0"/>
                <w:sz w:val="24"/>
                <w:highlight w:val="none"/>
                <w:lang w:eastAsia="zh-CN"/>
              </w:rPr>
              <w:t>/</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6A83DC86">
            <w:pPr>
              <w:widowControl/>
              <w:jc w:val="center"/>
              <w:rPr>
                <w:rFonts w:hint="eastAsia" w:ascii="仿宋_GB2312" w:hAnsi="Times New Roman" w:eastAsia="仿宋_GB2312"/>
                <w:color w:val="000000"/>
                <w:kern w:val="0"/>
                <w:sz w:val="24"/>
                <w:highlight w:val="yellow"/>
                <w:lang w:eastAsia="zh-CN"/>
              </w:rPr>
            </w:pPr>
            <w:r>
              <w:rPr>
                <w:rFonts w:hint="eastAsia" w:ascii="仿宋_GB2312" w:hAnsi="Times New Roman" w:eastAsia="仿宋_GB2312"/>
                <w:color w:val="000000"/>
                <w:kern w:val="0"/>
                <w:sz w:val="24"/>
                <w:highlight w:val="none"/>
                <w:lang w:eastAsia="zh-CN"/>
              </w:rPr>
              <w:t>/</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725BD93F">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100</w:t>
            </w:r>
          </w:p>
        </w:tc>
      </w:tr>
      <w:tr w14:paraId="566CB9F5">
        <w:tblPrEx>
          <w:tblCellMar>
            <w:top w:w="0" w:type="dxa"/>
            <w:left w:w="108" w:type="dxa"/>
            <w:bottom w:w="0" w:type="dxa"/>
            <w:right w:w="108" w:type="dxa"/>
          </w:tblCellMar>
        </w:tblPrEx>
        <w:trPr>
          <w:trHeight w:val="851" w:hRule="atLeast"/>
          <w:jc w:val="center"/>
        </w:trPr>
        <w:tc>
          <w:tcPr>
            <w:tcW w:w="3969" w:type="dxa"/>
            <w:tcBorders>
              <w:top w:val="single" w:color="auto" w:sz="4" w:space="0"/>
              <w:left w:val="single" w:color="auto" w:sz="4" w:space="0"/>
              <w:bottom w:val="single" w:color="auto" w:sz="4" w:space="0"/>
              <w:right w:val="single" w:color="auto" w:sz="4" w:space="0"/>
            </w:tcBorders>
            <w:shd w:val="clear" w:color="000000" w:fill="FFFFFF"/>
            <w:vAlign w:val="center"/>
          </w:tcPr>
          <w:p w14:paraId="285FB1BF">
            <w:pPr>
              <w:widowControl/>
              <w:jc w:val="center"/>
              <w:rPr>
                <w:rFonts w:ascii="仿宋_GB2312" w:hAnsi="等线" w:eastAsia="仿宋_GB2312" w:cs="宋体"/>
                <w:color w:val="000000"/>
                <w:kern w:val="0"/>
                <w:sz w:val="24"/>
              </w:rPr>
            </w:pPr>
            <w:r>
              <w:rPr>
                <w:rFonts w:hint="eastAsia" w:ascii="仿宋_GB2312" w:hAnsi="等线" w:eastAsia="仿宋_GB2312" w:cs="宋体"/>
                <w:color w:val="000000"/>
                <w:kern w:val="0"/>
                <w:sz w:val="24"/>
              </w:rPr>
              <w:t>两化融合示范企业标杆企业数量（个）</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52F27BAE">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3</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0D140C52">
            <w:pPr>
              <w:widowControl/>
              <w:jc w:val="center"/>
              <w:rPr>
                <w:rFonts w:hint="default" w:ascii="仿宋_GB2312" w:hAnsi="Times New Roman" w:eastAsia="仿宋_GB2312"/>
                <w:color w:val="000000"/>
                <w:kern w:val="0"/>
                <w:sz w:val="24"/>
                <w:highlight w:val="none"/>
              </w:rPr>
            </w:pPr>
            <w:r>
              <w:rPr>
                <w:rFonts w:hint="eastAsia" w:ascii="仿宋_GB2312" w:hAnsi="Times New Roman" w:eastAsia="仿宋_GB2312"/>
                <w:color w:val="000000"/>
                <w:kern w:val="0"/>
                <w:sz w:val="24"/>
                <w:highlight w:val="none"/>
                <w:lang w:eastAsia="zh-CN"/>
              </w:rPr>
              <w:t>1</w:t>
            </w:r>
            <w:r>
              <w:rPr>
                <w:rFonts w:hint="eastAsia" w:ascii="仿宋_GB2312" w:hAnsi="Times New Roman" w:eastAsia="仿宋_GB2312"/>
                <w:color w:val="000000"/>
                <w:kern w:val="0"/>
                <w:sz w:val="24"/>
                <w:highlight w:val="none"/>
                <w:lang w:val="en-US" w:eastAsia="zh-CN"/>
              </w:rPr>
              <w:t>0</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740BEB6C">
            <w:pPr>
              <w:widowControl/>
              <w:jc w:val="center"/>
              <w:rPr>
                <w:rFonts w:hint="default" w:ascii="仿宋_GB2312" w:hAnsi="Times New Roman" w:eastAsia="仿宋_GB2312"/>
                <w:color w:val="000000"/>
                <w:kern w:val="0"/>
                <w:sz w:val="24"/>
                <w:highlight w:val="none"/>
              </w:rPr>
            </w:pPr>
            <w:r>
              <w:rPr>
                <w:rFonts w:hint="eastAsia" w:ascii="仿宋_GB2312" w:hAnsi="Times New Roman" w:eastAsia="仿宋_GB2312"/>
                <w:color w:val="000000"/>
                <w:kern w:val="0"/>
                <w:sz w:val="24"/>
                <w:highlight w:val="none"/>
                <w:lang w:eastAsia="zh-CN"/>
              </w:rPr>
              <w:t>1</w:t>
            </w:r>
            <w:r>
              <w:rPr>
                <w:rFonts w:hint="eastAsia" w:ascii="仿宋_GB2312" w:hAnsi="Times New Roman" w:eastAsia="仿宋_GB2312"/>
                <w:color w:val="000000"/>
                <w:kern w:val="0"/>
                <w:sz w:val="24"/>
                <w:highlight w:val="none"/>
                <w:lang w:val="en-US" w:eastAsia="zh-CN"/>
              </w:rPr>
              <w:t>5</w:t>
            </w:r>
          </w:p>
        </w:tc>
      </w:tr>
      <w:tr w14:paraId="615F6F35">
        <w:tblPrEx>
          <w:tblCellMar>
            <w:top w:w="0" w:type="dxa"/>
            <w:left w:w="108" w:type="dxa"/>
            <w:bottom w:w="0" w:type="dxa"/>
            <w:right w:w="108" w:type="dxa"/>
          </w:tblCellMar>
        </w:tblPrEx>
        <w:trPr>
          <w:trHeight w:val="851" w:hRule="atLeast"/>
          <w:jc w:val="center"/>
        </w:trPr>
        <w:tc>
          <w:tcPr>
            <w:tcW w:w="3969" w:type="dxa"/>
            <w:tcBorders>
              <w:top w:val="single" w:color="auto" w:sz="4" w:space="0"/>
              <w:left w:val="single" w:color="auto" w:sz="4" w:space="0"/>
              <w:bottom w:val="single" w:color="auto" w:sz="4" w:space="0"/>
              <w:right w:val="single" w:color="auto" w:sz="4" w:space="0"/>
            </w:tcBorders>
            <w:shd w:val="clear" w:color="000000" w:fill="FFFFFF"/>
            <w:vAlign w:val="center"/>
          </w:tcPr>
          <w:p w14:paraId="6B740A95">
            <w:pPr>
              <w:widowControl/>
              <w:jc w:val="center"/>
              <w:rPr>
                <w:rFonts w:ascii="仿宋_GB2312" w:hAnsi="等线" w:eastAsia="仿宋_GB2312" w:cs="宋体"/>
                <w:color w:val="000000"/>
                <w:kern w:val="0"/>
                <w:sz w:val="24"/>
              </w:rPr>
            </w:pPr>
            <w:r>
              <w:rPr>
                <w:rFonts w:hint="eastAsia" w:ascii="仿宋_GB2312" w:hAnsi="等线" w:eastAsia="仿宋_GB2312" w:cs="宋体"/>
                <w:color w:val="000000"/>
                <w:kern w:val="0"/>
                <w:sz w:val="24"/>
              </w:rPr>
              <w:t>省级农业物联网示范基地数量（个）</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46D3D404">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0</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625259CC">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6</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4F38F56B">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10</w:t>
            </w:r>
          </w:p>
        </w:tc>
      </w:tr>
      <w:tr w14:paraId="07AA0C9D">
        <w:tblPrEx>
          <w:tblCellMar>
            <w:top w:w="0" w:type="dxa"/>
            <w:left w:w="108" w:type="dxa"/>
            <w:bottom w:w="0" w:type="dxa"/>
            <w:right w:w="108" w:type="dxa"/>
          </w:tblCellMar>
        </w:tblPrEx>
        <w:trPr>
          <w:trHeight w:val="567" w:hRule="atLeast"/>
          <w:jc w:val="center"/>
        </w:trPr>
        <w:tc>
          <w:tcPr>
            <w:tcW w:w="3969" w:type="dxa"/>
            <w:tcBorders>
              <w:top w:val="single" w:color="auto" w:sz="4" w:space="0"/>
              <w:left w:val="single" w:color="auto" w:sz="4" w:space="0"/>
              <w:bottom w:val="single" w:color="auto" w:sz="4" w:space="0"/>
              <w:right w:val="single" w:color="auto" w:sz="4" w:space="0"/>
            </w:tcBorders>
            <w:shd w:val="clear" w:color="000000" w:fill="FFFFFF"/>
            <w:vAlign w:val="center"/>
          </w:tcPr>
          <w:p w14:paraId="1C2A7E08">
            <w:pPr>
              <w:widowControl/>
              <w:jc w:val="center"/>
              <w:rPr>
                <w:rFonts w:ascii="仿宋_GB2312" w:hAnsi="等线" w:eastAsia="仿宋_GB2312" w:cs="宋体"/>
                <w:color w:val="000000"/>
                <w:kern w:val="0"/>
                <w:sz w:val="24"/>
              </w:rPr>
            </w:pPr>
            <w:r>
              <w:rPr>
                <w:rFonts w:hint="eastAsia" w:ascii="仿宋_GB2312" w:hAnsi="等线" w:eastAsia="仿宋_GB2312" w:cs="宋体"/>
                <w:color w:val="000000"/>
                <w:kern w:val="0"/>
                <w:sz w:val="24"/>
              </w:rPr>
              <w:t>网络零售额（亿元）</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6EB9368F">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6.8</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1D75D855">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10</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00AD9CEC">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20</w:t>
            </w:r>
          </w:p>
        </w:tc>
      </w:tr>
      <w:tr w14:paraId="0041EFE8">
        <w:tblPrEx>
          <w:tblCellMar>
            <w:top w:w="0" w:type="dxa"/>
            <w:left w:w="108" w:type="dxa"/>
            <w:bottom w:w="0" w:type="dxa"/>
            <w:right w:w="108" w:type="dxa"/>
          </w:tblCellMar>
        </w:tblPrEx>
        <w:trPr>
          <w:trHeight w:val="851" w:hRule="atLeast"/>
          <w:jc w:val="center"/>
        </w:trPr>
        <w:tc>
          <w:tcPr>
            <w:tcW w:w="3969" w:type="dxa"/>
            <w:tcBorders>
              <w:top w:val="single" w:color="auto" w:sz="4" w:space="0"/>
              <w:left w:val="single" w:color="auto" w:sz="4" w:space="0"/>
              <w:bottom w:val="single" w:color="auto" w:sz="4" w:space="0"/>
              <w:right w:val="single" w:color="auto" w:sz="4" w:space="0"/>
            </w:tcBorders>
            <w:shd w:val="clear" w:color="000000" w:fill="FFFFFF"/>
            <w:vAlign w:val="center"/>
          </w:tcPr>
          <w:p w14:paraId="6081BDCB">
            <w:pPr>
              <w:widowControl/>
              <w:jc w:val="center"/>
              <w:rPr>
                <w:rFonts w:ascii="仿宋_GB2312" w:hAnsi="等线" w:eastAsia="仿宋_GB2312" w:cs="宋体"/>
                <w:color w:val="000000"/>
                <w:kern w:val="0"/>
                <w:sz w:val="24"/>
              </w:rPr>
            </w:pPr>
            <w:r>
              <w:rPr>
                <w:rFonts w:hint="eastAsia" w:ascii="仿宋_GB2312" w:hAnsi="等线" w:eastAsia="仿宋_GB2312" w:cs="宋体"/>
                <w:color w:val="000000"/>
                <w:kern w:val="0"/>
                <w:sz w:val="24"/>
              </w:rPr>
              <w:t>省级数字乡村优秀创新案例数量（个）</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3D286EE1">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0</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4F9BA0DC">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1</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1C156143">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2</w:t>
            </w:r>
          </w:p>
        </w:tc>
      </w:tr>
      <w:tr w14:paraId="1372B0E8">
        <w:tblPrEx>
          <w:tblCellMar>
            <w:top w:w="0" w:type="dxa"/>
            <w:left w:w="108" w:type="dxa"/>
            <w:bottom w:w="0" w:type="dxa"/>
            <w:right w:w="108" w:type="dxa"/>
          </w:tblCellMar>
        </w:tblPrEx>
        <w:trPr>
          <w:trHeight w:val="567" w:hRule="atLeast"/>
          <w:jc w:val="center"/>
        </w:trPr>
        <w:tc>
          <w:tcPr>
            <w:tcW w:w="7371"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6F5D6D26">
            <w:pPr>
              <w:widowControl/>
              <w:jc w:val="left"/>
              <w:rPr>
                <w:rFonts w:ascii="仿宋_GB2312" w:hAnsi="Times New Roman" w:eastAsia="仿宋_GB2312"/>
                <w:b/>
                <w:bCs/>
                <w:color w:val="000000"/>
                <w:kern w:val="0"/>
                <w:sz w:val="24"/>
                <w:highlight w:val="yellow"/>
              </w:rPr>
            </w:pPr>
            <w:r>
              <w:rPr>
                <w:rFonts w:hint="eastAsia" w:ascii="仿宋_GB2312" w:hAnsi="Times New Roman" w:eastAsia="仿宋_GB2312"/>
                <w:b/>
                <w:bCs/>
                <w:color w:val="000000"/>
                <w:kern w:val="0"/>
                <w:sz w:val="28"/>
                <w:szCs w:val="24"/>
              </w:rPr>
              <w:t>数字公共服务</w:t>
            </w:r>
          </w:p>
        </w:tc>
      </w:tr>
      <w:tr w14:paraId="308741DB">
        <w:tblPrEx>
          <w:tblCellMar>
            <w:top w:w="0" w:type="dxa"/>
            <w:left w:w="108" w:type="dxa"/>
            <w:bottom w:w="0" w:type="dxa"/>
            <w:right w:w="108" w:type="dxa"/>
          </w:tblCellMar>
        </w:tblPrEx>
        <w:trPr>
          <w:trHeight w:val="567" w:hRule="atLeast"/>
          <w:jc w:val="center"/>
        </w:trPr>
        <w:tc>
          <w:tcPr>
            <w:tcW w:w="3969" w:type="dxa"/>
            <w:tcBorders>
              <w:top w:val="single" w:color="auto" w:sz="4" w:space="0"/>
              <w:left w:val="single" w:color="auto" w:sz="4" w:space="0"/>
              <w:bottom w:val="single" w:color="auto" w:sz="4" w:space="0"/>
              <w:right w:val="single" w:color="auto" w:sz="4" w:space="0"/>
            </w:tcBorders>
            <w:shd w:val="clear" w:color="000000" w:fill="FFFFFF"/>
            <w:vAlign w:val="center"/>
          </w:tcPr>
          <w:p w14:paraId="611B7F3C">
            <w:pPr>
              <w:widowControl/>
              <w:jc w:val="center"/>
              <w:rPr>
                <w:rFonts w:ascii="仿宋_GB2312" w:hAnsi="等线" w:eastAsia="仿宋_GB2312" w:cs="宋体"/>
                <w:color w:val="000000"/>
                <w:kern w:val="0"/>
                <w:sz w:val="24"/>
              </w:rPr>
            </w:pPr>
            <w:r>
              <w:rPr>
                <w:rFonts w:hint="eastAsia" w:ascii="仿宋_GB2312" w:hAnsi="等线" w:eastAsia="仿宋_GB2312" w:cs="宋体"/>
                <w:color w:val="000000"/>
                <w:kern w:val="0"/>
                <w:sz w:val="24"/>
              </w:rPr>
              <w:t>本地数据目录挂接完成率（%）</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12DCCF55">
            <w:pPr>
              <w:widowControl/>
              <w:jc w:val="center"/>
              <w:rPr>
                <w:rFonts w:hint="default" w:ascii="仿宋_GB2312" w:hAnsi="Times New Roman" w:eastAsia="仿宋_GB2312"/>
                <w:color w:val="000000"/>
                <w:kern w:val="0"/>
                <w:sz w:val="24"/>
                <w:highlight w:val="yellow"/>
                <w:lang w:val="en-US" w:eastAsia="zh-CN"/>
              </w:rPr>
            </w:pPr>
            <w:r>
              <w:rPr>
                <w:rFonts w:hint="eastAsia" w:ascii="仿宋_GB2312" w:hAnsi="Times New Roman" w:eastAsia="仿宋_GB2312"/>
                <w:color w:val="000000"/>
                <w:kern w:val="0"/>
                <w:sz w:val="24"/>
                <w:highlight w:val="none"/>
                <w:lang w:val="en-US" w:eastAsia="zh-CN"/>
              </w:rPr>
              <w:t>90</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08A66771">
            <w:pPr>
              <w:widowControl/>
              <w:jc w:val="center"/>
              <w:rPr>
                <w:rFonts w:hint="default" w:ascii="仿宋_GB2312" w:hAnsi="Times New Roman" w:eastAsia="仿宋_GB2312"/>
                <w:color w:val="000000"/>
                <w:kern w:val="0"/>
                <w:sz w:val="24"/>
                <w:highlight w:val="none"/>
              </w:rPr>
            </w:pPr>
            <w:r>
              <w:rPr>
                <w:rFonts w:hint="eastAsia" w:ascii="仿宋_GB2312" w:hAnsi="Times New Roman" w:eastAsia="仿宋_GB2312"/>
                <w:color w:val="000000"/>
                <w:kern w:val="0"/>
                <w:sz w:val="24"/>
                <w:highlight w:val="none"/>
                <w:lang w:eastAsia="zh-CN"/>
              </w:rPr>
              <w:t>9</w:t>
            </w:r>
            <w:r>
              <w:rPr>
                <w:rFonts w:hint="eastAsia" w:ascii="仿宋_GB2312" w:hAnsi="Times New Roman" w:eastAsia="仿宋_GB2312"/>
                <w:color w:val="000000"/>
                <w:kern w:val="0"/>
                <w:sz w:val="24"/>
                <w:highlight w:val="none"/>
                <w:lang w:val="en-US" w:eastAsia="zh-CN"/>
              </w:rPr>
              <w:t>5</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24A277C3">
            <w:pPr>
              <w:widowControl/>
              <w:jc w:val="center"/>
              <w:rPr>
                <w:rFonts w:hint="default" w:ascii="仿宋_GB2312" w:hAnsi="Times New Roman" w:eastAsia="仿宋_GB2312"/>
                <w:color w:val="000000"/>
                <w:kern w:val="0"/>
                <w:sz w:val="24"/>
                <w:highlight w:val="none"/>
              </w:rPr>
            </w:pPr>
            <w:r>
              <w:rPr>
                <w:rFonts w:hint="eastAsia" w:ascii="仿宋_GB2312" w:hAnsi="Times New Roman" w:eastAsia="仿宋_GB2312"/>
                <w:color w:val="000000"/>
                <w:kern w:val="0"/>
                <w:sz w:val="24"/>
                <w:highlight w:val="none"/>
                <w:lang w:eastAsia="zh-CN"/>
              </w:rPr>
              <w:t>1</w:t>
            </w:r>
            <w:r>
              <w:rPr>
                <w:rFonts w:hint="eastAsia" w:ascii="仿宋_GB2312" w:hAnsi="Times New Roman" w:eastAsia="仿宋_GB2312"/>
                <w:color w:val="000000"/>
                <w:kern w:val="0"/>
                <w:sz w:val="24"/>
                <w:highlight w:val="none"/>
                <w:lang w:val="en-US" w:eastAsia="zh-CN"/>
              </w:rPr>
              <w:t>00</w:t>
            </w:r>
          </w:p>
        </w:tc>
      </w:tr>
      <w:tr w14:paraId="4639F481">
        <w:tblPrEx>
          <w:tblCellMar>
            <w:top w:w="0" w:type="dxa"/>
            <w:left w:w="108" w:type="dxa"/>
            <w:bottom w:w="0" w:type="dxa"/>
            <w:right w:w="108" w:type="dxa"/>
          </w:tblCellMar>
        </w:tblPrEx>
        <w:trPr>
          <w:trHeight w:val="567" w:hRule="atLeast"/>
          <w:jc w:val="center"/>
        </w:trPr>
        <w:tc>
          <w:tcPr>
            <w:tcW w:w="3969" w:type="dxa"/>
            <w:tcBorders>
              <w:top w:val="single" w:color="auto" w:sz="4" w:space="0"/>
              <w:left w:val="single" w:color="auto" w:sz="4" w:space="0"/>
              <w:bottom w:val="single" w:color="auto" w:sz="4" w:space="0"/>
              <w:right w:val="single" w:color="auto" w:sz="4" w:space="0"/>
            </w:tcBorders>
            <w:shd w:val="clear" w:color="000000" w:fill="FFFFFF"/>
            <w:vAlign w:val="center"/>
          </w:tcPr>
          <w:p w14:paraId="4E210C66">
            <w:pPr>
              <w:widowControl/>
              <w:jc w:val="center"/>
              <w:rPr>
                <w:rFonts w:ascii="仿宋_GB2312" w:hAnsi="等线" w:eastAsia="仿宋_GB2312" w:cs="宋体"/>
                <w:color w:val="000000"/>
                <w:kern w:val="0"/>
                <w:sz w:val="24"/>
              </w:rPr>
            </w:pPr>
            <w:r>
              <w:rPr>
                <w:rFonts w:hint="eastAsia" w:ascii="仿宋_GB2312" w:hAnsi="等线" w:eastAsia="仿宋_GB2312" w:cs="宋体"/>
                <w:color w:val="000000"/>
                <w:kern w:val="0"/>
                <w:sz w:val="24"/>
              </w:rPr>
              <w:t>赣服通查询办理率（</w:t>
            </w:r>
            <w:r>
              <w:rPr>
                <w:rFonts w:ascii="仿宋_GB2312" w:hAnsi="等线" w:eastAsia="仿宋_GB2312" w:cs="宋体"/>
                <w:color w:val="000000"/>
                <w:kern w:val="0"/>
                <w:sz w:val="24"/>
              </w:rPr>
              <w:t>%）</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7DF9B98D">
            <w:pPr>
              <w:widowControl/>
              <w:jc w:val="center"/>
              <w:rPr>
                <w:rFonts w:hint="default" w:ascii="仿宋_GB2312" w:hAnsi="Times New Roman" w:eastAsia="仿宋_GB2312"/>
                <w:color w:val="000000"/>
                <w:kern w:val="0"/>
                <w:sz w:val="24"/>
                <w:highlight w:val="yellow"/>
                <w:lang w:val="en-US" w:eastAsia="zh-CN"/>
              </w:rPr>
            </w:pPr>
            <w:r>
              <w:rPr>
                <w:rFonts w:hint="eastAsia" w:ascii="仿宋_GB2312" w:hAnsi="Times New Roman" w:eastAsia="仿宋_GB2312"/>
                <w:color w:val="000000"/>
                <w:kern w:val="0"/>
                <w:sz w:val="24"/>
                <w:highlight w:val="none"/>
                <w:lang w:eastAsia="zh-CN"/>
              </w:rPr>
              <w:t>9</w:t>
            </w:r>
            <w:r>
              <w:rPr>
                <w:rFonts w:hint="eastAsia" w:ascii="仿宋_GB2312" w:hAnsi="Times New Roman" w:eastAsia="仿宋_GB2312"/>
                <w:color w:val="000000"/>
                <w:kern w:val="0"/>
                <w:sz w:val="24"/>
                <w:highlight w:val="none"/>
                <w:lang w:val="en-US" w:eastAsia="zh-CN"/>
              </w:rPr>
              <w:t>5</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14A09E94">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98</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7373396F">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100</w:t>
            </w:r>
          </w:p>
        </w:tc>
      </w:tr>
      <w:tr w14:paraId="14E090E3">
        <w:tblPrEx>
          <w:tblCellMar>
            <w:top w:w="0" w:type="dxa"/>
            <w:left w:w="108" w:type="dxa"/>
            <w:bottom w:w="0" w:type="dxa"/>
            <w:right w:w="108" w:type="dxa"/>
          </w:tblCellMar>
        </w:tblPrEx>
        <w:trPr>
          <w:trHeight w:val="567" w:hRule="atLeast"/>
          <w:jc w:val="center"/>
        </w:trPr>
        <w:tc>
          <w:tcPr>
            <w:tcW w:w="3969" w:type="dxa"/>
            <w:tcBorders>
              <w:top w:val="single" w:color="auto" w:sz="4" w:space="0"/>
              <w:left w:val="single" w:color="auto" w:sz="4" w:space="0"/>
              <w:bottom w:val="single" w:color="auto" w:sz="4" w:space="0"/>
              <w:right w:val="single" w:color="auto" w:sz="4" w:space="0"/>
            </w:tcBorders>
            <w:shd w:val="clear" w:color="000000" w:fill="FFFFFF"/>
            <w:vAlign w:val="center"/>
          </w:tcPr>
          <w:p w14:paraId="4B49D61E">
            <w:pPr>
              <w:widowControl/>
              <w:jc w:val="center"/>
              <w:rPr>
                <w:rFonts w:ascii="仿宋_GB2312" w:hAnsi="等线" w:eastAsia="仿宋_GB2312" w:cs="宋体"/>
                <w:color w:val="000000"/>
                <w:kern w:val="0"/>
                <w:sz w:val="24"/>
              </w:rPr>
            </w:pPr>
            <w:r>
              <w:rPr>
                <w:rFonts w:hint="eastAsia" w:ascii="仿宋_GB2312" w:hAnsi="等线" w:eastAsia="仿宋_GB2312" w:cs="宋体"/>
                <w:color w:val="000000"/>
                <w:kern w:val="0"/>
                <w:sz w:val="24"/>
              </w:rPr>
              <w:t>赣政通高质量代办使用率（</w:t>
            </w:r>
            <w:r>
              <w:rPr>
                <w:rFonts w:ascii="仿宋_GB2312" w:hAnsi="等线" w:eastAsia="仿宋_GB2312" w:cs="宋体"/>
                <w:color w:val="000000"/>
                <w:kern w:val="0"/>
                <w:sz w:val="24"/>
              </w:rPr>
              <w:t>%）</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69CCE51B">
            <w:pPr>
              <w:widowControl/>
              <w:jc w:val="center"/>
              <w:rPr>
                <w:rFonts w:hint="default" w:ascii="仿宋_GB2312" w:hAnsi="Times New Roman" w:eastAsia="仿宋_GB2312"/>
                <w:color w:val="000000"/>
                <w:kern w:val="0"/>
                <w:sz w:val="24"/>
                <w:highlight w:val="yellow"/>
                <w:lang w:val="en-US" w:eastAsia="zh-CN"/>
              </w:rPr>
            </w:pPr>
            <w:r>
              <w:rPr>
                <w:rFonts w:hint="eastAsia" w:ascii="仿宋_GB2312" w:hAnsi="Times New Roman" w:eastAsia="仿宋_GB2312"/>
                <w:color w:val="000000"/>
                <w:kern w:val="0"/>
                <w:sz w:val="24"/>
                <w:highlight w:val="none"/>
                <w:lang w:eastAsia="zh-CN"/>
              </w:rPr>
              <w:t>8</w:t>
            </w:r>
            <w:r>
              <w:rPr>
                <w:rFonts w:hint="eastAsia" w:ascii="仿宋_GB2312" w:hAnsi="Times New Roman" w:eastAsia="仿宋_GB2312"/>
                <w:color w:val="000000"/>
                <w:kern w:val="0"/>
                <w:sz w:val="24"/>
                <w:highlight w:val="none"/>
                <w:lang w:val="en-US" w:eastAsia="zh-CN"/>
              </w:rPr>
              <w:t>0</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53A66253">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100</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5B412F90">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100</w:t>
            </w:r>
          </w:p>
        </w:tc>
      </w:tr>
      <w:tr w14:paraId="266A2FC9">
        <w:tblPrEx>
          <w:tblCellMar>
            <w:top w:w="0" w:type="dxa"/>
            <w:left w:w="108" w:type="dxa"/>
            <w:bottom w:w="0" w:type="dxa"/>
            <w:right w:w="108" w:type="dxa"/>
          </w:tblCellMar>
        </w:tblPrEx>
        <w:trPr>
          <w:trHeight w:val="567" w:hRule="atLeast"/>
          <w:jc w:val="center"/>
        </w:trPr>
        <w:tc>
          <w:tcPr>
            <w:tcW w:w="3969" w:type="dxa"/>
            <w:tcBorders>
              <w:top w:val="single" w:color="auto" w:sz="4" w:space="0"/>
              <w:left w:val="single" w:color="auto" w:sz="4" w:space="0"/>
              <w:bottom w:val="single" w:color="auto" w:sz="4" w:space="0"/>
              <w:right w:val="single" w:color="auto" w:sz="4" w:space="0"/>
            </w:tcBorders>
            <w:shd w:val="clear" w:color="000000" w:fill="FFFFFF"/>
            <w:vAlign w:val="center"/>
          </w:tcPr>
          <w:p w14:paraId="62D9C145">
            <w:pPr>
              <w:widowControl/>
              <w:jc w:val="center"/>
              <w:rPr>
                <w:rFonts w:ascii="仿宋_GB2312" w:hAnsi="等线" w:eastAsia="仿宋_GB2312" w:cs="宋体"/>
                <w:color w:val="000000"/>
                <w:kern w:val="0"/>
                <w:sz w:val="24"/>
              </w:rPr>
            </w:pPr>
            <w:r>
              <w:rPr>
                <w:rFonts w:hint="eastAsia" w:ascii="仿宋_GB2312" w:hAnsi="等线" w:eastAsia="仿宋_GB2312" w:cs="宋体"/>
                <w:color w:val="000000"/>
                <w:kern w:val="0"/>
                <w:sz w:val="24"/>
              </w:rPr>
              <w:t>智慧养老示范机构数量（家）</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49C6DF92">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28</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6520D38A">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45</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46F512BF">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50</w:t>
            </w:r>
          </w:p>
        </w:tc>
      </w:tr>
      <w:tr w14:paraId="4A135478">
        <w:tblPrEx>
          <w:tblCellMar>
            <w:top w:w="0" w:type="dxa"/>
            <w:left w:w="108" w:type="dxa"/>
            <w:bottom w:w="0" w:type="dxa"/>
            <w:right w:w="108" w:type="dxa"/>
          </w:tblCellMar>
        </w:tblPrEx>
        <w:trPr>
          <w:trHeight w:val="567" w:hRule="atLeast"/>
          <w:jc w:val="center"/>
        </w:trPr>
        <w:tc>
          <w:tcPr>
            <w:tcW w:w="3969" w:type="dxa"/>
            <w:tcBorders>
              <w:top w:val="single" w:color="auto" w:sz="4" w:space="0"/>
              <w:left w:val="single" w:color="auto" w:sz="4" w:space="0"/>
              <w:bottom w:val="single" w:color="auto" w:sz="4" w:space="0"/>
              <w:right w:val="single" w:color="auto" w:sz="4" w:space="0"/>
            </w:tcBorders>
            <w:shd w:val="clear" w:color="000000" w:fill="FFFFFF"/>
            <w:vAlign w:val="center"/>
          </w:tcPr>
          <w:p w14:paraId="353A239C">
            <w:pPr>
              <w:widowControl/>
              <w:jc w:val="center"/>
              <w:rPr>
                <w:rFonts w:ascii="仿宋_GB2312" w:hAnsi="等线" w:eastAsia="仿宋_GB2312" w:cs="宋体"/>
                <w:color w:val="000000"/>
                <w:kern w:val="0"/>
                <w:sz w:val="24"/>
              </w:rPr>
            </w:pPr>
            <w:r>
              <w:rPr>
                <w:rFonts w:hint="eastAsia" w:ascii="仿宋_GB2312" w:hAnsi="等线" w:eastAsia="仿宋_GB2312" w:cs="宋体"/>
                <w:color w:val="000000"/>
                <w:kern w:val="0"/>
                <w:sz w:val="24"/>
              </w:rPr>
              <w:t>智慧教育平台使用情况（%）</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22320C24">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90</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1F563759">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98</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14:paraId="5043B54B">
            <w:pPr>
              <w:widowControl/>
              <w:jc w:val="center"/>
              <w:rPr>
                <w:rFonts w:ascii="仿宋_GB2312" w:hAnsi="Times New Roman" w:eastAsia="仿宋_GB2312"/>
                <w:color w:val="000000"/>
                <w:kern w:val="0"/>
                <w:sz w:val="24"/>
              </w:rPr>
            </w:pPr>
            <w:r>
              <w:rPr>
                <w:rFonts w:hint="eastAsia" w:ascii="仿宋_GB2312" w:hAnsi="Times New Roman" w:eastAsia="仿宋_GB2312"/>
                <w:color w:val="000000"/>
                <w:kern w:val="0"/>
                <w:sz w:val="24"/>
              </w:rPr>
              <w:t>100</w:t>
            </w:r>
          </w:p>
        </w:tc>
      </w:tr>
    </w:tbl>
    <w:p w14:paraId="18E37608">
      <w:pPr>
        <w:pStyle w:val="24"/>
        <w:numPr>
          <w:ilvl w:val="0"/>
          <w:numId w:val="1"/>
        </w:numPr>
        <w:ind w:firstLineChars="0"/>
        <w:outlineLvl w:val="0"/>
        <w:rPr>
          <w:rFonts w:ascii="黑体" w:hAnsi="黑体" w:eastAsia="黑体"/>
          <w:sz w:val="32"/>
          <w:szCs w:val="32"/>
        </w:rPr>
      </w:pPr>
      <w:r>
        <w:rPr>
          <w:rFonts w:hint="eastAsia" w:ascii="黑体" w:hAnsi="黑体" w:eastAsia="黑体"/>
          <w:sz w:val="32"/>
          <w:szCs w:val="32"/>
          <w:lang w:eastAsia="zh-CN"/>
        </w:rPr>
        <w:t>夯实数字基础加快新型基础设施建设</w:t>
      </w:r>
    </w:p>
    <w:p w14:paraId="080DCACA">
      <w:pPr>
        <w:ind w:firstLine="640" w:firstLineChars="200"/>
        <w:rPr>
          <w:rFonts w:ascii="仿宋_GB2312" w:hAnsi="黑体" w:eastAsia="仿宋_GB2312"/>
          <w:sz w:val="32"/>
          <w:szCs w:val="32"/>
        </w:rPr>
      </w:pPr>
      <w:r>
        <w:rPr>
          <w:rFonts w:hint="eastAsia" w:ascii="仿宋_GB2312" w:hAnsi="黑体" w:eastAsia="仿宋_GB2312"/>
          <w:sz w:val="32"/>
          <w:szCs w:val="32"/>
        </w:rPr>
        <w:t>坚持合理布局、适度超前的原则，建设现代化通信网络基础设施、先进算力基础设施和智能融合基础设施，全力打造功能完善、高速泛在、智能绿色、安全可靠、开放共享的新型数字化基础设施体系。</w:t>
      </w:r>
    </w:p>
    <w:p w14:paraId="60543FD2">
      <w:pPr>
        <w:pStyle w:val="6"/>
        <w:spacing w:before="0" w:after="0" w:line="240" w:lineRule="auto"/>
        <w:ind w:firstLine="643" w:firstLineChars="200"/>
        <w:rPr>
          <w:rFonts w:ascii="楷体_GB2312" w:hAnsi="黑体" w:eastAsia="楷体_GB2312"/>
          <w:b w:val="0"/>
          <w:bCs w:val="0"/>
        </w:rPr>
      </w:pPr>
      <w:bookmarkStart w:id="56" w:name="_Toc23819"/>
      <w:bookmarkStart w:id="57" w:name="_Toc23086"/>
      <w:bookmarkStart w:id="58" w:name="_Toc4636"/>
      <w:bookmarkStart w:id="59" w:name="_Toc147740938"/>
      <w:bookmarkStart w:id="60" w:name="_Toc209"/>
      <w:bookmarkStart w:id="61" w:name="_Toc142986310"/>
      <w:r>
        <w:rPr>
          <w:rFonts w:hint="eastAsia" w:ascii="楷体_GB2312" w:hAnsi="黑体" w:eastAsia="楷体_GB2312"/>
        </w:rPr>
        <w:t>（一）升级信息网络基础设施</w:t>
      </w:r>
      <w:bookmarkEnd w:id="56"/>
      <w:bookmarkEnd w:id="57"/>
      <w:bookmarkEnd w:id="58"/>
      <w:bookmarkEnd w:id="59"/>
      <w:bookmarkEnd w:id="60"/>
      <w:bookmarkEnd w:id="61"/>
    </w:p>
    <w:p w14:paraId="6D6296AF">
      <w:pPr>
        <w:spacing w:line="360" w:lineRule="auto"/>
        <w:ind w:firstLine="643" w:firstLineChars="200"/>
        <w:rPr>
          <w:rFonts w:ascii="Times New Roman" w:hAnsi="Times New Roman" w:eastAsia="仿宋_GB2312" w:cs="Times New Roman"/>
          <w:sz w:val="32"/>
          <w:szCs w:val="24"/>
        </w:rPr>
      </w:pPr>
      <w:r>
        <w:rPr>
          <w:rFonts w:hint="eastAsia" w:ascii="Times New Roman" w:hAnsi="Times New Roman" w:eastAsia="仿宋_GB2312" w:cs="Times New Roman"/>
          <w:b/>
          <w:bCs/>
          <w:sz w:val="32"/>
          <w:szCs w:val="24"/>
        </w:rPr>
        <w:t>建</w:t>
      </w:r>
      <w:r>
        <w:rPr>
          <w:rFonts w:ascii="Times New Roman" w:hAnsi="Times New Roman" w:eastAsia="仿宋_GB2312" w:cs="Times New Roman"/>
          <w:b/>
          <w:bCs/>
          <w:sz w:val="32"/>
          <w:szCs w:val="24"/>
        </w:rPr>
        <w:t>设泛在高速网络体系。</w:t>
      </w:r>
      <w:r>
        <w:rPr>
          <w:rFonts w:ascii="Times New Roman" w:hAnsi="Times New Roman" w:eastAsia="仿宋_GB2312" w:cs="Times New Roman"/>
          <w:sz w:val="32"/>
          <w:szCs w:val="24"/>
        </w:rPr>
        <w:t>推进</w:t>
      </w:r>
      <w:r>
        <w:rPr>
          <w:rFonts w:hint="eastAsia" w:ascii="Times New Roman" w:hAnsi="Times New Roman" w:eastAsia="仿宋_GB2312" w:cs="Times New Roman"/>
          <w:sz w:val="32"/>
          <w:szCs w:val="24"/>
        </w:rPr>
        <w:t>城域网优化</w:t>
      </w:r>
      <w:r>
        <w:rPr>
          <w:rFonts w:ascii="Times New Roman" w:hAnsi="Times New Roman" w:eastAsia="仿宋_GB2312" w:cs="Times New Roman"/>
          <w:sz w:val="32"/>
          <w:szCs w:val="24"/>
        </w:rPr>
        <w:t>，</w:t>
      </w:r>
      <w:r>
        <w:rPr>
          <w:rFonts w:hint="eastAsia" w:ascii="Times New Roman" w:hAnsi="Times New Roman" w:eastAsia="仿宋_GB2312" w:cs="Times New Roman"/>
          <w:sz w:val="32"/>
          <w:szCs w:val="24"/>
        </w:rPr>
        <w:t>扩容县域出口带宽，提升网络承载水平</w:t>
      </w:r>
      <w:r>
        <w:rPr>
          <w:rFonts w:ascii="Times New Roman" w:hAnsi="Times New Roman" w:eastAsia="仿宋_GB2312" w:cs="Times New Roman"/>
          <w:sz w:val="32"/>
          <w:szCs w:val="24"/>
        </w:rPr>
        <w:t>。</w:t>
      </w:r>
      <w:r>
        <w:rPr>
          <w:rFonts w:hint="eastAsia" w:ascii="Times New Roman" w:hAnsi="Times New Roman" w:eastAsia="仿宋_GB2312" w:cs="Times New Roman"/>
          <w:sz w:val="32"/>
          <w:szCs w:val="24"/>
        </w:rPr>
        <w:t>进一步落实光纤到户国家标准</w:t>
      </w:r>
      <w:r>
        <w:rPr>
          <w:rFonts w:ascii="Times New Roman" w:hAnsi="Times New Roman" w:eastAsia="仿宋_GB2312" w:cs="Times New Roman"/>
          <w:sz w:val="32"/>
          <w:szCs w:val="24"/>
        </w:rPr>
        <w:t>，</w:t>
      </w:r>
      <w:r>
        <w:rPr>
          <w:rFonts w:hint="eastAsia" w:ascii="Times New Roman" w:hAnsi="Times New Roman" w:eastAsia="仿宋_GB2312" w:cs="Times New Roman"/>
          <w:sz w:val="32"/>
          <w:szCs w:val="24"/>
        </w:rPr>
        <w:t>推动光纤到户共建共享</w:t>
      </w:r>
      <w:r>
        <w:rPr>
          <w:rFonts w:ascii="Times New Roman" w:hAnsi="Times New Roman" w:eastAsia="仿宋_GB2312" w:cs="Times New Roman"/>
          <w:sz w:val="32"/>
          <w:szCs w:val="24"/>
        </w:rPr>
        <w:t>。</w:t>
      </w:r>
      <w:r>
        <w:rPr>
          <w:rFonts w:hint="eastAsia" w:ascii="Times New Roman" w:hAnsi="Times New Roman" w:eastAsia="仿宋_GB2312" w:cs="Times New Roman"/>
          <w:sz w:val="32"/>
          <w:szCs w:val="24"/>
        </w:rPr>
        <w:t>持续扩大</w:t>
      </w:r>
      <w:r>
        <w:rPr>
          <w:rFonts w:ascii="Times New Roman" w:hAnsi="Times New Roman" w:eastAsia="仿宋_GB2312" w:cs="Times New Roman"/>
          <w:sz w:val="32"/>
          <w:szCs w:val="24"/>
        </w:rPr>
        <w:t>城镇高速光纤网络覆盖</w:t>
      </w:r>
      <w:r>
        <w:rPr>
          <w:rFonts w:hint="eastAsia" w:ascii="Times New Roman" w:hAnsi="Times New Roman" w:eastAsia="仿宋_GB2312" w:cs="Times New Roman"/>
          <w:sz w:val="32"/>
          <w:szCs w:val="24"/>
        </w:rPr>
        <w:t>范围</w:t>
      </w:r>
      <w:r>
        <w:rPr>
          <w:rFonts w:ascii="Times New Roman" w:hAnsi="Times New Roman" w:eastAsia="仿宋_GB2312" w:cs="Times New Roman"/>
          <w:sz w:val="32"/>
          <w:szCs w:val="24"/>
        </w:rPr>
        <w:t>，</w:t>
      </w:r>
      <w:r>
        <w:rPr>
          <w:rFonts w:hint="eastAsia" w:ascii="Times New Roman" w:hAnsi="Times New Roman" w:eastAsia="仿宋_GB2312" w:cs="Times New Roman"/>
          <w:sz w:val="32"/>
          <w:szCs w:val="24"/>
        </w:rPr>
        <w:t>推进老旧小区光网改造，打造一批“双千兆”示范小区</w:t>
      </w:r>
      <w:r>
        <w:rPr>
          <w:rFonts w:ascii="Times New Roman" w:hAnsi="Times New Roman" w:eastAsia="仿宋_GB2312" w:cs="Times New Roman"/>
          <w:sz w:val="32"/>
          <w:szCs w:val="24"/>
        </w:rPr>
        <w:t>。</w:t>
      </w:r>
      <w:r>
        <w:rPr>
          <w:rFonts w:hint="eastAsia" w:ascii="Times New Roman" w:hAnsi="Times New Roman" w:eastAsia="仿宋_GB2312" w:cs="Times New Roman"/>
          <w:sz w:val="32"/>
          <w:szCs w:val="24"/>
        </w:rPr>
        <w:t>加快构建统一的电子政务网络体系，按照上级工作部署推动公安、应急、市场监管等各类政务专网向统一电子政务网络迁移整合</w:t>
      </w:r>
      <w:r>
        <w:rPr>
          <w:rFonts w:ascii="Times New Roman" w:hAnsi="Times New Roman" w:eastAsia="仿宋_GB2312" w:cs="Times New Roman"/>
          <w:sz w:val="32"/>
          <w:szCs w:val="24"/>
        </w:rPr>
        <w:t>。</w:t>
      </w:r>
      <w:r>
        <w:rPr>
          <w:rFonts w:hint="eastAsia" w:ascii="Times New Roman" w:hAnsi="Times New Roman" w:eastAsia="仿宋_GB2312" w:cs="Times New Roman"/>
          <w:sz w:val="32"/>
          <w:szCs w:val="24"/>
        </w:rPr>
        <w:t>推动落实</w:t>
      </w:r>
      <w:r>
        <w:rPr>
          <w:rFonts w:ascii="Times New Roman" w:hAnsi="Times New Roman" w:eastAsia="仿宋_GB2312" w:cs="Times New Roman"/>
          <w:sz w:val="32"/>
          <w:szCs w:val="24"/>
        </w:rPr>
        <w:t>乡村振兴工程</w:t>
      </w:r>
      <w:r>
        <w:rPr>
          <w:rFonts w:hint="eastAsia" w:ascii="Times New Roman" w:hAnsi="Times New Roman" w:eastAsia="仿宋_GB2312" w:cs="Times New Roman"/>
          <w:sz w:val="32"/>
          <w:szCs w:val="24"/>
        </w:rPr>
        <w:t>，加强农村信息基础设施建设，推进乡镇农村地区百兆网络普遍覆盖，持续优化</w:t>
      </w:r>
      <w:r>
        <w:rPr>
          <w:rFonts w:ascii="Times New Roman" w:hAnsi="Times New Roman" w:eastAsia="仿宋_GB2312" w:cs="Times New Roman"/>
          <w:sz w:val="32"/>
          <w:szCs w:val="24"/>
        </w:rPr>
        <w:t>智慧广电</w:t>
      </w:r>
      <w:r>
        <w:rPr>
          <w:rFonts w:hint="eastAsia" w:ascii="Times New Roman" w:hAnsi="Times New Roman" w:eastAsia="仿宋_GB2312" w:cs="Times New Roman"/>
          <w:sz w:val="32"/>
          <w:szCs w:val="24"/>
        </w:rPr>
        <w:t>和政务网并</w:t>
      </w:r>
      <w:r>
        <w:rPr>
          <w:rFonts w:ascii="Times New Roman" w:hAnsi="Times New Roman" w:eastAsia="仿宋_GB2312" w:cs="Times New Roman"/>
          <w:sz w:val="32"/>
          <w:szCs w:val="24"/>
        </w:rPr>
        <w:t>向有条件、有需求的</w:t>
      </w:r>
      <w:r>
        <w:rPr>
          <w:rFonts w:hint="eastAsia" w:ascii="Times New Roman" w:hAnsi="Times New Roman" w:eastAsia="仿宋_GB2312" w:cs="Times New Roman"/>
          <w:sz w:val="32"/>
          <w:szCs w:val="24"/>
        </w:rPr>
        <w:t>乡镇基层</w:t>
      </w:r>
      <w:r>
        <w:rPr>
          <w:rFonts w:ascii="Times New Roman" w:hAnsi="Times New Roman" w:eastAsia="仿宋_GB2312" w:cs="Times New Roman"/>
          <w:sz w:val="32"/>
          <w:szCs w:val="24"/>
        </w:rPr>
        <w:t>延伸</w:t>
      </w:r>
      <w:r>
        <w:rPr>
          <w:rFonts w:hint="eastAsia" w:ascii="Times New Roman" w:hAnsi="Times New Roman" w:eastAsia="仿宋_GB2312" w:cs="Times New Roman"/>
          <w:sz w:val="32"/>
          <w:szCs w:val="24"/>
        </w:rPr>
        <w:t>。</w:t>
      </w:r>
    </w:p>
    <w:p w14:paraId="59690FC6">
      <w:pPr>
        <w:spacing w:line="360" w:lineRule="auto"/>
        <w:ind w:firstLine="643" w:firstLineChars="200"/>
        <w:rPr>
          <w:rFonts w:ascii="Times New Roman" w:hAnsi="Times New Roman" w:eastAsia="仿宋_GB2312" w:cs="Times New Roman"/>
          <w:sz w:val="32"/>
          <w:szCs w:val="24"/>
        </w:rPr>
      </w:pPr>
      <w:r>
        <w:rPr>
          <w:rFonts w:ascii="Times New Roman" w:hAnsi="Times New Roman" w:eastAsia="仿宋_GB2312" w:cs="Times New Roman"/>
          <w:b/>
          <w:bCs/>
          <w:sz w:val="32"/>
          <w:szCs w:val="24"/>
        </w:rPr>
        <w:t>加快高质量5G网络规模化部署。</w:t>
      </w:r>
      <w:r>
        <w:rPr>
          <w:rFonts w:hint="eastAsia" w:ascii="Times New Roman" w:hAnsi="Times New Roman" w:eastAsia="仿宋_GB2312" w:cs="Times New Roman"/>
          <w:sz w:val="32"/>
          <w:szCs w:val="24"/>
        </w:rPr>
        <w:t>鼓励通信运营商加快5G网络建设，推动5G网络城区和乡镇全覆盖，推进重点景区5G基站建设与多功能智慧杆联合部署，加强偏远乡镇5G信号基础覆盖，支撑垂直行业发展5G+智慧应用。加强5G政策体系化部署和财政支持力度，强化全县5G通信基础设施规划、建设和资源调配等统筹工作，推进公共场所、公共资源向 5G 通信基础设施建设免费开放。大力推进通信基站转供电改直供电工作，简化基站供电改造和用电报装审批流程，落实5G基站电费补贴政策，降低5G基站用电成本。</w:t>
      </w:r>
    </w:p>
    <w:p w14:paraId="4D7FF9E8">
      <w:pPr>
        <w:ind w:firstLine="643" w:firstLineChars="200"/>
        <w:rPr>
          <w:rFonts w:ascii="仿宋_GB2312" w:hAnsi="黑体" w:eastAsia="仿宋_GB2312"/>
          <w:b/>
          <w:bCs/>
          <w:sz w:val="32"/>
          <w:szCs w:val="32"/>
        </w:rPr>
      </w:pPr>
      <w:r>
        <w:rPr>
          <w:rFonts w:hint="eastAsia" w:ascii="Times New Roman" w:hAnsi="Times New Roman" w:eastAsia="仿宋_GB2312" w:cs="Times New Roman"/>
          <w:b/>
          <w:bCs/>
          <w:sz w:val="32"/>
          <w:szCs w:val="24"/>
        </w:rPr>
        <w:t>加快新一代网络技术应用推广</w:t>
      </w:r>
      <w:r>
        <w:rPr>
          <w:rFonts w:ascii="Times New Roman" w:hAnsi="Times New Roman" w:eastAsia="仿宋_GB2312" w:cs="Times New Roman"/>
          <w:b/>
          <w:bCs/>
          <w:sz w:val="32"/>
          <w:szCs w:val="24"/>
        </w:rPr>
        <w:t>。</w:t>
      </w:r>
      <w:r>
        <w:rPr>
          <w:rFonts w:ascii="Times New Roman" w:hAnsi="Times New Roman" w:eastAsia="仿宋_GB2312" w:cs="Times New Roman"/>
          <w:sz w:val="32"/>
          <w:szCs w:val="24"/>
        </w:rPr>
        <w:t>深入推进</w:t>
      </w:r>
      <w:r>
        <w:rPr>
          <w:rFonts w:hint="eastAsia" w:ascii="Times New Roman" w:hAnsi="Times New Roman" w:eastAsia="仿宋_GB2312" w:cs="Times New Roman"/>
          <w:sz w:val="32"/>
          <w:szCs w:val="24"/>
        </w:rPr>
        <w:t>基于</w:t>
      </w:r>
      <w:r>
        <w:rPr>
          <w:rFonts w:ascii="Times New Roman" w:hAnsi="Times New Roman" w:eastAsia="仿宋_GB2312" w:cs="Times New Roman"/>
          <w:sz w:val="32"/>
          <w:szCs w:val="24"/>
        </w:rPr>
        <w:t>IPv6</w:t>
      </w:r>
      <w:r>
        <w:rPr>
          <w:rFonts w:hint="eastAsia" w:ascii="Times New Roman" w:hAnsi="Times New Roman" w:eastAsia="仿宋_GB2312" w:cs="Times New Roman"/>
          <w:sz w:val="32"/>
          <w:szCs w:val="24"/>
        </w:rPr>
        <w:t>的下一代互联网</w:t>
      </w:r>
      <w:r>
        <w:rPr>
          <w:rFonts w:ascii="Times New Roman" w:hAnsi="Times New Roman" w:eastAsia="仿宋_GB2312" w:cs="Times New Roman"/>
          <w:sz w:val="32"/>
          <w:szCs w:val="24"/>
        </w:rPr>
        <w:t>规模部署，</w:t>
      </w:r>
      <w:r>
        <w:rPr>
          <w:rFonts w:hint="eastAsia" w:ascii="Times New Roman" w:hAnsi="Times New Roman" w:eastAsia="仿宋_GB2312" w:cs="Times New Roman"/>
          <w:sz w:val="32"/>
          <w:szCs w:val="24"/>
        </w:rPr>
        <w:t>加快</w:t>
      </w:r>
      <w:r>
        <w:rPr>
          <w:rFonts w:ascii="Times New Roman" w:hAnsi="Times New Roman" w:eastAsia="仿宋_GB2312" w:cs="Times New Roman"/>
          <w:sz w:val="32"/>
          <w:szCs w:val="24"/>
        </w:rPr>
        <w:t>政务网络互联网区域IPv6</w:t>
      </w:r>
      <w:r>
        <w:rPr>
          <w:rFonts w:hint="eastAsia" w:ascii="Times New Roman" w:hAnsi="Times New Roman" w:eastAsia="仿宋_GB2312" w:cs="Times New Roman"/>
          <w:sz w:val="32"/>
          <w:szCs w:val="24"/>
        </w:rPr>
        <w:t>能力建设，</w:t>
      </w:r>
      <w:r>
        <w:rPr>
          <w:rFonts w:ascii="Times New Roman" w:hAnsi="Times New Roman" w:eastAsia="仿宋_GB2312" w:cs="Times New Roman"/>
          <w:sz w:val="32"/>
          <w:szCs w:val="24"/>
        </w:rPr>
        <w:t>支持典型行业</w:t>
      </w:r>
      <w:r>
        <w:rPr>
          <w:rFonts w:hint="eastAsia" w:ascii="Times New Roman" w:hAnsi="Times New Roman" w:eastAsia="仿宋_GB2312" w:cs="Times New Roman"/>
          <w:sz w:val="32"/>
          <w:szCs w:val="24"/>
        </w:rPr>
        <w:t>和产业</w:t>
      </w:r>
      <w:r>
        <w:rPr>
          <w:rFonts w:ascii="Times New Roman" w:hAnsi="Times New Roman" w:eastAsia="仿宋_GB2312" w:cs="Times New Roman"/>
          <w:sz w:val="32"/>
          <w:szCs w:val="24"/>
        </w:rPr>
        <w:t>开展工业互联网IPv6网络化改造，</w:t>
      </w:r>
      <w:r>
        <w:rPr>
          <w:rFonts w:hint="eastAsia" w:ascii="Times New Roman" w:hAnsi="Times New Roman" w:eastAsia="仿宋_GB2312" w:cs="Times New Roman"/>
          <w:sz w:val="32"/>
          <w:szCs w:val="24"/>
        </w:rPr>
        <w:t>实现网络、应用、终端全面支持IPv6</w:t>
      </w:r>
      <w:r>
        <w:rPr>
          <w:rFonts w:ascii="Times New Roman" w:hAnsi="Times New Roman" w:eastAsia="仿宋_GB2312" w:cs="Times New Roman"/>
          <w:sz w:val="32"/>
          <w:szCs w:val="24"/>
        </w:rPr>
        <w:t>。加快SDN等新一代网络通信技术应用部署和推广应用</w:t>
      </w:r>
      <w:r>
        <w:rPr>
          <w:rFonts w:hint="eastAsia" w:ascii="Times New Roman" w:hAnsi="Times New Roman" w:eastAsia="仿宋_GB2312" w:cs="Times New Roman"/>
          <w:sz w:val="32"/>
          <w:szCs w:val="24"/>
        </w:rPr>
        <w:t>，</w:t>
      </w:r>
      <w:r>
        <w:rPr>
          <w:rFonts w:ascii="Times New Roman" w:hAnsi="Times New Roman" w:eastAsia="仿宋_GB2312" w:cs="Times New Roman"/>
          <w:sz w:val="32"/>
          <w:szCs w:val="24"/>
        </w:rPr>
        <w:t>支持</w:t>
      </w:r>
      <w:r>
        <w:rPr>
          <w:rFonts w:hint="eastAsia" w:ascii="Times New Roman" w:hAnsi="Times New Roman" w:eastAsia="仿宋_GB2312" w:cs="Times New Roman"/>
          <w:sz w:val="32"/>
          <w:szCs w:val="24"/>
        </w:rPr>
        <w:t>机械制造、农业、文化旅游业、新能源等产业领域</w:t>
      </w:r>
      <w:r>
        <w:rPr>
          <w:rFonts w:ascii="Times New Roman" w:hAnsi="Times New Roman" w:eastAsia="仿宋_GB2312" w:cs="Times New Roman"/>
          <w:sz w:val="32"/>
          <w:szCs w:val="24"/>
        </w:rPr>
        <w:t>重点企业</w:t>
      </w:r>
      <w:r>
        <w:rPr>
          <w:rFonts w:hint="eastAsia" w:ascii="Times New Roman" w:hAnsi="Times New Roman" w:eastAsia="仿宋_GB2312" w:cs="Times New Roman"/>
          <w:sz w:val="32"/>
          <w:szCs w:val="24"/>
        </w:rPr>
        <w:t>开展</w:t>
      </w:r>
      <w:r>
        <w:rPr>
          <w:rFonts w:ascii="Times New Roman" w:hAnsi="Times New Roman" w:eastAsia="仿宋_GB2312" w:cs="Times New Roman"/>
          <w:sz w:val="32"/>
          <w:szCs w:val="24"/>
        </w:rPr>
        <w:t>内部网络IP(互联网协议)化、光网化、无线化、扁平化和柔性化改造，完成向下一代互联网的平滑演进升级。</w:t>
      </w:r>
    </w:p>
    <w:tbl>
      <w:tblPr>
        <w:tblStyle w:val="18"/>
        <w:tblW w:w="85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0"/>
      </w:tblGrid>
      <w:tr w14:paraId="2428E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0" w:type="dxa"/>
            <w:tcBorders>
              <w:top w:val="single" w:color="auto" w:sz="4" w:space="0"/>
              <w:left w:val="single" w:color="auto" w:sz="4" w:space="0"/>
              <w:bottom w:val="single" w:color="auto" w:sz="4" w:space="0"/>
              <w:right w:val="single" w:color="auto" w:sz="4" w:space="0"/>
            </w:tcBorders>
          </w:tcPr>
          <w:p w14:paraId="6E98D171">
            <w:pPr>
              <w:widowControl/>
              <w:jc w:val="center"/>
              <w:textAlignment w:val="center"/>
              <w:rPr>
                <w:rFonts w:ascii="楷体_GB2312" w:hAnsi="黑体" w:eastAsia="楷体_GB2312" w:cs="Times New Roman"/>
                <w:b/>
                <w:color w:val="000000"/>
                <w:sz w:val="32"/>
                <w:szCs w:val="32"/>
              </w:rPr>
            </w:pPr>
            <w:r>
              <w:rPr>
                <w:rFonts w:hint="eastAsia" w:ascii="楷体_GB2312" w:hAnsi="黑体" w:eastAsia="楷体_GB2312"/>
                <w:b/>
                <w:color w:val="000000"/>
                <w:sz w:val="32"/>
                <w:szCs w:val="32"/>
                <w:lang w:bidi="ar"/>
              </w:rPr>
              <w:t>专栏</w:t>
            </w:r>
            <w:r>
              <w:rPr>
                <w:rFonts w:ascii="楷体_GB2312" w:hAnsi="黑体" w:eastAsia="楷体_GB2312"/>
                <w:b/>
                <w:color w:val="000000"/>
                <w:sz w:val="32"/>
                <w:szCs w:val="32"/>
                <w:lang w:bidi="ar"/>
              </w:rPr>
              <w:t>1：</w:t>
            </w:r>
            <w:r>
              <w:rPr>
                <w:rFonts w:hint="eastAsia" w:ascii="楷体_GB2312" w:hAnsi="黑体" w:eastAsia="楷体_GB2312"/>
                <w:b/>
                <w:color w:val="000000"/>
                <w:sz w:val="32"/>
                <w:szCs w:val="32"/>
                <w:lang w:bidi="ar"/>
              </w:rPr>
              <w:t>信息网络基础设施重点工程</w:t>
            </w:r>
          </w:p>
        </w:tc>
      </w:tr>
      <w:tr w14:paraId="7C9AB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0" w:type="dxa"/>
            <w:tcBorders>
              <w:top w:val="single" w:color="auto" w:sz="4" w:space="0"/>
              <w:left w:val="single" w:color="auto" w:sz="4" w:space="0"/>
              <w:bottom w:val="single" w:color="auto" w:sz="4" w:space="0"/>
              <w:right w:val="single" w:color="auto" w:sz="4" w:space="0"/>
            </w:tcBorders>
          </w:tcPr>
          <w:p w14:paraId="225845D6">
            <w:pPr>
              <w:spacing w:line="560" w:lineRule="exact"/>
              <w:ind w:firstLine="675"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32"/>
                <w:szCs w:val="32"/>
              </w:rPr>
              <w:t>“双千兆”网络。</w:t>
            </w:r>
            <w:r>
              <w:rPr>
                <w:rFonts w:hint="eastAsia" w:ascii="仿宋_GB2312" w:hAnsi="仿宋_GB2312" w:eastAsia="仿宋_GB2312" w:cs="仿宋_GB2312"/>
                <w:spacing w:val="8"/>
                <w:sz w:val="28"/>
                <w:szCs w:val="28"/>
              </w:rPr>
              <w:t>推进5G基站及千兆光网从县城向农村偏远地区的延伸部署，围绕核心商圈、著名景点、交通枢纽、重点工业园区、公共服务机构等区域精准布局“双千兆”网络基础设施。到2025年，完成1000座5G基站建设，实现行政村千兆宽带网络全覆盖。到2027年，实现全县5G规模商业化应用，打造10个5G融合应用示范案例，千兆光纤网络用户普及率达到全省中上水平，千兆宽带用户占比达到40%。</w:t>
            </w:r>
          </w:p>
          <w:p w14:paraId="1953F132">
            <w:pPr>
              <w:spacing w:line="560" w:lineRule="exact"/>
              <w:ind w:firstLine="675" w:firstLineChars="200"/>
              <w:rPr>
                <w:rFonts w:ascii="仿宋_GB2312" w:hAnsi="Times New Roman" w:eastAsia="仿宋_GB2312" w:cs="Times New Roman"/>
                <w:color w:val="000000"/>
                <w:sz w:val="24"/>
                <w:szCs w:val="24"/>
              </w:rPr>
            </w:pPr>
            <w:r>
              <w:rPr>
                <w:rFonts w:hint="eastAsia" w:ascii="仿宋_GB2312" w:hAnsi="仿宋_GB2312" w:eastAsia="仿宋_GB2312" w:cs="仿宋_GB2312"/>
                <w:b/>
                <w:bCs/>
                <w:spacing w:val="8"/>
                <w:sz w:val="32"/>
                <w:szCs w:val="32"/>
              </w:rPr>
              <w:t>新型互联网基础设施。</w:t>
            </w:r>
            <w:r>
              <w:rPr>
                <w:rFonts w:hint="eastAsia" w:ascii="仿宋_GB2312" w:hAnsi="仿宋_GB2312" w:eastAsia="仿宋_GB2312" w:cs="仿宋_GB2312"/>
                <w:spacing w:val="8"/>
                <w:sz w:val="28"/>
                <w:szCs w:val="28"/>
              </w:rPr>
              <w:t>强化“物联大脑”构造，围绕交通运输、生态保护、市政设施、消防救援、生产制造等领域，统筹集约部署各类物联网传感终端。积极开展党政机关网站和各商业网站完成IPv6升级改造工作，推动全县公共网络及家庭互联网应用向IPv6平滑过渡。到2025年，实现NB-IoT网络全县覆盖，全县网络站点及平台IPv6改造完成。到2027年，建成以新型互联网基础设施为支撑的移动物联网络服务体系，打造赣南新型互联网应用标杆。</w:t>
            </w:r>
          </w:p>
        </w:tc>
      </w:tr>
    </w:tbl>
    <w:p w14:paraId="3404A026">
      <w:pPr>
        <w:pStyle w:val="6"/>
        <w:spacing w:before="0" w:after="0" w:line="240" w:lineRule="auto"/>
        <w:ind w:firstLine="643" w:firstLineChars="200"/>
        <w:rPr>
          <w:rFonts w:ascii="楷体_GB2312" w:hAnsi="黑体" w:eastAsia="楷体_GB2312"/>
        </w:rPr>
      </w:pPr>
      <w:bookmarkStart w:id="62" w:name="_Toc23231"/>
      <w:bookmarkStart w:id="63" w:name="_Toc12000"/>
      <w:bookmarkStart w:id="64" w:name="_Toc147740939"/>
      <w:bookmarkStart w:id="65" w:name="_Toc21524"/>
      <w:bookmarkStart w:id="66" w:name="_Toc6538"/>
      <w:bookmarkStart w:id="67" w:name="_Toc142986312"/>
      <w:r>
        <w:rPr>
          <w:rFonts w:hint="eastAsia" w:ascii="楷体_GB2312" w:hAnsi="黑体" w:eastAsia="楷体_GB2312"/>
        </w:rPr>
        <w:t>（二）打造绿色智能融合基础设施</w:t>
      </w:r>
      <w:bookmarkEnd w:id="62"/>
      <w:bookmarkEnd w:id="63"/>
      <w:bookmarkEnd w:id="64"/>
      <w:bookmarkEnd w:id="65"/>
      <w:bookmarkEnd w:id="66"/>
      <w:bookmarkEnd w:id="67"/>
    </w:p>
    <w:p w14:paraId="1CF972D4">
      <w:pPr>
        <w:ind w:firstLine="643" w:firstLineChars="200"/>
        <w:rPr>
          <w:rFonts w:ascii="仿宋_GB2312" w:hAnsi="黑体" w:eastAsia="仿宋_GB2312"/>
          <w:sz w:val="32"/>
          <w:szCs w:val="32"/>
        </w:rPr>
      </w:pPr>
      <w:bookmarkStart w:id="68" w:name="_Hlk137652344"/>
      <w:r>
        <w:rPr>
          <w:rFonts w:hint="eastAsia" w:ascii="仿宋_GB2312" w:hAnsi="黑体" w:eastAsia="仿宋_GB2312"/>
          <w:b/>
          <w:bCs/>
          <w:sz w:val="32"/>
          <w:szCs w:val="32"/>
        </w:rPr>
        <w:t>统筹部署物联网络感知体系。</w:t>
      </w:r>
      <w:r>
        <w:rPr>
          <w:rFonts w:hint="eastAsia" w:ascii="仿宋_GB2312" w:hAnsi="黑体" w:eastAsia="仿宋_GB2312"/>
          <w:sz w:val="32"/>
          <w:szCs w:val="32"/>
        </w:rPr>
        <w:t>围绕市政建设、公共服务、社区安全、城市管理等重点领域在全社会形成物联网感知设施广泛覆盖，实现统一入网、共享共用。利用</w:t>
      </w:r>
      <w:r>
        <w:rPr>
          <w:rFonts w:ascii="仿宋_GB2312" w:hAnsi="黑体" w:eastAsia="仿宋_GB2312"/>
          <w:sz w:val="32"/>
          <w:szCs w:val="32"/>
        </w:rPr>
        <w:t>4G、5G、NB-IoT（窄带物联网）和</w:t>
      </w:r>
      <w:r>
        <w:rPr>
          <w:rFonts w:hint="eastAsia" w:ascii="仿宋_GB2312" w:hAnsi="黑体" w:eastAsia="仿宋_GB2312"/>
          <w:sz w:val="32"/>
          <w:szCs w:val="32"/>
        </w:rPr>
        <w:t>光纤</w:t>
      </w:r>
      <w:r>
        <w:rPr>
          <w:rFonts w:ascii="仿宋_GB2312" w:hAnsi="黑体" w:eastAsia="仿宋_GB2312"/>
          <w:sz w:val="32"/>
          <w:szCs w:val="32"/>
        </w:rPr>
        <w:t>等接入技术，</w:t>
      </w:r>
      <w:r>
        <w:rPr>
          <w:rFonts w:hint="eastAsia" w:ascii="仿宋_GB2312" w:hAnsi="黑体" w:eastAsia="仿宋_GB2312"/>
          <w:sz w:val="32"/>
          <w:szCs w:val="32"/>
        </w:rPr>
        <w:t>强化固移融合、宽窄结合的物联接入能力，推动建设</w:t>
      </w:r>
      <w:r>
        <w:rPr>
          <w:rFonts w:ascii="仿宋_GB2312" w:hAnsi="黑体" w:eastAsia="仿宋_GB2312"/>
          <w:sz w:val="32"/>
          <w:szCs w:val="32"/>
        </w:rPr>
        <w:t>NB-IoT、4G和5G协同发展的移动物联网综合生态体系。</w:t>
      </w:r>
      <w:r>
        <w:rPr>
          <w:rFonts w:hint="eastAsia" w:ascii="仿宋_GB2312" w:hAnsi="黑体" w:eastAsia="仿宋_GB2312"/>
          <w:sz w:val="32"/>
          <w:szCs w:val="32"/>
        </w:rPr>
        <w:t>依托现有物联网络成果，建立“物联感知+大数据技术”融合服务平台，实现全县物联网感知信息的采集汇聚与管理整合，为各级各部门提供定制化物联网应用终端服务。加快启动物联网示范基地建设，引导“</w:t>
      </w:r>
      <w:r>
        <w:rPr>
          <w:rFonts w:ascii="仿宋_GB2312" w:hAnsi="黑体" w:eastAsia="仿宋_GB2312"/>
          <w:sz w:val="32"/>
          <w:szCs w:val="32"/>
        </w:rPr>
        <w:t>2+1+N”产业</w:t>
      </w:r>
      <w:r>
        <w:rPr>
          <w:rFonts w:hint="eastAsia" w:ascii="仿宋_GB2312" w:hAnsi="黑体" w:eastAsia="仿宋_GB2312"/>
          <w:sz w:val="32"/>
          <w:szCs w:val="32"/>
        </w:rPr>
        <w:t>链</w:t>
      </w:r>
      <w:r>
        <w:rPr>
          <w:rFonts w:ascii="仿宋_GB2312" w:hAnsi="黑体" w:eastAsia="仿宋_GB2312"/>
          <w:sz w:val="32"/>
          <w:szCs w:val="32"/>
        </w:rPr>
        <w:t>集群</w:t>
      </w:r>
      <w:r>
        <w:rPr>
          <w:rFonts w:hint="eastAsia" w:ascii="仿宋_GB2312" w:hAnsi="黑体" w:eastAsia="仿宋_GB2312"/>
          <w:sz w:val="32"/>
          <w:szCs w:val="32"/>
        </w:rPr>
        <w:t>化发展，对新建示范基地进行分级分类、动态管理与质量评价。</w:t>
      </w:r>
    </w:p>
    <w:p w14:paraId="7D59DB97">
      <w:pPr>
        <w:pStyle w:val="2"/>
        <w:ind w:firstLine="643" w:firstLineChars="200"/>
        <w:rPr>
          <w:rFonts w:ascii="仿宋_GB2312" w:hAnsi="黑体" w:eastAsia="仿宋_GB2312"/>
          <w:color w:val="000000" w:themeColor="text1"/>
          <w:sz w:val="32"/>
          <w:szCs w:val="32"/>
          <w14:textFill>
            <w14:solidFill>
              <w14:schemeClr w14:val="tx1"/>
            </w14:solidFill>
          </w14:textFill>
        </w:rPr>
      </w:pPr>
      <w:r>
        <w:rPr>
          <w:rFonts w:hint="eastAsia" w:ascii="仿宋_GB2312" w:hAnsi="黑体" w:eastAsia="仿宋_GB2312"/>
          <w:b/>
          <w:bCs/>
          <w:color w:val="000000" w:themeColor="text1"/>
          <w:sz w:val="32"/>
          <w:szCs w:val="32"/>
          <w14:textFill>
            <w14:solidFill>
              <w14:schemeClr w14:val="tx1"/>
            </w14:solidFill>
          </w14:textFill>
        </w:rPr>
        <w:t>加快传统基础设施数字化改造。</w:t>
      </w:r>
      <w:r>
        <w:rPr>
          <w:rFonts w:hint="eastAsia" w:ascii="仿宋_GB2312" w:hAnsi="黑体" w:eastAsia="仿宋_GB2312"/>
          <w:color w:val="000000" w:themeColor="text1"/>
          <w:sz w:val="32"/>
          <w:szCs w:val="32"/>
          <w14:textFill>
            <w14:solidFill>
              <w14:schemeClr w14:val="tx1"/>
            </w14:solidFill>
          </w14:textFill>
        </w:rPr>
        <w:t>完善智慧水利基础设施，积极推进水利业务智能应用，构建全要素动态感知的水利监测体系，开展数字孪生流域建设，提升重点流域治理管理的数字化水平。建设智慧能源基础设施，推动全县电网智能升级改造，统筹建设新能源充换电基础设施，布局电、油、气等智能终端，推广普及智能照明设备，</w:t>
      </w:r>
      <w:r>
        <w:rPr>
          <w:rFonts w:ascii="仿宋_GB2312" w:hAnsi="黑体" w:eastAsia="仿宋_GB2312"/>
          <w:color w:val="000000" w:themeColor="text1"/>
          <w:sz w:val="32"/>
          <w:szCs w:val="32"/>
          <w14:textFill>
            <w14:solidFill>
              <w14:schemeClr w14:val="tx1"/>
            </w14:solidFill>
          </w14:textFill>
        </w:rPr>
        <w:t>构建</w:t>
      </w:r>
      <w:r>
        <w:rPr>
          <w:rFonts w:hint="eastAsia" w:ascii="仿宋_GB2312" w:hAnsi="黑体" w:eastAsia="仿宋_GB2312"/>
          <w:color w:val="000000" w:themeColor="text1"/>
          <w:sz w:val="32"/>
          <w:szCs w:val="32"/>
          <w14:textFill>
            <w14:solidFill>
              <w14:schemeClr w14:val="tx1"/>
            </w14:solidFill>
          </w14:textFill>
        </w:rPr>
        <w:t>产业园区</w:t>
      </w:r>
      <w:r>
        <w:rPr>
          <w:rFonts w:ascii="仿宋_GB2312" w:hAnsi="黑体" w:eastAsia="仿宋_GB2312"/>
          <w:color w:val="000000" w:themeColor="text1"/>
          <w:sz w:val="32"/>
          <w:szCs w:val="32"/>
          <w14:textFill>
            <w14:solidFill>
              <w14:schemeClr w14:val="tx1"/>
            </w14:solidFill>
          </w14:textFill>
        </w:rPr>
        <w:t>能源数字化综合管理平台，推动两高企业降碳减排。</w:t>
      </w:r>
      <w:r>
        <w:rPr>
          <w:rFonts w:hint="eastAsia" w:ascii="仿宋_GB2312" w:hAnsi="黑体" w:eastAsia="仿宋_GB2312"/>
          <w:color w:val="000000" w:themeColor="text1"/>
          <w:sz w:val="32"/>
          <w:szCs w:val="32"/>
          <w14:textFill>
            <w14:solidFill>
              <w14:schemeClr w14:val="tx1"/>
            </w14:solidFill>
          </w14:textFill>
        </w:rPr>
        <w:t>打造</w:t>
      </w:r>
      <w:r>
        <w:rPr>
          <w:rFonts w:ascii="仿宋_GB2312" w:hAnsi="黑体" w:eastAsia="仿宋_GB2312"/>
          <w:color w:val="000000" w:themeColor="text1"/>
          <w:sz w:val="32"/>
          <w:szCs w:val="32"/>
          <w14:textFill>
            <w14:solidFill>
              <w14:schemeClr w14:val="tx1"/>
            </w14:solidFill>
          </w14:textFill>
        </w:rPr>
        <w:t>智慧</w:t>
      </w:r>
      <w:r>
        <w:rPr>
          <w:rFonts w:hint="eastAsia" w:ascii="仿宋_GB2312" w:hAnsi="黑体" w:eastAsia="仿宋_GB2312"/>
          <w:color w:val="000000" w:themeColor="text1"/>
          <w:sz w:val="32"/>
          <w:szCs w:val="32"/>
          <w14:textFill>
            <w14:solidFill>
              <w14:schemeClr w14:val="tx1"/>
            </w14:solidFill>
          </w14:textFill>
        </w:rPr>
        <w:t>物流</w:t>
      </w:r>
      <w:r>
        <w:rPr>
          <w:rFonts w:ascii="仿宋_GB2312" w:hAnsi="黑体" w:eastAsia="仿宋_GB2312"/>
          <w:color w:val="000000" w:themeColor="text1"/>
          <w:sz w:val="32"/>
          <w:szCs w:val="32"/>
          <w14:textFill>
            <w14:solidFill>
              <w14:schemeClr w14:val="tx1"/>
            </w14:solidFill>
          </w14:textFill>
        </w:rPr>
        <w:t>基础设施，规划建设集货物储存、分拣、配送等功能的大型智慧物流仓储中心</w:t>
      </w:r>
      <w:r>
        <w:rPr>
          <w:rFonts w:hint="eastAsia" w:ascii="仿宋_GB2312" w:hAnsi="黑体" w:eastAsia="仿宋_GB2312"/>
          <w:color w:val="000000" w:themeColor="text1"/>
          <w:sz w:val="32"/>
          <w:szCs w:val="32"/>
          <w14:textFill>
            <w14:solidFill>
              <w14:schemeClr w14:val="tx1"/>
            </w14:solidFill>
          </w14:textFill>
        </w:rPr>
        <w:t>。</w:t>
      </w:r>
    </w:p>
    <w:tbl>
      <w:tblPr>
        <w:tblStyle w:val="18"/>
        <w:tblW w:w="85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0"/>
      </w:tblGrid>
      <w:tr w14:paraId="23939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0" w:type="dxa"/>
            <w:tcBorders>
              <w:top w:val="single" w:color="auto" w:sz="4" w:space="0"/>
              <w:left w:val="single" w:color="auto" w:sz="4" w:space="0"/>
              <w:bottom w:val="single" w:color="auto" w:sz="4" w:space="0"/>
              <w:right w:val="single" w:color="auto" w:sz="4" w:space="0"/>
            </w:tcBorders>
          </w:tcPr>
          <w:p w14:paraId="157E46BC">
            <w:pPr>
              <w:widowControl/>
              <w:jc w:val="center"/>
              <w:textAlignment w:val="center"/>
              <w:rPr>
                <w:rFonts w:ascii="楷体_GB2312" w:hAnsi="黑体" w:eastAsia="楷体_GB2312" w:cs="Times New Roman"/>
                <w:b/>
                <w:color w:val="000000"/>
                <w:sz w:val="32"/>
                <w:szCs w:val="32"/>
              </w:rPr>
            </w:pPr>
            <w:r>
              <w:rPr>
                <w:rFonts w:hint="eastAsia" w:ascii="楷体_GB2312" w:hAnsi="黑体" w:eastAsia="楷体_GB2312"/>
                <w:b/>
                <w:color w:val="000000"/>
                <w:sz w:val="32"/>
                <w:szCs w:val="32"/>
                <w:lang w:bidi="ar"/>
              </w:rPr>
              <w:t>专栏</w:t>
            </w:r>
            <w:r>
              <w:rPr>
                <w:rFonts w:hint="eastAsia" w:ascii="楷体_GB2312" w:hAnsi="黑体" w:eastAsia="楷体_GB2312"/>
                <w:b/>
                <w:color w:val="000000"/>
                <w:sz w:val="32"/>
                <w:szCs w:val="32"/>
                <w:lang w:val="en-US" w:eastAsia="zh-CN" w:bidi="ar"/>
              </w:rPr>
              <w:t>2</w:t>
            </w:r>
            <w:r>
              <w:rPr>
                <w:rFonts w:ascii="楷体_GB2312" w:hAnsi="黑体" w:eastAsia="楷体_GB2312"/>
                <w:b/>
                <w:color w:val="000000"/>
                <w:sz w:val="32"/>
                <w:szCs w:val="32"/>
                <w:lang w:bidi="ar"/>
              </w:rPr>
              <w:t>：融合基础设施</w:t>
            </w:r>
            <w:r>
              <w:rPr>
                <w:rFonts w:hint="eastAsia" w:ascii="楷体_GB2312" w:hAnsi="黑体" w:eastAsia="楷体_GB2312"/>
                <w:b/>
                <w:color w:val="000000"/>
                <w:sz w:val="32"/>
                <w:szCs w:val="32"/>
                <w:lang w:bidi="ar"/>
              </w:rPr>
              <w:t>重点</w:t>
            </w:r>
            <w:r>
              <w:rPr>
                <w:rFonts w:ascii="楷体_GB2312" w:hAnsi="黑体" w:eastAsia="楷体_GB2312"/>
                <w:b/>
                <w:color w:val="000000"/>
                <w:sz w:val="32"/>
                <w:szCs w:val="32"/>
                <w:lang w:bidi="ar"/>
              </w:rPr>
              <w:t>工程</w:t>
            </w:r>
          </w:p>
        </w:tc>
      </w:tr>
      <w:tr w14:paraId="13ED5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0" w:type="dxa"/>
            <w:tcBorders>
              <w:top w:val="single" w:color="auto" w:sz="4" w:space="0"/>
              <w:left w:val="single" w:color="auto" w:sz="4" w:space="0"/>
              <w:bottom w:val="single" w:color="auto" w:sz="4" w:space="0"/>
              <w:right w:val="single" w:color="auto" w:sz="4" w:space="0"/>
            </w:tcBorders>
          </w:tcPr>
          <w:p w14:paraId="5F1C559B">
            <w:pPr>
              <w:spacing w:before="101" w:line="560" w:lineRule="exact"/>
              <w:ind w:left="6" w:firstLine="675"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32"/>
                <w:szCs w:val="32"/>
              </w:rPr>
              <w:t>智慧水利。</w:t>
            </w:r>
            <w:r>
              <w:rPr>
                <w:rFonts w:hint="eastAsia" w:ascii="仿宋_GB2312" w:hAnsi="仿宋_GB2312" w:eastAsia="仿宋_GB2312" w:cs="仿宋_GB2312"/>
                <w:spacing w:val="8"/>
                <w:sz w:val="28"/>
                <w:szCs w:val="28"/>
              </w:rPr>
              <w:t>利用物联网、大数据、卫星遥感、无人机、视频监控等技术，建设天地一体化水利监测体系及高速泛在的水利信息网络。到2025年，建成可投入使用的兴国智慧水利平台与智慧防汛信息系统。到2027年，数字孪生流域技术取得重大突破，实现对万立方米以上山塘及重要河堤的场景仿真模拟。</w:t>
            </w:r>
          </w:p>
          <w:p w14:paraId="177601BF">
            <w:pPr>
              <w:spacing w:before="101" w:line="560" w:lineRule="exact"/>
              <w:ind w:left="6" w:firstLine="675"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32"/>
                <w:szCs w:val="32"/>
              </w:rPr>
              <w:t>智慧能源。</w:t>
            </w:r>
            <w:r>
              <w:rPr>
                <w:rFonts w:hint="eastAsia" w:ascii="仿宋_GB2312" w:hAnsi="仿宋_GB2312" w:eastAsia="仿宋_GB2312" w:cs="仿宋_GB2312"/>
                <w:spacing w:val="8"/>
                <w:sz w:val="28"/>
                <w:szCs w:val="28"/>
              </w:rPr>
              <w:t>构建“源、网、荷、储”协同一体化发展的智能电网服务体系，到2025年全面完成可应对未来分布式能源接入的配电网综合自动化改造工程。着手实施社区节能减排工程，到2025年实现全县智能充电桩、智能灯杆等公共设备规模部署。依托经济开发区“5G+智慧产业园区”建设项目，开展低（零）碳产业园区试点建设，到2025年前保障用能诊断、碳核查、碳足迹等能源管理服务到位，力争到2027年建成兴国县首个碳中和产业园，响应国家2030年前“碳达峰”战略目标。</w:t>
            </w:r>
          </w:p>
          <w:p w14:paraId="2D56360D">
            <w:pPr>
              <w:spacing w:before="101" w:line="560" w:lineRule="exact"/>
              <w:ind w:left="6" w:firstLine="675" w:firstLineChars="200"/>
              <w:rPr>
                <w:rFonts w:ascii="仿宋_GB2312" w:hAnsi="Times New Roman" w:eastAsia="仿宋_GB2312" w:cs="Times New Roman"/>
                <w:color w:val="000000"/>
                <w:sz w:val="24"/>
                <w:szCs w:val="24"/>
              </w:rPr>
            </w:pPr>
            <w:r>
              <w:rPr>
                <w:rFonts w:hint="eastAsia" w:ascii="仿宋_GB2312" w:hAnsi="仿宋_GB2312" w:eastAsia="仿宋_GB2312" w:cs="仿宋_GB2312"/>
                <w:b/>
                <w:bCs/>
                <w:spacing w:val="8"/>
                <w:sz w:val="32"/>
                <w:szCs w:val="32"/>
              </w:rPr>
              <w:t>智慧物流。</w:t>
            </w:r>
            <w:r>
              <w:rPr>
                <w:rFonts w:hint="eastAsia" w:ascii="仿宋_GB2312" w:hAnsi="仿宋_GB2312" w:eastAsia="仿宋_GB2312" w:cs="仿宋_GB2312"/>
                <w:spacing w:val="8"/>
                <w:sz w:val="28"/>
                <w:szCs w:val="28"/>
              </w:rPr>
              <w:t>依托埠头物流园区、乡村商贸物流市场等，整合全县寄递资源，建设城乡物流运输信息共享渠道，完善乡村冷链物流基础设施。到2025年，建成总面积20万平方米的智慧物流产业园（一期），初步实现智能分拣、智能仓储、智能配送等服务功能。到2027年，智慧物流园全面建设完成，进一步培育冷链物流、共享物流、应急物流等新业态，建成一批企业数字物流互联网平台。</w:t>
            </w:r>
          </w:p>
        </w:tc>
      </w:tr>
    </w:tbl>
    <w:p w14:paraId="4D4783CA">
      <w:pPr>
        <w:pStyle w:val="2"/>
      </w:pPr>
    </w:p>
    <w:bookmarkEnd w:id="68"/>
    <w:p w14:paraId="7DF5005F">
      <w:pPr>
        <w:pStyle w:val="24"/>
        <w:numPr>
          <w:ilvl w:val="0"/>
          <w:numId w:val="1"/>
        </w:numPr>
        <w:ind w:firstLineChars="0"/>
        <w:outlineLvl w:val="0"/>
        <w:rPr>
          <w:rFonts w:ascii="黑体" w:hAnsi="黑体" w:eastAsia="黑体"/>
          <w:sz w:val="32"/>
          <w:szCs w:val="32"/>
        </w:rPr>
      </w:pPr>
      <w:r>
        <w:rPr>
          <w:rFonts w:hint="eastAsia" w:ascii="黑体" w:hAnsi="黑体" w:eastAsia="黑体"/>
          <w:sz w:val="32"/>
          <w:szCs w:val="32"/>
          <w:lang w:eastAsia="zh-CN"/>
        </w:rPr>
        <w:t>做大产业集群推动传统产业转型升级</w:t>
      </w:r>
    </w:p>
    <w:p w14:paraId="32882C53">
      <w:pPr>
        <w:widowControl/>
        <w:spacing w:line="560" w:lineRule="atLeast"/>
        <w:ind w:firstLine="656" w:firstLineChars="200"/>
        <w:rPr>
          <w:rFonts w:ascii="仿宋_GB2312" w:hAnsi="仿宋_GB2312" w:eastAsia="仿宋_GB2312" w:cs="仿宋_GB2312"/>
          <w:spacing w:val="4"/>
          <w:sz w:val="32"/>
          <w:szCs w:val="32"/>
        </w:rPr>
      </w:pPr>
      <w:bookmarkStart w:id="69" w:name="_Toc2265"/>
      <w:r>
        <w:rPr>
          <w:rFonts w:hint="eastAsia" w:ascii="仿宋_GB2312" w:hAnsi="仿宋_GB2312" w:eastAsia="仿宋_GB2312" w:cs="仿宋_GB2312"/>
          <w:spacing w:val="4"/>
          <w:sz w:val="32"/>
          <w:szCs w:val="32"/>
        </w:rPr>
        <w:t>聚焦产业数字化转型主战场，</w:t>
      </w:r>
      <w:r>
        <w:rPr>
          <w:rFonts w:ascii="仿宋_GB2312" w:hAnsi="仿宋_GB2312" w:eastAsia="仿宋_GB2312" w:cs="仿宋_GB2312"/>
          <w:spacing w:val="4"/>
          <w:sz w:val="32"/>
          <w:szCs w:val="32"/>
        </w:rPr>
        <w:t>推动互联网、大数据、人工智能与实</w:t>
      </w:r>
      <w:r>
        <w:rPr>
          <w:rFonts w:hint="eastAsia" w:ascii="仿宋_GB2312" w:hAnsi="仿宋_GB2312" w:eastAsia="仿宋_GB2312" w:cs="仿宋_GB2312"/>
          <w:spacing w:val="4"/>
          <w:sz w:val="32"/>
          <w:szCs w:val="32"/>
        </w:rPr>
        <w:t>体经济深度融合，</w:t>
      </w:r>
      <w:r>
        <w:rPr>
          <w:rFonts w:ascii="仿宋_GB2312" w:hAnsi="仿宋_GB2312" w:eastAsia="仿宋_GB2312" w:cs="仿宋_GB2312"/>
          <w:spacing w:val="4"/>
          <w:sz w:val="32"/>
          <w:szCs w:val="32"/>
        </w:rPr>
        <w:t>加快传统产业数字化转型</w:t>
      </w:r>
      <w:r>
        <w:rPr>
          <w:rFonts w:hint="eastAsia" w:ascii="仿宋_GB2312" w:hAnsi="仿宋_GB2312" w:eastAsia="仿宋_GB2312" w:cs="仿宋_GB2312"/>
          <w:spacing w:val="4"/>
          <w:sz w:val="32"/>
          <w:szCs w:val="32"/>
        </w:rPr>
        <w:t>。推动数字技术与服务业、农业、制造业深度融合，促进电子商务、物流、文创、农业农村、传统工业等数字化转型，打造数字化转型示范县。</w:t>
      </w:r>
    </w:p>
    <w:p w14:paraId="2EA37E70">
      <w:pPr>
        <w:pStyle w:val="6"/>
        <w:spacing w:before="0" w:after="0" w:line="240" w:lineRule="auto"/>
        <w:ind w:firstLine="643" w:firstLineChars="200"/>
        <w:rPr>
          <w:rFonts w:ascii="楷体_GB2312" w:hAnsi="黑体" w:eastAsia="楷体_GB2312"/>
          <w:b w:val="0"/>
          <w:bCs w:val="0"/>
        </w:rPr>
      </w:pPr>
      <w:bookmarkStart w:id="70" w:name="_Toc15629"/>
      <w:bookmarkStart w:id="71" w:name="_Toc142986314"/>
      <w:bookmarkStart w:id="72" w:name="_Toc13766"/>
      <w:bookmarkStart w:id="73" w:name="_Toc29194"/>
      <w:bookmarkStart w:id="74" w:name="_Toc147740941"/>
      <w:bookmarkStart w:id="75" w:name="_Toc10000"/>
      <w:bookmarkStart w:id="76" w:name="_Toc17414"/>
      <w:r>
        <w:rPr>
          <w:rFonts w:hint="eastAsia" w:ascii="楷体_GB2312" w:hAnsi="黑体" w:eastAsia="楷体_GB2312"/>
        </w:rPr>
        <w:t>（一）加快农业农村数字化</w:t>
      </w:r>
      <w:bookmarkEnd w:id="70"/>
      <w:r>
        <w:rPr>
          <w:rFonts w:hint="eastAsia" w:ascii="楷体_GB2312" w:hAnsi="黑体" w:eastAsia="楷体_GB2312"/>
        </w:rPr>
        <w:t>转型</w:t>
      </w:r>
      <w:bookmarkEnd w:id="71"/>
      <w:bookmarkEnd w:id="72"/>
      <w:bookmarkEnd w:id="73"/>
      <w:bookmarkEnd w:id="74"/>
      <w:bookmarkEnd w:id="75"/>
      <w:bookmarkEnd w:id="76"/>
    </w:p>
    <w:p w14:paraId="65FCEE6C">
      <w:pPr>
        <w:widowControl/>
        <w:spacing w:line="560" w:lineRule="atLeast"/>
        <w:ind w:firstLine="659" w:firstLineChars="200"/>
        <w:rPr>
          <w:rFonts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加快农业生产数字化赋能</w:t>
      </w:r>
      <w:r>
        <w:rPr>
          <w:rFonts w:hint="eastAsia" w:ascii="仿宋_GB2312" w:hAnsi="仿宋_GB2312" w:eastAsia="仿宋_GB2312" w:cs="仿宋_GB2312"/>
          <w:spacing w:val="4"/>
          <w:sz w:val="32"/>
          <w:szCs w:val="32"/>
        </w:rPr>
        <w:t>。推广农业物联网应用，围绕芦笋、富硒水稻、脐橙、茶叶、灰鹅等兴国特色农业领域，以农田智能监测、养殖环境监测、设施园艺精细管理、设施环境精准控制为重点，打造一批农业物联网示范基地。推动种养基地数字化改造，培育一批数字农业工厂、数字牧场、数字渔场。全力推广新型智能农机装备，引导传统农业机械智能化改造提升，推广使用微喷滴灌溉、养殖配套设施、耕种机械化、园间管理机械等智能农业生产设施，全面提升农业生产自动化、智能化水平。</w:t>
      </w:r>
    </w:p>
    <w:p w14:paraId="5034FBF3">
      <w:pPr>
        <w:widowControl/>
        <w:spacing w:line="560" w:lineRule="atLeast"/>
        <w:ind w:firstLine="659" w:firstLineChars="200"/>
        <w:rPr>
          <w:rFonts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强化农产品溯源管理。</w:t>
      </w:r>
      <w:r>
        <w:rPr>
          <w:rFonts w:hint="eastAsia" w:ascii="仿宋_GB2312" w:hAnsi="仿宋_GB2312" w:eastAsia="仿宋_GB2312" w:cs="仿宋_GB2312"/>
          <w:spacing w:val="4"/>
          <w:sz w:val="32"/>
          <w:szCs w:val="32"/>
        </w:rPr>
        <w:t>聚焦芦笋、茶叶、富硒水稻、脐橙、油茶等农产品，整合现有资源，建设完善兴国县农产品追溯监管体系，并积极与江西省农产品安全追溯平台对接，加快生产基地数字化改造，实现产地环境、农业投入品使用、风险等级、检测结果等信息上链，及时发布全县农产品质量安全状况和风险提示，推进追溯业务“指尖办”，实现农产品质量安全“一网追溯”。依托兴国县综合物流园，加快兴国县冷链系统建设，深度应用物联网、人工智能、区块链、</w:t>
      </w:r>
      <w:r>
        <w:rPr>
          <w:rFonts w:ascii="仿宋_GB2312" w:hAnsi="仿宋_GB2312" w:eastAsia="仿宋_GB2312" w:cs="仿宋_GB2312"/>
          <w:spacing w:val="4"/>
          <w:sz w:val="32"/>
          <w:szCs w:val="32"/>
        </w:rPr>
        <w:t>5G等新技术，实现冷链运输全程监控、冷链产品温控追溯和全程管理信息共享，强化进口冷链食品溯源管理。</w:t>
      </w:r>
    </w:p>
    <w:p w14:paraId="5384ED3E">
      <w:pPr>
        <w:pStyle w:val="3"/>
        <w:spacing w:line="560" w:lineRule="exact"/>
        <w:ind w:left="0" w:leftChars="0" w:firstLine="643" w:firstLineChars="200"/>
      </w:pPr>
      <w:r>
        <w:rPr>
          <w:rFonts w:hint="eastAsia"/>
          <w:b/>
          <w:bCs/>
        </w:rPr>
        <w:t>大力发展农业电子商务</w:t>
      </w:r>
      <w:r>
        <w:rPr>
          <w:rFonts w:hint="eastAsia"/>
        </w:rPr>
        <w:t>。依托电商进农村综合示范项，大力推动电子商务进农村，加强培育农村电子商务市场主体。充分发挥消费帮促平台作用，支持农业经营个体化和农产品、农资批发市场对接京东、拼多多、盒马鲜生等电商平台，打通农产品“上行渠道”。支持电商平台积极下沉市场，采取直播带货、网上平台销售等模式，扩大赣南脐橙、富硒大米、黄元米果、兴国茶油、兴国鱼丝、蜂蜜等特色产品销售。打造农村电商公共服务体系，为兴国县电子商务市场主体提供产品展示、包装、直播、网店运营、快递、代买代卖以及电商培训等公共服务，提升农村电商公共服务效能。</w:t>
      </w:r>
    </w:p>
    <w:p w14:paraId="623CAE32">
      <w:pPr>
        <w:spacing w:line="360" w:lineRule="auto"/>
        <w:ind w:firstLine="643" w:firstLineChars="200"/>
        <w:rPr>
          <w:rFonts w:ascii="Times New Roman" w:hAnsi="Times New Roman" w:eastAsia="仿宋_GB2312" w:cs="仿宋_GB2312"/>
          <w:sz w:val="32"/>
          <w:szCs w:val="24"/>
          <w:lang w:bidi="ar"/>
        </w:rPr>
      </w:pPr>
      <w:r>
        <w:rPr>
          <w:rFonts w:hint="eastAsia" w:ascii="Times New Roman" w:hAnsi="Times New Roman" w:eastAsia="仿宋_GB2312" w:cs="仿宋_GB2312"/>
          <w:b/>
          <w:bCs/>
          <w:sz w:val="32"/>
          <w:szCs w:val="24"/>
          <w:lang w:bidi="ar"/>
        </w:rPr>
        <w:t>推进农业农村服务数字化转型。</w:t>
      </w:r>
      <w:r>
        <w:rPr>
          <w:rFonts w:hint="eastAsia" w:ascii="Times New Roman" w:hAnsi="Times New Roman" w:eastAsia="仿宋_GB2312" w:cs="仿宋_GB2312"/>
          <w:sz w:val="32"/>
          <w:szCs w:val="24"/>
          <w:lang w:bidi="ar"/>
        </w:rPr>
        <w:t>构建兴国县农业科技服务体系，向全县广大农民群众、涉农服务人员及农业企业提供惠农服务、农业技术服务、采购商信息、小贷信息、销售渠道等信息服务。加快益农信息服务社建设，推进农业信息服务进村入户，支持开展农技推广信息化管理培训，组织各级农技人员开展技术培训，提高基层农技推广信息化服务水平，为农民群众提供便捷、高效、经济的信息服务。发展农村数字普惠金融，大力开展农户小额信用贷款、保单质押贷款等业务。</w:t>
      </w:r>
    </w:p>
    <w:p w14:paraId="41D846AB">
      <w:pPr>
        <w:pStyle w:val="2"/>
        <w:rPr>
          <w:lang w:bidi="ar"/>
        </w:rPr>
      </w:pPr>
    </w:p>
    <w:p w14:paraId="64800D8D">
      <w:pPr>
        <w:pStyle w:val="3"/>
        <w:spacing w:after="0" w:line="560" w:lineRule="exact"/>
        <w:ind w:left="0" w:leftChars="0" w:firstLine="659" w:firstLineChars="200"/>
        <w:rPr>
          <w:lang w:bidi="ar"/>
        </w:rPr>
      </w:pPr>
      <w:r>
        <w:rPr>
          <w:rFonts w:hint="eastAsia" w:ascii="仿宋_GB2312" w:hAnsi="仿宋_GB2312" w:cs="仿宋_GB2312"/>
          <w:b/>
          <w:bCs/>
          <w:spacing w:val="4"/>
          <w:szCs w:val="32"/>
        </w:rPr>
        <w:t>探索联农带农致富新模式</w:t>
      </w:r>
      <w:r>
        <w:rPr>
          <w:rFonts w:hint="eastAsia" w:ascii="仿宋_GB2312" w:hAnsi="仿宋_GB2312" w:cs="仿宋_GB2312"/>
          <w:spacing w:val="4"/>
          <w:szCs w:val="32"/>
        </w:rPr>
        <w:t>。以地方农业龙头企业为首，县、乡镇两级政府、相关部门、产业协会重点负责政策引导和规划引领，积极履行社会责任，以各种形式带动农民增收，巩固与农民、村集体、合作社的合作关系。通过组建农业产业协会，联手下属各类型农业产业专业合作社，采取订单式的经营模式，带农民走依靠现代科技，实行规模化、专业化、市场化经营的致富之路，延长农业产业链，转变农户传统的生产经营观念，按照市场需求，以市场为导向来组织生产，建立共担风险、共享利益的深度利益联结机制，让农民实现土地变“股权”、农民变“股民”的梦想，激发农民开发的热情，促进农民共享一二三产业融合发展红利。</w:t>
      </w:r>
    </w:p>
    <w:p w14:paraId="3831CD94">
      <w:pPr>
        <w:pStyle w:val="3"/>
        <w:spacing w:line="560" w:lineRule="exact"/>
        <w:ind w:left="0" w:leftChars="0" w:firstLine="643" w:firstLineChars="200"/>
      </w:pPr>
      <w:r>
        <w:rPr>
          <w:rFonts w:hint="eastAsia" w:ascii="Times New Roman" w:hAnsi="Times New Roman" w:cs="仿宋_GB2312"/>
          <w:b/>
          <w:bCs/>
          <w:szCs w:val="24"/>
          <w:lang w:bidi="ar"/>
        </w:rPr>
        <w:t>加快建设数字乡村</w:t>
      </w:r>
      <w:r>
        <w:rPr>
          <w:rFonts w:hint="eastAsia" w:ascii="Times New Roman" w:hAnsi="Times New Roman" w:cs="仿宋_GB2312"/>
          <w:szCs w:val="24"/>
          <w:lang w:bidi="ar"/>
        </w:rPr>
        <w:t>。推进农村信息基础设施建设，加快农村网络普及覆盖与升级换代</w:t>
      </w:r>
      <w:r>
        <w:rPr>
          <w:rFonts w:ascii="Times New Roman" w:hAnsi="Times New Roman" w:cs="仿宋_GB2312"/>
          <w:szCs w:val="24"/>
          <w:lang w:bidi="ar"/>
        </w:rPr>
        <w:t>；推进农村智能基础设施建设，推动乡村水利、公路、电力等生产生活基础设施数字化改造，加快自动感知终端广泛应用。</w:t>
      </w:r>
      <w:r>
        <w:rPr>
          <w:rFonts w:hint="eastAsia" w:ascii="Times New Roman" w:hAnsi="Times New Roman" w:cs="仿宋_GB2312"/>
          <w:szCs w:val="24"/>
          <w:lang w:bidi="ar"/>
        </w:rPr>
        <w:t>聚焦乡村产业、乡村文旅、乡村治理、乡村服务4个方向，推动政务、教育、医疗等领域“互联网+”服务向农村延伸，提升乡村产业、乡村治理和乡村服务的智能化、数字化水平。推进农村宅基地改革和管理工作数字建设，提升农民建房管理水平。加强县级融媒体中心建设，加强乡村优秀传统文化的保护与传承，加快推进历史文化名镇、名村数字化工作，加大文物资源数字化展示传播与进村力度，建设完善中国传统村落“数字博物馆”。</w:t>
      </w:r>
    </w:p>
    <w:tbl>
      <w:tblPr>
        <w:tblStyle w:val="18"/>
        <w:tblW w:w="85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0"/>
      </w:tblGrid>
      <w:tr w14:paraId="29B7A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550" w:type="dxa"/>
            <w:tcBorders>
              <w:top w:val="single" w:color="auto" w:sz="4" w:space="0"/>
              <w:left w:val="single" w:color="auto" w:sz="4" w:space="0"/>
              <w:bottom w:val="single" w:color="auto" w:sz="4" w:space="0"/>
              <w:right w:val="single" w:color="auto" w:sz="4" w:space="0"/>
            </w:tcBorders>
          </w:tcPr>
          <w:p w14:paraId="0DCAF3B3">
            <w:pPr>
              <w:widowControl/>
              <w:jc w:val="center"/>
              <w:textAlignment w:val="center"/>
              <w:rPr>
                <w:rFonts w:ascii="楷体_GB2312" w:hAnsi="黑体" w:eastAsia="楷体_GB2312" w:cs="Times New Roman"/>
                <w:b/>
                <w:color w:val="000000"/>
                <w:sz w:val="32"/>
                <w:szCs w:val="32"/>
              </w:rPr>
            </w:pPr>
            <w:r>
              <w:rPr>
                <w:rFonts w:hint="eastAsia" w:ascii="楷体_GB2312" w:hAnsi="黑体" w:eastAsia="楷体_GB2312" w:cs="Times New Roman"/>
                <w:b/>
                <w:color w:val="000000"/>
                <w:sz w:val="32"/>
                <w:szCs w:val="32"/>
                <w:lang w:bidi="ar"/>
              </w:rPr>
              <w:t>专栏</w:t>
            </w:r>
            <w:r>
              <w:rPr>
                <w:rFonts w:hint="eastAsia" w:ascii="楷体_GB2312" w:hAnsi="黑体" w:eastAsia="楷体_GB2312" w:cs="Times New Roman"/>
                <w:b/>
                <w:color w:val="000000"/>
                <w:sz w:val="32"/>
                <w:szCs w:val="32"/>
                <w:lang w:val="en-US" w:eastAsia="zh-CN" w:bidi="ar"/>
              </w:rPr>
              <w:t>3</w:t>
            </w:r>
            <w:r>
              <w:rPr>
                <w:rFonts w:ascii="楷体_GB2312" w:hAnsi="黑体" w:eastAsia="楷体_GB2312" w:cs="Times New Roman"/>
                <w:b/>
                <w:color w:val="000000"/>
                <w:sz w:val="32"/>
                <w:szCs w:val="32"/>
                <w:lang w:bidi="ar"/>
              </w:rPr>
              <w:t>：</w:t>
            </w:r>
            <w:r>
              <w:rPr>
                <w:rFonts w:hint="eastAsia" w:ascii="楷体_GB2312" w:hAnsi="黑体" w:eastAsia="楷体_GB2312" w:cs="Times New Roman"/>
                <w:b/>
                <w:color w:val="000000"/>
                <w:sz w:val="32"/>
                <w:szCs w:val="32"/>
                <w:lang w:bidi="ar"/>
              </w:rPr>
              <w:t>农业农村数字化转型特色工程</w:t>
            </w:r>
          </w:p>
        </w:tc>
      </w:tr>
      <w:tr w14:paraId="79587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0" w:type="dxa"/>
            <w:tcBorders>
              <w:top w:val="single" w:color="auto" w:sz="4" w:space="0"/>
              <w:left w:val="single" w:color="auto" w:sz="4" w:space="0"/>
              <w:bottom w:val="single" w:color="auto" w:sz="4" w:space="0"/>
              <w:right w:val="single" w:color="auto" w:sz="4" w:space="0"/>
            </w:tcBorders>
          </w:tcPr>
          <w:p w14:paraId="0AF34905">
            <w:pPr>
              <w:ind w:firstLine="675"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32"/>
                <w:szCs w:val="32"/>
              </w:rPr>
              <w:t>智慧田园综合产业发展带</w:t>
            </w:r>
            <w:r>
              <w:rPr>
                <w:rFonts w:hint="eastAsia" w:ascii="仿宋_GB2312" w:hAnsi="仿宋_GB2312" w:eastAsia="仿宋_GB2312" w:cs="仿宋_GB2312"/>
                <w:spacing w:val="8"/>
                <w:sz w:val="28"/>
                <w:szCs w:val="28"/>
              </w:rPr>
              <w:t>。充分发挥兴国县在设施蔬菜、脐橙、生姜的现代农业产业优势，优选埠头乡、龙口镇、社富乡、高兴镇内一批区位条件较好，且在农业产业基础和旅游资源上均占据一定优势的重点乡村，规划打造一个占地面积达万亩的主题鲜明、设施完备、功能多样、体验丰富的智慧田园综合产业发展带，形成本土特色农业产业集聚效应。以蔬果产业为拳头产业，重点突出拳头产业在智慧田园综合产业发展带中的示范带动作用，在智慧田园综合产业发展带中塑造</w:t>
            </w:r>
            <w:r>
              <w:rPr>
                <w:rFonts w:ascii="仿宋_GB2312" w:hAnsi="仿宋_GB2312" w:eastAsia="仿宋_GB2312" w:cs="仿宋_GB2312"/>
                <w:spacing w:val="8"/>
                <w:sz w:val="28"/>
                <w:szCs w:val="28"/>
              </w:rPr>
              <w:t>1-2个省级智慧农场标杆，3-5个省级农业农业物联网示范基地。逐步形成以埠头乡、龙口镇、社富乡</w:t>
            </w:r>
            <w:r>
              <w:rPr>
                <w:rFonts w:hint="eastAsia" w:ascii="仿宋_GB2312" w:hAnsi="仿宋_GB2312" w:eastAsia="仿宋_GB2312" w:cs="仿宋_GB2312"/>
                <w:spacing w:val="8"/>
                <w:sz w:val="28"/>
                <w:szCs w:val="28"/>
              </w:rPr>
              <w:t>、高兴镇</w:t>
            </w:r>
            <w:r>
              <w:rPr>
                <w:rFonts w:ascii="仿宋_GB2312" w:hAnsi="仿宋_GB2312" w:eastAsia="仿宋_GB2312" w:cs="仿宋_GB2312"/>
                <w:spacing w:val="8"/>
                <w:sz w:val="28"/>
                <w:szCs w:val="28"/>
              </w:rPr>
              <w:t>为核心引领，辐射带动其</w:t>
            </w:r>
            <w:r>
              <w:rPr>
                <w:rFonts w:hint="eastAsia" w:ascii="仿宋_GB2312" w:hAnsi="仿宋_GB2312" w:eastAsia="仿宋_GB2312" w:cs="仿宋_GB2312"/>
                <w:spacing w:val="8"/>
                <w:sz w:val="28"/>
                <w:szCs w:val="28"/>
              </w:rPr>
              <w:t>他乡镇的兴国特色化农业产业发展模式。逐步形成从兴国农产品智慧化生产、加工，到农业观光、农业科普、农事研学体验、农产品购物，再到田园度假、田园养生、古村乡愁体验，一二三产业融合发展的兴国特色农业全产业链。在增加乡村特色农产品附加值的同时，提高农民的收入水平，后期实现以“智慧农业产业带</w:t>
            </w:r>
            <w:r>
              <w:rPr>
                <w:rFonts w:ascii="仿宋_GB2312" w:hAnsi="仿宋_GB2312" w:eastAsia="仿宋_GB2312" w:cs="仿宋_GB2312"/>
                <w:spacing w:val="8"/>
                <w:sz w:val="28"/>
                <w:szCs w:val="28"/>
              </w:rPr>
              <w:t>+乡村旅游+互联网”为主要支撑的乡村产业发展格局，支撑兴国特色农业产业良性发展。</w:t>
            </w:r>
          </w:p>
          <w:p w14:paraId="5F19CDE3">
            <w:pPr>
              <w:ind w:firstLine="675"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32"/>
                <w:szCs w:val="32"/>
              </w:rPr>
              <w:t>联农带农致富新模式</w:t>
            </w:r>
            <w:r>
              <w:rPr>
                <w:rFonts w:hint="eastAsia" w:ascii="仿宋_GB2312" w:hAnsi="仿宋_GB2312" w:eastAsia="仿宋_GB2312" w:cs="仿宋_GB2312"/>
                <w:spacing w:val="8"/>
                <w:sz w:val="28"/>
                <w:szCs w:val="28"/>
              </w:rPr>
              <w:t>。搭建“企业开发招商</w:t>
            </w:r>
            <w:r>
              <w:rPr>
                <w:rFonts w:ascii="仿宋_GB2312" w:hAnsi="仿宋_GB2312" w:eastAsia="仿宋_GB2312" w:cs="仿宋_GB2312"/>
                <w:spacing w:val="8"/>
                <w:sz w:val="28"/>
                <w:szCs w:val="28"/>
              </w:rPr>
              <w:t>+政府协力推进+农户利益共享”特色</w:t>
            </w:r>
            <w:r>
              <w:rPr>
                <w:rFonts w:hint="eastAsia" w:ascii="仿宋_GB2312" w:hAnsi="仿宋_GB2312" w:eastAsia="仿宋_GB2312" w:cs="仿宋_GB2312"/>
                <w:spacing w:val="8"/>
                <w:sz w:val="28"/>
                <w:szCs w:val="28"/>
              </w:rPr>
              <w:t>联农带农致富新模式。龙头</w:t>
            </w:r>
            <w:r>
              <w:rPr>
                <w:rFonts w:ascii="仿宋_GB2312" w:hAnsi="仿宋_GB2312" w:eastAsia="仿宋_GB2312" w:cs="仿宋_GB2312"/>
                <w:spacing w:val="8"/>
                <w:sz w:val="28"/>
                <w:szCs w:val="28"/>
              </w:rPr>
              <w:t>企业主导成立一个平台公司</w:t>
            </w:r>
            <w:r>
              <w:rPr>
                <w:rFonts w:hint="eastAsia" w:ascii="仿宋_GB2312" w:hAnsi="仿宋_GB2312" w:eastAsia="仿宋_GB2312" w:cs="仿宋_GB2312"/>
                <w:spacing w:val="8"/>
                <w:sz w:val="28"/>
                <w:szCs w:val="28"/>
              </w:rPr>
              <w:t>，建议</w:t>
            </w:r>
            <w:r>
              <w:rPr>
                <w:rFonts w:ascii="仿宋_GB2312" w:hAnsi="仿宋_GB2312" w:eastAsia="仿宋_GB2312" w:cs="仿宋_GB2312"/>
                <w:spacing w:val="8"/>
                <w:sz w:val="28"/>
                <w:szCs w:val="28"/>
              </w:rPr>
              <w:t>由“企业+城投公司”联合，成立兴国县现代农业有限公司，牵头探索智慧农业产业园市场化运营路径，负责基础配套建设规划设计和品牌推广服务。政府协助成立一个产业协会</w:t>
            </w:r>
            <w:r>
              <w:rPr>
                <w:rFonts w:hint="eastAsia" w:ascii="仿宋_GB2312" w:hAnsi="仿宋_GB2312" w:eastAsia="仿宋_GB2312" w:cs="仿宋_GB2312"/>
                <w:spacing w:val="8"/>
                <w:sz w:val="28"/>
                <w:szCs w:val="28"/>
              </w:rPr>
              <w:t>，</w:t>
            </w:r>
            <w:r>
              <w:rPr>
                <w:rFonts w:ascii="仿宋_GB2312" w:hAnsi="仿宋_GB2312" w:eastAsia="仿宋_GB2312" w:cs="仿宋_GB2312"/>
                <w:spacing w:val="8"/>
                <w:sz w:val="28"/>
                <w:szCs w:val="28"/>
              </w:rPr>
              <w:t>由</w:t>
            </w:r>
            <w:r>
              <w:rPr>
                <w:rFonts w:hint="eastAsia" w:ascii="仿宋_GB2312" w:hAnsi="仿宋_GB2312" w:eastAsia="仿宋_GB2312" w:cs="仿宋_GB2312"/>
                <w:spacing w:val="8"/>
                <w:sz w:val="28"/>
                <w:szCs w:val="28"/>
              </w:rPr>
              <w:t>龙头</w:t>
            </w:r>
            <w:r>
              <w:rPr>
                <w:rFonts w:ascii="仿宋_GB2312" w:hAnsi="仿宋_GB2312" w:eastAsia="仿宋_GB2312" w:cs="仿宋_GB2312"/>
                <w:spacing w:val="8"/>
                <w:sz w:val="28"/>
                <w:szCs w:val="28"/>
              </w:rPr>
              <w:t>企业</w:t>
            </w:r>
            <w:r>
              <w:rPr>
                <w:rFonts w:hint="eastAsia" w:ascii="仿宋_GB2312" w:hAnsi="仿宋_GB2312" w:eastAsia="仿宋_GB2312" w:cs="仿宋_GB2312"/>
                <w:spacing w:val="8"/>
                <w:sz w:val="28"/>
                <w:szCs w:val="28"/>
              </w:rPr>
              <w:t>牵</w:t>
            </w:r>
            <w:r>
              <w:rPr>
                <w:rFonts w:ascii="仿宋_GB2312" w:hAnsi="仿宋_GB2312" w:eastAsia="仿宋_GB2312" w:cs="仿宋_GB2312"/>
                <w:spacing w:val="8"/>
                <w:sz w:val="28"/>
                <w:szCs w:val="28"/>
              </w:rPr>
              <w:t>头，成立“农业合作发展协会”，联合当地现有农产品企业，搭建区域品牌管理、金融服务绿色通道建立企业抱团发展、资源共享、互利共赢的新机制</w:t>
            </w:r>
            <w:r>
              <w:rPr>
                <w:rFonts w:hint="eastAsia" w:ascii="仿宋_GB2312" w:hAnsi="仿宋_GB2312" w:eastAsia="仿宋_GB2312" w:cs="仿宋_GB2312"/>
                <w:spacing w:val="8"/>
                <w:sz w:val="28"/>
                <w:szCs w:val="28"/>
              </w:rPr>
              <w:t>。</w:t>
            </w:r>
            <w:r>
              <w:rPr>
                <w:rFonts w:ascii="仿宋_GB2312" w:hAnsi="仿宋_GB2312" w:eastAsia="仿宋_GB2312" w:cs="仿宋_GB2312"/>
                <w:spacing w:val="8"/>
                <w:sz w:val="28"/>
                <w:szCs w:val="28"/>
              </w:rPr>
              <w:t>完善一套利益联结发展机制</w:t>
            </w:r>
            <w:r>
              <w:rPr>
                <w:rFonts w:hint="eastAsia" w:ascii="仿宋_GB2312" w:hAnsi="仿宋_GB2312" w:eastAsia="仿宋_GB2312" w:cs="仿宋_GB2312"/>
                <w:spacing w:val="8"/>
                <w:sz w:val="28"/>
                <w:szCs w:val="28"/>
              </w:rPr>
              <w:t>，</w:t>
            </w:r>
            <w:r>
              <w:rPr>
                <w:rFonts w:ascii="仿宋_GB2312" w:hAnsi="仿宋_GB2312" w:eastAsia="仿宋_GB2312" w:cs="仿宋_GB2312"/>
                <w:spacing w:val="8"/>
                <w:sz w:val="28"/>
                <w:szCs w:val="28"/>
              </w:rPr>
              <w:t>形成“龙头企业+合作社+农户+基地+网红直播+积分免费旅游”订单农业模式；“农民合作社+农户+流转收入+订单收入+第二次分红+住宿收入”收益模式；“龙头企业+培训+就业”利益联结模式带动农民就业。</w:t>
            </w:r>
            <w:r>
              <w:rPr>
                <w:rFonts w:hint="eastAsia" w:ascii="仿宋_GB2312" w:hAnsi="仿宋_GB2312" w:eastAsia="仿宋_GB2312" w:cs="仿宋_GB2312"/>
                <w:spacing w:val="8"/>
                <w:sz w:val="28"/>
                <w:szCs w:val="28"/>
              </w:rPr>
              <w:t>到2</w:t>
            </w:r>
            <w:r>
              <w:rPr>
                <w:rFonts w:ascii="仿宋_GB2312" w:hAnsi="仿宋_GB2312" w:eastAsia="仿宋_GB2312" w:cs="仿宋_GB2312"/>
                <w:spacing w:val="8"/>
                <w:sz w:val="28"/>
                <w:szCs w:val="28"/>
              </w:rPr>
              <w:t>025</w:t>
            </w:r>
            <w:r>
              <w:rPr>
                <w:rFonts w:hint="eastAsia" w:ascii="仿宋_GB2312" w:hAnsi="仿宋_GB2312" w:eastAsia="仿宋_GB2312" w:cs="仿宋_GB2312"/>
                <w:spacing w:val="8"/>
                <w:sz w:val="28"/>
                <w:szCs w:val="28"/>
              </w:rPr>
              <w:t>年</w:t>
            </w:r>
            <w:r>
              <w:rPr>
                <w:rFonts w:ascii="仿宋_GB2312" w:hAnsi="仿宋_GB2312" w:eastAsia="仿宋_GB2312" w:cs="仿宋_GB2312"/>
                <w:spacing w:val="8"/>
                <w:sz w:val="28"/>
                <w:szCs w:val="28"/>
              </w:rPr>
              <w:t>，建立联结农户1万户以上的特色农产品生产基地。产业协会内所有企业与农民有效的利益联结机制，农民人均可支配收入超过28500元，带动1万户以上农民振兴乡村。</w:t>
            </w:r>
          </w:p>
        </w:tc>
      </w:tr>
    </w:tbl>
    <w:p w14:paraId="22691620">
      <w:pPr>
        <w:pStyle w:val="2"/>
      </w:pPr>
    </w:p>
    <w:tbl>
      <w:tblPr>
        <w:tblStyle w:val="18"/>
        <w:tblW w:w="85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0"/>
      </w:tblGrid>
      <w:tr w14:paraId="7083B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0" w:type="dxa"/>
            <w:tcBorders>
              <w:top w:val="single" w:color="auto" w:sz="4" w:space="0"/>
              <w:left w:val="single" w:color="auto" w:sz="4" w:space="0"/>
              <w:bottom w:val="single" w:color="auto" w:sz="4" w:space="0"/>
              <w:right w:val="single" w:color="auto" w:sz="4" w:space="0"/>
            </w:tcBorders>
          </w:tcPr>
          <w:p w14:paraId="6584301A">
            <w:pPr>
              <w:widowControl/>
              <w:jc w:val="center"/>
              <w:textAlignment w:val="center"/>
              <w:rPr>
                <w:rFonts w:ascii="楷体_GB2312" w:hAnsi="黑体" w:eastAsia="楷体_GB2312" w:cs="Times New Roman"/>
                <w:b/>
                <w:color w:val="000000"/>
                <w:sz w:val="32"/>
                <w:szCs w:val="32"/>
              </w:rPr>
            </w:pPr>
            <w:bookmarkStart w:id="77" w:name="_Hlk141800138"/>
            <w:r>
              <w:rPr>
                <w:rFonts w:hint="eastAsia" w:ascii="楷体_GB2312" w:hAnsi="黑体" w:eastAsia="楷体_GB2312" w:cs="Times New Roman"/>
                <w:b/>
                <w:color w:val="000000"/>
                <w:sz w:val="32"/>
                <w:szCs w:val="32"/>
                <w:lang w:bidi="ar"/>
              </w:rPr>
              <w:t>专栏</w:t>
            </w:r>
            <w:r>
              <w:rPr>
                <w:rFonts w:hint="eastAsia" w:ascii="楷体_GB2312" w:hAnsi="黑体" w:eastAsia="楷体_GB2312" w:cs="Times New Roman"/>
                <w:b/>
                <w:color w:val="000000"/>
                <w:sz w:val="32"/>
                <w:szCs w:val="32"/>
                <w:lang w:val="en-US" w:eastAsia="zh-CN" w:bidi="ar"/>
              </w:rPr>
              <w:t>4</w:t>
            </w:r>
            <w:r>
              <w:rPr>
                <w:rFonts w:hint="eastAsia" w:ascii="楷体_GB2312" w:hAnsi="黑体" w:eastAsia="楷体_GB2312" w:cs="Times New Roman"/>
                <w:b/>
                <w:color w:val="000000"/>
                <w:sz w:val="32"/>
                <w:szCs w:val="32"/>
                <w:lang w:bidi="ar"/>
              </w:rPr>
              <w:t>：农业农村数字化转型重点工程</w:t>
            </w:r>
          </w:p>
        </w:tc>
      </w:tr>
      <w:tr w14:paraId="467E1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0" w:type="dxa"/>
            <w:tcBorders>
              <w:top w:val="single" w:color="auto" w:sz="4" w:space="0"/>
              <w:left w:val="single" w:color="auto" w:sz="4" w:space="0"/>
              <w:bottom w:val="single" w:color="auto" w:sz="4" w:space="0"/>
              <w:right w:val="single" w:color="auto" w:sz="4" w:space="0"/>
            </w:tcBorders>
          </w:tcPr>
          <w:p w14:paraId="4F7A11AB">
            <w:pPr>
              <w:spacing w:before="101" w:line="560" w:lineRule="exact"/>
              <w:ind w:left="6" w:firstLine="675"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32"/>
                <w:szCs w:val="32"/>
              </w:rPr>
              <w:t>数字乡村试点</w:t>
            </w:r>
            <w:r>
              <w:rPr>
                <w:rFonts w:hint="eastAsia" w:ascii="仿宋_GB2312" w:hAnsi="仿宋_GB2312" w:eastAsia="仿宋_GB2312" w:cs="仿宋_GB2312"/>
                <w:spacing w:val="8"/>
                <w:sz w:val="28"/>
                <w:szCs w:val="28"/>
              </w:rPr>
              <w:t>。稳步开展数字乡村试点示范工程，到</w:t>
            </w:r>
            <w:r>
              <w:rPr>
                <w:rFonts w:ascii="仿宋_GB2312" w:hAnsi="仿宋_GB2312" w:eastAsia="仿宋_GB2312" w:cs="仿宋_GB2312"/>
                <w:spacing w:val="8"/>
                <w:sz w:val="28"/>
                <w:szCs w:val="28"/>
              </w:rPr>
              <w:t>202</w:t>
            </w:r>
            <w:r>
              <w:rPr>
                <w:rFonts w:hint="eastAsia" w:ascii="仿宋_GB2312" w:hAnsi="仿宋_GB2312" w:eastAsia="仿宋_GB2312" w:cs="仿宋_GB2312"/>
                <w:spacing w:val="8"/>
                <w:sz w:val="28"/>
                <w:szCs w:val="28"/>
              </w:rPr>
              <w:t>6</w:t>
            </w:r>
            <w:r>
              <w:rPr>
                <w:rFonts w:ascii="仿宋_GB2312" w:hAnsi="仿宋_GB2312" w:eastAsia="仿宋_GB2312" w:cs="仿宋_GB2312"/>
                <w:spacing w:val="8"/>
                <w:sz w:val="28"/>
                <w:szCs w:val="28"/>
              </w:rPr>
              <w:t>年，完成埠头乡、龙口镇数字乡村试点工程，力争申报数字农业创新应用场景基地1个以上，到2027年，打造完成数字乡村创新发展优秀案例2</w:t>
            </w:r>
            <w:r>
              <w:rPr>
                <w:rFonts w:hint="eastAsia" w:ascii="仿宋_GB2312" w:hAnsi="仿宋_GB2312" w:eastAsia="仿宋_GB2312" w:cs="仿宋_GB2312"/>
                <w:spacing w:val="8"/>
                <w:sz w:val="28"/>
                <w:szCs w:val="28"/>
              </w:rPr>
              <w:t>-</w:t>
            </w:r>
            <w:r>
              <w:rPr>
                <w:rFonts w:ascii="仿宋_GB2312" w:hAnsi="仿宋_GB2312" w:eastAsia="仿宋_GB2312" w:cs="仿宋_GB2312"/>
                <w:spacing w:val="8"/>
                <w:sz w:val="28"/>
                <w:szCs w:val="28"/>
              </w:rPr>
              <w:t>3个。</w:t>
            </w:r>
          </w:p>
          <w:p w14:paraId="2FBC33C3">
            <w:pPr>
              <w:spacing w:before="101" w:line="560" w:lineRule="exact"/>
              <w:ind w:left="6" w:firstLine="594"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28"/>
                <w:szCs w:val="28"/>
              </w:rPr>
              <w:t>----埠头乡。</w:t>
            </w:r>
            <w:r>
              <w:rPr>
                <w:rFonts w:hint="eastAsia" w:ascii="仿宋_GB2312" w:hAnsi="仿宋_GB2312" w:eastAsia="仿宋_GB2312" w:cs="仿宋_GB2312"/>
                <w:spacing w:val="8"/>
                <w:sz w:val="28"/>
                <w:szCs w:val="28"/>
              </w:rPr>
              <w:t>推进兴国拓诚农业科技有限公司“智慧农业”项目，打造中控室一键远程控制、全面监测管控、水肥一体化、产品溯源、线上销售等，推动生产基地智能化、加工企业数字化改造。依托“互联网+”农产品出村进城工程建设埠头乡电商服务平台，鼓励专业合作社、专业大户开办特色农产品销售网店和抖音直播带货，鼓励开展“线上+线下”融合发展模式，拓宽消费帮扶渠道，进一步打响“富硒芦笋”品牌影响力。以美丽圩镇建设为契机，推进埠头乡“智慧乡镇”建设，为公众提供更便捷、更实惠的生产生活服务。到2</w:t>
            </w:r>
            <w:r>
              <w:rPr>
                <w:rFonts w:ascii="仿宋_GB2312" w:hAnsi="仿宋_GB2312" w:eastAsia="仿宋_GB2312" w:cs="仿宋_GB2312"/>
                <w:spacing w:val="8"/>
                <w:sz w:val="28"/>
                <w:szCs w:val="28"/>
              </w:rPr>
              <w:t>024</w:t>
            </w:r>
            <w:r>
              <w:rPr>
                <w:rFonts w:hint="eastAsia" w:ascii="仿宋_GB2312" w:hAnsi="仿宋_GB2312" w:eastAsia="仿宋_GB2312" w:cs="仿宋_GB2312"/>
                <w:spacing w:val="8"/>
                <w:sz w:val="28"/>
                <w:szCs w:val="28"/>
              </w:rPr>
              <w:t>年，拓诚农业有限公司“智慧农业”建设完成，埠头乡电商服务平台投入使用，埠头乡电商服务平台投入使用，埠头乡“智慧乡镇”建设投入运行，“富硒芦笋”品牌效应与经济效益齐丰收，埠头乡成为省级数字乡村试点乡镇。到2026年埠头乡“智慧乡镇”建设完成，农业生产更具智慧、乡村治理更加精准、产业发展更为兴旺，乡村振兴建设取得新成果。</w:t>
            </w:r>
          </w:p>
          <w:p w14:paraId="4E750A30">
            <w:pPr>
              <w:spacing w:line="560" w:lineRule="exact"/>
              <w:ind w:firstLine="594"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28"/>
                <w:szCs w:val="28"/>
              </w:rPr>
              <w:t>----龙口镇</w:t>
            </w:r>
            <w:r>
              <w:rPr>
                <w:rFonts w:hint="eastAsia" w:ascii="仿宋_GB2312" w:hAnsi="仿宋_GB2312" w:eastAsia="仿宋_GB2312" w:cs="仿宋_GB2312"/>
                <w:spacing w:val="8"/>
                <w:sz w:val="28"/>
                <w:szCs w:val="28"/>
              </w:rPr>
              <w:t>。依托睦埠村蔬菜基地数字农业管理中心，积极引进农民专业合作社，运用大数据、物联网等数字技术作用于螺丝椒等农产品生产要素配置优化和集成，并与螺丝椒等农产品生产、经营、管理、服务等环节深度融合，实现产业转型升级。运用移动互联网、物联网、大数据、</w:t>
            </w:r>
            <w:r>
              <w:rPr>
                <w:rFonts w:ascii="仿宋_GB2312" w:hAnsi="仿宋_GB2312" w:eastAsia="仿宋_GB2312" w:cs="仿宋_GB2312"/>
                <w:spacing w:val="8"/>
                <w:sz w:val="28"/>
                <w:szCs w:val="28"/>
              </w:rPr>
              <w:t>AR/VR等新一代信息技术</w:t>
            </w:r>
            <w:r>
              <w:rPr>
                <w:rFonts w:hint="eastAsia" w:ascii="仿宋_GB2312" w:hAnsi="仿宋_GB2312" w:eastAsia="仿宋_GB2312" w:cs="仿宋_GB2312"/>
                <w:spacing w:val="8"/>
                <w:sz w:val="28"/>
                <w:szCs w:val="28"/>
              </w:rPr>
              <w:t>讲好“讨米革命、启耀初心”故事，将“一馆一心两片区”景点融入兴国全域红色旅游布局中。依托乡镇政府、银行、客运站等，增加乡镇便民服务中心数量。开展“</w:t>
            </w:r>
            <w:r>
              <w:rPr>
                <w:rFonts w:ascii="仿宋_GB2312" w:hAnsi="仿宋_GB2312" w:eastAsia="仿宋_GB2312" w:cs="仿宋_GB2312"/>
                <w:spacing w:val="8"/>
                <w:sz w:val="28"/>
                <w:szCs w:val="28"/>
              </w:rPr>
              <w:t>15</w:t>
            </w:r>
            <w:r>
              <w:rPr>
                <w:rFonts w:hint="eastAsia" w:ascii="仿宋_GB2312" w:hAnsi="仿宋_GB2312" w:eastAsia="仿宋_GB2312" w:cs="仿宋_GB2312"/>
                <w:spacing w:val="8"/>
                <w:sz w:val="28"/>
                <w:szCs w:val="28"/>
              </w:rPr>
              <w:t>分钟办事圈”乡镇试点，将乡镇事项延伸至村代办点受理，便民服务中心后台分类审批，通过“让数据多跑路，群众少跑路”</w:t>
            </w:r>
            <w:r>
              <w:rPr>
                <w:rFonts w:ascii="仿宋_GB2312" w:hAnsi="仿宋_GB2312" w:eastAsia="仿宋_GB2312" w:cs="仿宋_GB2312"/>
                <w:spacing w:val="8"/>
                <w:sz w:val="28"/>
                <w:szCs w:val="28"/>
              </w:rPr>
              <w:t>将政务服务送到家门口，进一步缩短群众办事距离</w:t>
            </w:r>
            <w:r>
              <w:rPr>
                <w:rFonts w:hint="eastAsia" w:ascii="仿宋_GB2312" w:hAnsi="仿宋_GB2312" w:eastAsia="仿宋_GB2312" w:cs="仿宋_GB2312"/>
                <w:spacing w:val="8"/>
                <w:sz w:val="28"/>
                <w:szCs w:val="28"/>
              </w:rPr>
              <w:t>。到2</w:t>
            </w:r>
            <w:r>
              <w:rPr>
                <w:rFonts w:ascii="仿宋_GB2312" w:hAnsi="仿宋_GB2312" w:eastAsia="仿宋_GB2312" w:cs="仿宋_GB2312"/>
                <w:spacing w:val="8"/>
                <w:sz w:val="28"/>
                <w:szCs w:val="28"/>
              </w:rPr>
              <w:t>025</w:t>
            </w:r>
            <w:r>
              <w:rPr>
                <w:rFonts w:hint="eastAsia" w:ascii="仿宋_GB2312" w:hAnsi="仿宋_GB2312" w:eastAsia="仿宋_GB2312" w:cs="仿宋_GB2312"/>
                <w:spacing w:val="8"/>
                <w:sz w:val="28"/>
                <w:szCs w:val="28"/>
              </w:rPr>
              <w:t>年成功打造2“1</w:t>
            </w:r>
            <w:r>
              <w:rPr>
                <w:rFonts w:ascii="仿宋_GB2312" w:hAnsi="仿宋_GB2312" w:eastAsia="仿宋_GB2312" w:cs="仿宋_GB2312"/>
                <w:spacing w:val="8"/>
                <w:sz w:val="28"/>
                <w:szCs w:val="28"/>
              </w:rPr>
              <w:t>5</w:t>
            </w:r>
            <w:r>
              <w:rPr>
                <w:rFonts w:hint="eastAsia" w:ascii="仿宋_GB2312" w:hAnsi="仿宋_GB2312" w:eastAsia="仿宋_GB2312" w:cs="仿宋_GB2312"/>
                <w:spacing w:val="8"/>
                <w:sz w:val="28"/>
                <w:szCs w:val="28"/>
              </w:rPr>
              <w:t>分钟办事圈”，龙口镇成功申报省数字乡村试点。</w:t>
            </w:r>
          </w:p>
          <w:p w14:paraId="23C10B5E">
            <w:pPr>
              <w:pStyle w:val="3"/>
              <w:spacing w:after="0" w:line="560" w:lineRule="exact"/>
              <w:ind w:left="0" w:leftChars="0" w:firstLine="643" w:firstLineChars="200"/>
              <w:rPr>
                <w:rFonts w:ascii="仿宋_GB2312"/>
                <w:sz w:val="28"/>
                <w:szCs w:val="40"/>
              </w:rPr>
            </w:pPr>
            <w:r>
              <w:rPr>
                <w:rFonts w:hint="eastAsia" w:ascii="仿宋_GB2312"/>
                <w:b/>
                <w:bCs/>
              </w:rPr>
              <w:t>智慧农（牧、渔）场试点</w:t>
            </w:r>
            <w:r>
              <w:rPr>
                <w:rFonts w:hint="eastAsia" w:ascii="仿宋_GB2312"/>
                <w:sz w:val="28"/>
                <w:szCs w:val="40"/>
              </w:rPr>
              <w:t>。重点围绕江西省农业七大产业发展要求，兼顾蔬菜、脐橙、油茶、生猪、灰鹅、茶叶、富硒大米等优势产业，围绕</w:t>
            </w:r>
            <w:r>
              <w:rPr>
                <w:rFonts w:ascii="仿宋_GB2312"/>
                <w:sz w:val="28"/>
                <w:szCs w:val="40"/>
              </w:rPr>
              <w:t>网络通信设备、物联网设备、智能控制终端、农业装备数字化改造、智慧控制信息系统等建设,实现农业生产、管理、经营等各环节智能精准作业和数字化、智能化，打造各具特色的智慧农业示范样板。</w:t>
            </w:r>
            <w:r>
              <w:rPr>
                <w:rFonts w:hint="eastAsia" w:ascii="仿宋_GB2312"/>
                <w:sz w:val="28"/>
                <w:szCs w:val="40"/>
              </w:rPr>
              <w:t>到2</w:t>
            </w:r>
            <w:r>
              <w:rPr>
                <w:rFonts w:ascii="仿宋_GB2312"/>
                <w:sz w:val="28"/>
                <w:szCs w:val="40"/>
              </w:rPr>
              <w:t>024</w:t>
            </w:r>
            <w:r>
              <w:rPr>
                <w:rFonts w:hint="eastAsia" w:ascii="仿宋_GB2312"/>
                <w:sz w:val="28"/>
                <w:szCs w:val="40"/>
              </w:rPr>
              <w:t>年，建成智慧农场、智慧果园、智慧牧场、智慧渔场等</w:t>
            </w:r>
            <w:r>
              <w:rPr>
                <w:rFonts w:hint="eastAsia" w:ascii="仿宋_GB2312"/>
                <w:sz w:val="28"/>
                <w:szCs w:val="40"/>
                <w:lang w:val="en-US" w:eastAsia="zh-CN"/>
              </w:rPr>
              <w:t>2</w:t>
            </w:r>
            <w:r>
              <w:rPr>
                <w:rFonts w:hint="eastAsia" w:ascii="仿宋_GB2312"/>
                <w:sz w:val="28"/>
                <w:szCs w:val="40"/>
              </w:rPr>
              <w:t>个以上，实现种养全过程智能化、平台化管理。到2025年，省级农业物联网示范基地数量达到</w:t>
            </w:r>
            <w:r>
              <w:rPr>
                <w:rFonts w:hint="eastAsia" w:ascii="仿宋_GB2312"/>
                <w:sz w:val="28"/>
                <w:szCs w:val="40"/>
                <w:lang w:val="en-US" w:eastAsia="zh-CN"/>
              </w:rPr>
              <w:t>5</w:t>
            </w:r>
            <w:r>
              <w:rPr>
                <w:rFonts w:hint="eastAsia" w:ascii="仿宋_GB2312"/>
                <w:sz w:val="28"/>
                <w:szCs w:val="40"/>
              </w:rPr>
              <w:t>个，到2027年，省级农业物联网示范基地数量达到</w:t>
            </w:r>
            <w:r>
              <w:rPr>
                <w:rFonts w:hint="eastAsia" w:ascii="仿宋_GB2312"/>
                <w:sz w:val="28"/>
                <w:szCs w:val="40"/>
                <w:lang w:val="en-US" w:eastAsia="zh-CN"/>
              </w:rPr>
              <w:t>8</w:t>
            </w:r>
            <w:r>
              <w:rPr>
                <w:rFonts w:hint="eastAsia" w:ascii="仿宋_GB2312"/>
                <w:sz w:val="28"/>
                <w:szCs w:val="40"/>
              </w:rPr>
              <w:t>个。</w:t>
            </w:r>
          </w:p>
        </w:tc>
      </w:tr>
    </w:tbl>
    <w:p w14:paraId="4DC29DE0">
      <w:pPr>
        <w:pStyle w:val="2"/>
      </w:pPr>
    </w:p>
    <w:bookmarkEnd w:id="77"/>
    <w:p w14:paraId="57C62E20">
      <w:pPr>
        <w:pStyle w:val="6"/>
        <w:spacing w:before="0" w:after="0" w:line="240" w:lineRule="auto"/>
        <w:ind w:firstLine="643" w:firstLineChars="200"/>
        <w:rPr>
          <w:rFonts w:ascii="楷体_GB2312" w:hAnsi="黑体" w:eastAsia="楷体_GB2312"/>
          <w:b w:val="0"/>
          <w:bCs w:val="0"/>
        </w:rPr>
      </w:pPr>
      <w:bookmarkStart w:id="78" w:name="_Toc31154"/>
      <w:bookmarkStart w:id="79" w:name="_Toc142986315"/>
      <w:bookmarkStart w:id="80" w:name="_Toc24937"/>
      <w:bookmarkStart w:id="81" w:name="_Toc29521"/>
      <w:bookmarkStart w:id="82" w:name="_Toc147740942"/>
      <w:bookmarkStart w:id="83" w:name="_Toc25655"/>
      <w:r>
        <w:rPr>
          <w:rFonts w:hint="eastAsia" w:ascii="楷体_GB2312" w:hAnsi="黑体" w:eastAsia="楷体_GB2312"/>
        </w:rPr>
        <w:t>（二）加速推动制造业数字化转型</w:t>
      </w:r>
      <w:bookmarkEnd w:id="69"/>
      <w:bookmarkEnd w:id="78"/>
      <w:bookmarkEnd w:id="79"/>
      <w:bookmarkEnd w:id="80"/>
      <w:bookmarkEnd w:id="81"/>
      <w:bookmarkEnd w:id="82"/>
      <w:bookmarkEnd w:id="83"/>
    </w:p>
    <w:p w14:paraId="2CB5BEDF">
      <w:pPr>
        <w:spacing w:line="560" w:lineRule="exact"/>
        <w:ind w:firstLine="643" w:firstLineChars="200"/>
        <w:rPr>
          <w:rFonts w:ascii="仿宋_GB2312" w:hAnsi="黑体" w:eastAsia="仿宋_GB2312"/>
          <w:sz w:val="32"/>
          <w:szCs w:val="32"/>
        </w:rPr>
      </w:pPr>
      <w:r>
        <w:rPr>
          <w:rFonts w:hint="eastAsia" w:ascii="仿宋_GB2312" w:hAnsi="黑体" w:eastAsia="仿宋_GB2312"/>
          <w:b/>
          <w:bCs/>
          <w:sz w:val="32"/>
          <w:szCs w:val="32"/>
        </w:rPr>
        <w:t>推进优势产业数字化转型。</w:t>
      </w:r>
      <w:r>
        <w:rPr>
          <w:rFonts w:hint="eastAsia" w:ascii="仿宋_GB2312" w:hAnsi="黑体" w:eastAsia="仿宋_GB2312"/>
          <w:sz w:val="32"/>
          <w:szCs w:val="32"/>
        </w:rPr>
        <w:t>重点围绕纺织服装、含氟新材料等优势领域，坚持“产业带动、示范引领”的发展思路，实施传统产业转型升级，开展全链条数字化改造，促进产业基础高级化和产业链条现代化。聚焦纺织服装产业链，着力引进服装设计、智能生产、产品销售、品检仓储物流、互联网大数据信息、人才培育等产业发展关键环节的重要企业，补齐原料供应、专业市场建设等产业链短板。提升纺织服装行业智能化管理水平，推动纺织服装产业建设可视化、移动化智能化供应链管理体系，加快发展智慧营销、大规模个性化服装定制等新业态新模式。聚焦含氟新材料产业链，全面贯彻落实《赣州市氟盐新材料产业高质量发展三年行动方案（</w:t>
      </w:r>
      <w:r>
        <w:rPr>
          <w:rFonts w:ascii="仿宋_GB2312" w:hAnsi="黑体" w:eastAsia="仿宋_GB2312"/>
          <w:sz w:val="32"/>
          <w:szCs w:val="32"/>
        </w:rPr>
        <w:t>2023-2025）》，依托萤石资源优势，深化与市属国有平台、全国龙头企业合作模式，做深做精“萤石精矿-氢氟酸-氟化工产品”产业链，做优做强萤石（氟盐）加工产业平台，加快推进（含氟）新材料产业提档升级、提质增效。</w:t>
      </w:r>
    </w:p>
    <w:p w14:paraId="02135B8D">
      <w:pPr>
        <w:ind w:firstLine="643" w:firstLineChars="200"/>
        <w:rPr>
          <w:rFonts w:ascii="仿宋_GB2312" w:hAnsi="黑体" w:eastAsia="仿宋_GB2312"/>
          <w:sz w:val="32"/>
          <w:szCs w:val="32"/>
        </w:rPr>
      </w:pPr>
      <w:r>
        <w:rPr>
          <w:rFonts w:hint="eastAsia" w:ascii="仿宋_GB2312" w:hAnsi="黑体" w:eastAsia="仿宋_GB2312"/>
          <w:b/>
          <w:bCs/>
          <w:sz w:val="32"/>
          <w:szCs w:val="32"/>
        </w:rPr>
        <w:t>深化</w:t>
      </w:r>
      <w:r>
        <w:rPr>
          <w:rFonts w:ascii="仿宋_GB2312" w:hAnsi="黑体" w:eastAsia="仿宋_GB2312"/>
          <w:b/>
          <w:bCs/>
          <w:sz w:val="32"/>
          <w:szCs w:val="32"/>
        </w:rPr>
        <w:t>工业互联</w:t>
      </w:r>
      <w:r>
        <w:rPr>
          <w:rFonts w:hint="eastAsia" w:ascii="仿宋_GB2312" w:hAnsi="黑体" w:eastAsia="仿宋_GB2312"/>
          <w:b/>
          <w:bCs/>
          <w:sz w:val="32"/>
          <w:szCs w:val="32"/>
        </w:rPr>
        <w:t>网网络体系。</w:t>
      </w:r>
      <w:r>
        <w:rPr>
          <w:rFonts w:hint="eastAsia" w:ascii="仿宋_GB2312" w:hAnsi="黑体" w:eastAsia="仿宋_GB2312"/>
          <w:sz w:val="32"/>
          <w:szCs w:val="32"/>
        </w:rPr>
        <w:t>统筹“</w:t>
      </w:r>
      <w:r>
        <w:rPr>
          <w:rFonts w:ascii="仿宋_GB2312" w:hAnsi="黑体" w:eastAsia="仿宋_GB2312"/>
          <w:sz w:val="32"/>
          <w:szCs w:val="32"/>
        </w:rPr>
        <w:t>5G+工业互联网</w:t>
      </w:r>
      <w:r>
        <w:rPr>
          <w:rFonts w:hint="eastAsia" w:ascii="仿宋_GB2312" w:hAnsi="黑体" w:eastAsia="仿宋_GB2312"/>
          <w:sz w:val="32"/>
          <w:szCs w:val="32"/>
        </w:rPr>
        <w:t>”融合应用、企业内外网改造升级、标识解析应用服务平台建设等工作，构建兴国县工业互联网一体化网络布局。推动重点行业“5</w:t>
      </w:r>
      <w:r>
        <w:rPr>
          <w:rFonts w:ascii="仿宋_GB2312" w:hAnsi="黑体" w:eastAsia="仿宋_GB2312"/>
          <w:sz w:val="32"/>
          <w:szCs w:val="32"/>
        </w:rPr>
        <w:t>G+</w:t>
      </w:r>
      <w:r>
        <w:rPr>
          <w:rFonts w:hint="eastAsia" w:ascii="仿宋_GB2312" w:hAnsi="黑体" w:eastAsia="仿宋_GB2312"/>
          <w:sz w:val="32"/>
          <w:szCs w:val="32"/>
        </w:rPr>
        <w:t>工业互联网”应用，</w:t>
      </w:r>
      <w:r>
        <w:rPr>
          <w:rFonts w:ascii="仿宋_GB2312" w:hAnsi="黑体" w:eastAsia="仿宋_GB2312"/>
          <w:sz w:val="32"/>
          <w:szCs w:val="32"/>
        </w:rPr>
        <w:t>依托兴国</w:t>
      </w:r>
      <w:r>
        <w:rPr>
          <w:rFonts w:hint="eastAsia" w:ascii="仿宋_GB2312" w:hAnsi="黑体" w:eastAsia="仿宋_GB2312"/>
          <w:sz w:val="32"/>
          <w:szCs w:val="32"/>
        </w:rPr>
        <w:t>“</w:t>
      </w:r>
      <w:r>
        <w:rPr>
          <w:rFonts w:ascii="仿宋_GB2312" w:hAnsi="黑体" w:eastAsia="仿宋_GB2312"/>
          <w:sz w:val="32"/>
          <w:szCs w:val="32"/>
        </w:rPr>
        <w:t>工业倍增升级</w:t>
      </w:r>
      <w:r>
        <w:rPr>
          <w:rFonts w:hint="eastAsia" w:ascii="仿宋_GB2312" w:hAnsi="黑体" w:eastAsia="仿宋_GB2312"/>
          <w:sz w:val="32"/>
          <w:szCs w:val="32"/>
        </w:rPr>
        <w:t>”</w:t>
      </w:r>
      <w:r>
        <w:rPr>
          <w:rFonts w:ascii="仿宋_GB2312" w:hAnsi="黑体" w:eastAsia="仿宋_GB2312"/>
          <w:sz w:val="32"/>
          <w:szCs w:val="32"/>
        </w:rPr>
        <w:t>行动方案，</w:t>
      </w:r>
      <w:r>
        <w:rPr>
          <w:rFonts w:hint="eastAsia" w:ascii="仿宋_GB2312" w:hAnsi="黑体" w:eastAsia="仿宋_GB2312"/>
          <w:sz w:val="32"/>
          <w:szCs w:val="32"/>
        </w:rPr>
        <w:t>打通电子信息、纺织服装、新材料等行业企业生产、加工、销售、物流等环节，打造“</w:t>
      </w:r>
      <w:r>
        <w:rPr>
          <w:rFonts w:ascii="仿宋_GB2312" w:hAnsi="黑体" w:eastAsia="仿宋_GB2312"/>
          <w:sz w:val="32"/>
          <w:szCs w:val="32"/>
        </w:rPr>
        <w:t>5G+</w:t>
      </w:r>
      <w:r>
        <w:rPr>
          <w:rFonts w:hint="eastAsia" w:ascii="仿宋_GB2312" w:hAnsi="黑体" w:eastAsia="仿宋_GB2312"/>
          <w:sz w:val="32"/>
          <w:szCs w:val="32"/>
        </w:rPr>
        <w:t>智能工厂”</w:t>
      </w:r>
      <w:r>
        <w:rPr>
          <w:rFonts w:ascii="仿宋_GB2312" w:hAnsi="黑体" w:eastAsia="仿宋_GB2312"/>
          <w:sz w:val="32"/>
          <w:szCs w:val="32"/>
        </w:rPr>
        <w:t>示范标杆，积极培育</w:t>
      </w:r>
      <w:r>
        <w:rPr>
          <w:rFonts w:hint="eastAsia" w:ascii="仿宋_GB2312" w:hAnsi="黑体" w:eastAsia="仿宋_GB2312"/>
          <w:sz w:val="32"/>
          <w:szCs w:val="32"/>
        </w:rPr>
        <w:t>“</w:t>
      </w:r>
      <w:r>
        <w:rPr>
          <w:rFonts w:ascii="仿宋_GB2312" w:hAnsi="黑体" w:eastAsia="仿宋_GB2312"/>
          <w:sz w:val="32"/>
          <w:szCs w:val="32"/>
        </w:rPr>
        <w:t>5G+工业互联网</w:t>
      </w:r>
      <w:r>
        <w:rPr>
          <w:rFonts w:hint="eastAsia" w:ascii="仿宋_GB2312" w:hAnsi="黑体" w:eastAsia="仿宋_GB2312"/>
          <w:sz w:val="32"/>
          <w:szCs w:val="32"/>
        </w:rPr>
        <w:t>”</w:t>
      </w:r>
      <w:r>
        <w:rPr>
          <w:rFonts w:ascii="仿宋_GB2312" w:hAnsi="黑体" w:eastAsia="仿宋_GB2312"/>
          <w:sz w:val="32"/>
          <w:szCs w:val="32"/>
        </w:rPr>
        <w:t>示范基地</w:t>
      </w:r>
      <w:r>
        <w:rPr>
          <w:rFonts w:hint="eastAsia" w:ascii="仿宋_GB2312" w:hAnsi="黑体" w:eastAsia="仿宋_GB2312"/>
          <w:sz w:val="32"/>
          <w:szCs w:val="32"/>
        </w:rPr>
        <w:t>。大力推进5</w:t>
      </w:r>
      <w:r>
        <w:rPr>
          <w:rFonts w:ascii="仿宋_GB2312" w:hAnsi="黑体" w:eastAsia="仿宋_GB2312"/>
          <w:sz w:val="32"/>
          <w:szCs w:val="32"/>
        </w:rPr>
        <w:t>G</w:t>
      </w:r>
      <w:r>
        <w:rPr>
          <w:rFonts w:hint="eastAsia" w:ascii="仿宋_GB2312" w:hAnsi="黑体" w:eastAsia="仿宋_GB2312"/>
          <w:sz w:val="32"/>
          <w:szCs w:val="32"/>
        </w:rPr>
        <w:t>在千行百业与社会民生各领域融合应用，形成更多有亮点有特色、可复制可推广的“5</w:t>
      </w:r>
      <w:r>
        <w:rPr>
          <w:rFonts w:ascii="仿宋_GB2312" w:hAnsi="黑体" w:eastAsia="仿宋_GB2312"/>
          <w:sz w:val="32"/>
          <w:szCs w:val="32"/>
        </w:rPr>
        <w:t>G+</w:t>
      </w:r>
      <w:r>
        <w:rPr>
          <w:rFonts w:hint="eastAsia" w:ascii="仿宋_GB2312" w:hAnsi="黑体" w:eastAsia="仿宋_GB2312"/>
          <w:sz w:val="32"/>
          <w:szCs w:val="32"/>
        </w:rPr>
        <w:t>”应用场景，助力产业链条壮大与完善。利用5</w:t>
      </w:r>
      <w:r>
        <w:rPr>
          <w:rFonts w:ascii="仿宋_GB2312" w:hAnsi="黑体" w:eastAsia="仿宋_GB2312"/>
          <w:sz w:val="32"/>
          <w:szCs w:val="32"/>
        </w:rPr>
        <w:t>G</w:t>
      </w:r>
      <w:r>
        <w:rPr>
          <w:rFonts w:hint="eastAsia" w:ascii="仿宋_GB2312" w:hAnsi="黑体" w:eastAsia="仿宋_GB2312"/>
          <w:sz w:val="32"/>
          <w:szCs w:val="32"/>
        </w:rPr>
        <w:t>加快重点园区企业内外网改造升级进度，推进经济开发区智能终端产业园、光电产业园、电子科技园等园区工业互联网终端部署，推动园内工业企业内网的</w:t>
      </w:r>
      <w:r>
        <w:rPr>
          <w:rFonts w:ascii="仿宋_GB2312" w:hAnsi="黑体" w:eastAsia="仿宋_GB2312"/>
          <w:sz w:val="32"/>
          <w:szCs w:val="32"/>
        </w:rPr>
        <w:t>IP化、扁平化、柔性化技术改造</w:t>
      </w:r>
      <w:r>
        <w:rPr>
          <w:rFonts w:hint="eastAsia" w:ascii="仿宋_GB2312" w:hAnsi="黑体" w:eastAsia="仿宋_GB2312"/>
          <w:sz w:val="32"/>
          <w:szCs w:val="32"/>
        </w:rPr>
        <w:t>以及外网的骨干网路与接入网络升级建设。</w:t>
      </w:r>
    </w:p>
    <w:p w14:paraId="6AB036E3">
      <w:pPr>
        <w:widowControl/>
        <w:spacing w:line="560" w:lineRule="atLeast"/>
        <w:ind w:firstLine="659" w:firstLineChars="200"/>
        <w:rPr>
          <w:rFonts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升级产业链转型支撑配套服务。</w:t>
      </w:r>
      <w:r>
        <w:rPr>
          <w:rFonts w:hint="eastAsia" w:ascii="仿宋_GB2312" w:hAnsi="仿宋_GB2312" w:eastAsia="仿宋_GB2312" w:cs="仿宋_GB2312"/>
          <w:spacing w:val="4"/>
          <w:sz w:val="32"/>
          <w:szCs w:val="32"/>
        </w:rPr>
        <w:t>培育各类产业平台载体，聚焦兴国县工业行业</w:t>
      </w:r>
      <w:r>
        <w:rPr>
          <w:rFonts w:ascii="仿宋_GB2312" w:hAnsi="仿宋_GB2312" w:eastAsia="仿宋_GB2312" w:cs="仿宋_GB2312"/>
          <w:spacing w:val="4"/>
          <w:sz w:val="32"/>
          <w:szCs w:val="32"/>
        </w:rPr>
        <w:t>关键方向，积极建设</w:t>
      </w:r>
      <w:r>
        <w:rPr>
          <w:rFonts w:hint="eastAsia" w:ascii="仿宋_GB2312" w:hAnsi="仿宋_GB2312" w:eastAsia="仿宋_GB2312" w:cs="仿宋_GB2312"/>
          <w:spacing w:val="4"/>
          <w:sz w:val="32"/>
          <w:szCs w:val="32"/>
        </w:rPr>
        <w:t>省级和市级</w:t>
      </w:r>
      <w:r>
        <w:rPr>
          <w:rFonts w:ascii="仿宋_GB2312" w:hAnsi="仿宋_GB2312" w:eastAsia="仿宋_GB2312" w:cs="仿宋_GB2312"/>
          <w:spacing w:val="4"/>
          <w:sz w:val="32"/>
          <w:szCs w:val="32"/>
        </w:rPr>
        <w:t>重点实验室，</w:t>
      </w:r>
      <w:r>
        <w:rPr>
          <w:rFonts w:hint="eastAsia" w:ascii="仿宋_GB2312" w:hAnsi="仿宋_GB2312" w:eastAsia="仿宋_GB2312" w:cs="仿宋_GB2312"/>
          <w:spacing w:val="4"/>
          <w:sz w:val="32"/>
          <w:szCs w:val="32"/>
        </w:rPr>
        <w:t>支持现有工程技术研究中心</w:t>
      </w:r>
      <w:r>
        <w:rPr>
          <w:rFonts w:ascii="仿宋_GB2312" w:hAnsi="仿宋_GB2312" w:eastAsia="仿宋_GB2312" w:cs="仿宋_GB2312"/>
          <w:spacing w:val="4"/>
          <w:sz w:val="32"/>
          <w:szCs w:val="32"/>
        </w:rPr>
        <w:t>等</w:t>
      </w:r>
      <w:r>
        <w:rPr>
          <w:rFonts w:hint="eastAsia" w:ascii="仿宋_GB2312" w:hAnsi="仿宋_GB2312" w:eastAsia="仿宋_GB2312" w:cs="仿宋_GB2312"/>
          <w:spacing w:val="4"/>
          <w:sz w:val="32"/>
          <w:szCs w:val="32"/>
        </w:rPr>
        <w:t>科技创新</w:t>
      </w:r>
      <w:r>
        <w:rPr>
          <w:rFonts w:ascii="仿宋_GB2312" w:hAnsi="仿宋_GB2312" w:eastAsia="仿宋_GB2312" w:cs="仿宋_GB2312"/>
          <w:spacing w:val="4"/>
          <w:sz w:val="32"/>
          <w:szCs w:val="32"/>
        </w:rPr>
        <w:t>平台载体高水平发展。</w:t>
      </w:r>
      <w:r>
        <w:rPr>
          <w:rFonts w:hint="eastAsia" w:ascii="仿宋_GB2312" w:hAnsi="仿宋_GB2312" w:eastAsia="仿宋_GB2312" w:cs="仿宋_GB2312"/>
          <w:spacing w:val="4"/>
          <w:sz w:val="32"/>
          <w:szCs w:val="32"/>
        </w:rPr>
        <w:t>引进一批资源丰富、技术熟练的数字化解决方案供应商，引导数字化服务商与本地制造业供需对接，为中小企业量身定制数字化转型服务产品。开展高校科研院所合作，发挥</w:t>
      </w:r>
      <w:r>
        <w:rPr>
          <w:rFonts w:ascii="仿宋_GB2312" w:hAnsi="仿宋_GB2312" w:eastAsia="仿宋_GB2312" w:cs="仿宋_GB2312"/>
          <w:spacing w:val="4"/>
          <w:sz w:val="32"/>
          <w:szCs w:val="32"/>
        </w:rPr>
        <w:t>各级</w:t>
      </w:r>
      <w:r>
        <w:rPr>
          <w:rFonts w:hint="eastAsia" w:ascii="仿宋_GB2312" w:hAnsi="仿宋_GB2312" w:eastAsia="仿宋_GB2312" w:cs="仿宋_GB2312"/>
          <w:spacing w:val="4"/>
          <w:sz w:val="32"/>
          <w:szCs w:val="32"/>
        </w:rPr>
        <w:t>技术</w:t>
      </w:r>
      <w:r>
        <w:rPr>
          <w:rFonts w:ascii="仿宋_GB2312" w:hAnsi="仿宋_GB2312" w:eastAsia="仿宋_GB2312" w:cs="仿宋_GB2312"/>
          <w:spacing w:val="4"/>
          <w:sz w:val="32"/>
          <w:szCs w:val="32"/>
        </w:rPr>
        <w:t>创新中心优势，</w:t>
      </w:r>
      <w:r>
        <w:rPr>
          <w:rFonts w:hint="eastAsia" w:ascii="仿宋_GB2312" w:hAnsi="仿宋_GB2312" w:eastAsia="仿宋_GB2312" w:cs="仿宋_GB2312"/>
          <w:spacing w:val="4"/>
          <w:sz w:val="32"/>
          <w:szCs w:val="32"/>
        </w:rPr>
        <w:t>探索产业</w:t>
      </w:r>
      <w:r>
        <w:rPr>
          <w:rFonts w:ascii="仿宋_GB2312" w:hAnsi="仿宋_GB2312" w:eastAsia="仿宋_GB2312" w:cs="仿宋_GB2312"/>
          <w:spacing w:val="4"/>
          <w:sz w:val="32"/>
          <w:szCs w:val="32"/>
        </w:rPr>
        <w:t>核心技术研发、行业标准制定、</w:t>
      </w:r>
      <w:r>
        <w:rPr>
          <w:rFonts w:hint="eastAsia" w:ascii="仿宋_GB2312" w:hAnsi="仿宋_GB2312" w:eastAsia="仿宋_GB2312" w:cs="仿宋_GB2312"/>
          <w:spacing w:val="4"/>
          <w:sz w:val="32"/>
          <w:szCs w:val="32"/>
        </w:rPr>
        <w:t>数字化转型咨询评估、</w:t>
      </w:r>
      <w:r>
        <w:rPr>
          <w:rFonts w:ascii="仿宋_GB2312" w:hAnsi="仿宋_GB2312" w:eastAsia="仿宋_GB2312" w:cs="仿宋_GB2312"/>
          <w:spacing w:val="4"/>
          <w:sz w:val="32"/>
          <w:szCs w:val="32"/>
        </w:rPr>
        <w:t>检测服务等公共服务平台建设，打造全</w:t>
      </w:r>
      <w:r>
        <w:rPr>
          <w:rFonts w:hint="eastAsia" w:ascii="仿宋_GB2312" w:hAnsi="仿宋_GB2312" w:eastAsia="仿宋_GB2312" w:cs="仿宋_GB2312"/>
          <w:spacing w:val="4"/>
          <w:sz w:val="32"/>
          <w:szCs w:val="32"/>
        </w:rPr>
        <w:t>县工业</w:t>
      </w:r>
      <w:r>
        <w:rPr>
          <w:rFonts w:ascii="仿宋_GB2312" w:hAnsi="仿宋_GB2312" w:eastAsia="仿宋_GB2312" w:cs="仿宋_GB2312"/>
          <w:spacing w:val="4"/>
          <w:sz w:val="32"/>
          <w:szCs w:val="32"/>
        </w:rPr>
        <w:t>协</w:t>
      </w:r>
      <w:r>
        <w:rPr>
          <w:rFonts w:hint="eastAsia" w:ascii="仿宋_GB2312" w:hAnsi="仿宋_GB2312" w:eastAsia="仿宋_GB2312" w:cs="仿宋_GB2312"/>
          <w:spacing w:val="4"/>
          <w:sz w:val="32"/>
          <w:szCs w:val="32"/>
        </w:rPr>
        <w:t>同</w:t>
      </w:r>
      <w:r>
        <w:rPr>
          <w:rFonts w:ascii="仿宋_GB2312" w:hAnsi="仿宋_GB2312" w:eastAsia="仿宋_GB2312" w:cs="仿宋_GB2312"/>
          <w:spacing w:val="4"/>
          <w:sz w:val="32"/>
          <w:szCs w:val="32"/>
        </w:rPr>
        <w:t>创新生态网络。</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3604A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9" w:hRule="atLeast"/>
        </w:trPr>
        <w:tc>
          <w:tcPr>
            <w:tcW w:w="8522" w:type="dxa"/>
            <w:vAlign w:val="center"/>
          </w:tcPr>
          <w:p w14:paraId="203EDB59">
            <w:pPr>
              <w:keepNext/>
              <w:jc w:val="center"/>
              <w:rPr>
                <w:rFonts w:ascii="楷体_GB2312" w:hAnsi="黑体" w:eastAsia="楷体_GB2312"/>
                <w:b/>
                <w:color w:val="000000"/>
                <w:sz w:val="32"/>
                <w:szCs w:val="32"/>
                <w:highlight w:val="yellow"/>
                <w:lang w:bidi="ar"/>
              </w:rPr>
            </w:pPr>
            <w:bookmarkStart w:id="84" w:name="_Hlk142313961"/>
            <w:r>
              <w:rPr>
                <w:rFonts w:hint="eastAsia" w:ascii="楷体_GB2312" w:hAnsi="黑体" w:eastAsia="楷体_GB2312"/>
                <w:b/>
                <w:color w:val="000000"/>
                <w:sz w:val="32"/>
                <w:szCs w:val="32"/>
                <w:lang w:bidi="ar"/>
              </w:rPr>
              <w:t>专栏</w:t>
            </w:r>
            <w:r>
              <w:rPr>
                <w:rFonts w:hint="eastAsia" w:ascii="楷体_GB2312" w:hAnsi="黑体" w:eastAsia="楷体_GB2312"/>
                <w:b/>
                <w:color w:val="000000"/>
                <w:sz w:val="32"/>
                <w:szCs w:val="32"/>
                <w:lang w:val="en-US" w:eastAsia="zh-CN" w:bidi="ar"/>
              </w:rPr>
              <w:t>5</w:t>
            </w:r>
            <w:r>
              <w:rPr>
                <w:rFonts w:hint="eastAsia" w:ascii="楷体_GB2312" w:hAnsi="黑体" w:eastAsia="楷体_GB2312"/>
                <w:b/>
                <w:color w:val="000000"/>
                <w:sz w:val="32"/>
                <w:szCs w:val="32"/>
                <w:lang w:bidi="ar"/>
              </w:rPr>
              <w:t>：制造业数字化转型重点工程</w:t>
            </w:r>
          </w:p>
        </w:tc>
      </w:tr>
      <w:tr w14:paraId="2E50E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0AECF2E">
            <w:pPr>
              <w:spacing w:line="560" w:lineRule="exact"/>
              <w:ind w:firstLine="594"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28"/>
                <w:szCs w:val="28"/>
              </w:rPr>
              <w:t>纺织服装产业链供应平台。</w:t>
            </w:r>
            <w:r>
              <w:rPr>
                <w:rFonts w:hint="eastAsia" w:ascii="仿宋_GB2312" w:hAnsi="仿宋_GB2312" w:eastAsia="仿宋_GB2312" w:cs="仿宋_GB2312"/>
                <w:spacing w:val="8"/>
                <w:sz w:val="28"/>
                <w:szCs w:val="28"/>
              </w:rPr>
              <w:t>依托上海缝觅科技有限公司，搭建服装产业供应链平台，聚焦缝纫机数字化，将传统的服装制造设备连接上互联网，设备直接接收市场需求派单，实现“一机一单”的个性化生产，同时打通生产、分配、流通、消费各环节的关键数据，健全企业生产运营数据平台，实现整个产业价值链各环节和数据共享和策略一致。到2</w:t>
            </w:r>
            <w:r>
              <w:rPr>
                <w:rFonts w:ascii="仿宋_GB2312" w:hAnsi="仿宋_GB2312" w:eastAsia="仿宋_GB2312" w:cs="仿宋_GB2312"/>
                <w:spacing w:val="8"/>
                <w:sz w:val="28"/>
                <w:szCs w:val="28"/>
              </w:rPr>
              <w:t>023</w:t>
            </w:r>
            <w:r>
              <w:rPr>
                <w:rFonts w:hint="eastAsia" w:ascii="仿宋_GB2312" w:hAnsi="仿宋_GB2312" w:eastAsia="仿宋_GB2312" w:cs="仿宋_GB2312"/>
                <w:spacing w:val="8"/>
                <w:sz w:val="28"/>
                <w:szCs w:val="28"/>
              </w:rPr>
              <w:t>年，推动全县1</w:t>
            </w:r>
            <w:r>
              <w:rPr>
                <w:rFonts w:ascii="仿宋_GB2312" w:hAnsi="仿宋_GB2312" w:eastAsia="仿宋_GB2312" w:cs="仿宋_GB2312"/>
                <w:spacing w:val="8"/>
                <w:sz w:val="28"/>
                <w:szCs w:val="28"/>
              </w:rPr>
              <w:t>00</w:t>
            </w:r>
            <w:r>
              <w:rPr>
                <w:rFonts w:hint="eastAsia" w:ascii="仿宋_GB2312" w:hAnsi="仿宋_GB2312" w:eastAsia="仿宋_GB2312" w:cs="仿宋_GB2312"/>
                <w:spacing w:val="8"/>
                <w:sz w:val="28"/>
                <w:szCs w:val="28"/>
              </w:rPr>
              <w:t>家轻工纺织企业接入产业供应链平台，实现兴国县轻工纺织柔性制造数字化高质量发展。到2</w:t>
            </w:r>
            <w:r>
              <w:rPr>
                <w:rFonts w:ascii="仿宋_GB2312" w:hAnsi="仿宋_GB2312" w:eastAsia="仿宋_GB2312" w:cs="仿宋_GB2312"/>
                <w:spacing w:val="8"/>
                <w:sz w:val="28"/>
                <w:szCs w:val="28"/>
              </w:rPr>
              <w:t>027</w:t>
            </w:r>
            <w:r>
              <w:rPr>
                <w:rFonts w:hint="eastAsia" w:ascii="仿宋_GB2312" w:hAnsi="仿宋_GB2312" w:eastAsia="仿宋_GB2312" w:cs="仿宋_GB2312"/>
                <w:spacing w:val="8"/>
                <w:sz w:val="28"/>
                <w:szCs w:val="28"/>
              </w:rPr>
              <w:t>年，全县8</w:t>
            </w:r>
            <w:r>
              <w:rPr>
                <w:rFonts w:ascii="仿宋_GB2312" w:hAnsi="仿宋_GB2312" w:eastAsia="仿宋_GB2312" w:cs="仿宋_GB2312"/>
                <w:spacing w:val="8"/>
                <w:sz w:val="28"/>
                <w:szCs w:val="28"/>
              </w:rPr>
              <w:t>0</w:t>
            </w:r>
            <w:r>
              <w:rPr>
                <w:rFonts w:hint="eastAsia" w:ascii="仿宋_GB2312" w:hAnsi="仿宋_GB2312" w:eastAsia="仿宋_GB2312" w:cs="仿宋_GB2312"/>
                <w:spacing w:val="8"/>
                <w:sz w:val="28"/>
                <w:szCs w:val="28"/>
              </w:rPr>
              <w:t>%的轻工纺织企业以及5</w:t>
            </w:r>
            <w:r>
              <w:rPr>
                <w:rFonts w:ascii="仿宋_GB2312" w:hAnsi="仿宋_GB2312" w:eastAsia="仿宋_GB2312" w:cs="仿宋_GB2312"/>
                <w:spacing w:val="8"/>
                <w:sz w:val="28"/>
                <w:szCs w:val="28"/>
              </w:rPr>
              <w:t>0</w:t>
            </w:r>
            <w:r>
              <w:rPr>
                <w:rFonts w:hint="eastAsia" w:ascii="仿宋_GB2312" w:hAnsi="仿宋_GB2312" w:eastAsia="仿宋_GB2312" w:cs="仿宋_GB2312"/>
                <w:spacing w:val="8"/>
                <w:sz w:val="28"/>
                <w:szCs w:val="28"/>
              </w:rPr>
              <w:t>%的轻工纺织个体户接入平台，助力兴国纺织特别是兴国牛仔产业特色化、品牌化、产业化发展。</w:t>
            </w:r>
          </w:p>
          <w:p w14:paraId="28CE516C">
            <w:pPr>
              <w:spacing w:before="101"/>
              <w:ind w:firstLine="594"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28"/>
                <w:szCs w:val="28"/>
              </w:rPr>
              <w:t>工业互联网。</w:t>
            </w:r>
            <w:r>
              <w:rPr>
                <w:rFonts w:hint="eastAsia" w:ascii="仿宋_GB2312" w:hAnsi="仿宋_GB2312" w:eastAsia="仿宋_GB2312" w:cs="仿宋_GB2312"/>
                <w:spacing w:val="8"/>
                <w:sz w:val="28"/>
                <w:szCs w:val="28"/>
              </w:rPr>
              <w:t>统筹推进以兴氟化工为代表的国企“5G+工业互联网”改造进度，培育工业企业内外网升级建设典型示范园区，加快建设政企上云服务平台、工业互联网平台与标识解析应用服务平台。到2027年，规模以上工业企业上云率达100%。两化融合示范企业标杆企业数量突破15个。</w:t>
            </w:r>
          </w:p>
        </w:tc>
      </w:tr>
      <w:bookmarkEnd w:id="84"/>
    </w:tbl>
    <w:p w14:paraId="1CB7D951">
      <w:pPr>
        <w:pStyle w:val="23"/>
        <w:rPr>
          <w:highlight w:val="yellow"/>
        </w:rPr>
      </w:pPr>
    </w:p>
    <w:p w14:paraId="4FDB50DB">
      <w:pPr>
        <w:pStyle w:val="6"/>
        <w:spacing w:before="0" w:after="0" w:line="240" w:lineRule="auto"/>
        <w:ind w:firstLine="643" w:firstLineChars="200"/>
        <w:rPr>
          <w:rFonts w:ascii="楷体" w:hAnsi="楷体" w:eastAsia="楷体" w:cs="宋体"/>
          <w:color w:val="333333"/>
          <w:kern w:val="0"/>
        </w:rPr>
      </w:pPr>
      <w:bookmarkStart w:id="85" w:name="_Toc3741"/>
      <w:bookmarkStart w:id="86" w:name="_Toc18438"/>
      <w:bookmarkStart w:id="87" w:name="_Toc4462"/>
      <w:bookmarkStart w:id="88" w:name="_Toc16934"/>
      <w:bookmarkStart w:id="89" w:name="_Toc147740943"/>
      <w:bookmarkStart w:id="90" w:name="_Toc142986316"/>
      <w:bookmarkStart w:id="91" w:name="_Toc25689"/>
      <w:r>
        <w:rPr>
          <w:rFonts w:hint="eastAsia" w:ascii="楷体_GB2312" w:hAnsi="黑体" w:eastAsia="楷体_GB2312"/>
        </w:rPr>
        <w:t>（三）培育壮大数字新业态</w:t>
      </w:r>
      <w:bookmarkEnd w:id="85"/>
      <w:bookmarkEnd w:id="86"/>
      <w:bookmarkEnd w:id="87"/>
      <w:bookmarkEnd w:id="88"/>
      <w:bookmarkEnd w:id="89"/>
      <w:bookmarkEnd w:id="90"/>
    </w:p>
    <w:p w14:paraId="7B89593F">
      <w:pPr>
        <w:widowControl/>
        <w:spacing w:line="560" w:lineRule="atLeast"/>
        <w:ind w:firstLine="659" w:firstLineChars="200"/>
        <w:rPr>
          <w:rFonts w:ascii="仿宋_GB2312" w:hAnsi="仿宋_GB2312" w:eastAsia="仿宋_GB2312" w:cs="仿宋_GB2312"/>
          <w:b/>
          <w:bCs/>
          <w:spacing w:val="4"/>
          <w:sz w:val="32"/>
          <w:szCs w:val="32"/>
        </w:rPr>
      </w:pPr>
      <w:r>
        <w:rPr>
          <w:rFonts w:hint="eastAsia" w:ascii="仿宋_GB2312" w:hAnsi="仿宋_GB2312" w:eastAsia="仿宋_GB2312" w:cs="仿宋_GB2312"/>
          <w:b/>
          <w:bCs/>
          <w:spacing w:val="4"/>
          <w:sz w:val="32"/>
          <w:szCs w:val="32"/>
        </w:rPr>
        <w:t>扶持壮大电商运营主体。</w:t>
      </w:r>
      <w:r>
        <w:rPr>
          <w:rFonts w:hint="eastAsia" w:ascii="仿宋_GB2312" w:hAnsi="仿宋_GB2312" w:eastAsia="仿宋_GB2312" w:cs="仿宋_GB2312"/>
          <w:spacing w:val="4"/>
          <w:sz w:val="32"/>
          <w:szCs w:val="32"/>
        </w:rPr>
        <w:t>加快推进电子商务示范区建设，加强与阿里巴巴、京东、拼多多等龙头电商平台合作，加快发展网红经济、直播电商、社群电商等新业态、新模式。积极推动电子商务在金融、商贸、文化创意、旅游等重点领域和供应链管理中的应用，加快移动电子商务应用向工业生产经营和其他领域延伸。大力发展垂直电商、</w:t>
      </w:r>
      <w:r>
        <w:rPr>
          <w:rFonts w:ascii="仿宋_GB2312" w:hAnsi="仿宋_GB2312" w:eastAsia="仿宋_GB2312" w:cs="仿宋_GB2312"/>
          <w:spacing w:val="4"/>
          <w:sz w:val="32"/>
          <w:szCs w:val="32"/>
        </w:rPr>
        <w:t>C2M（短路经济）等新业态、新模式，开展线上线下全渠道运营，依托大数据开展精准营销。</w:t>
      </w:r>
      <w:r>
        <w:rPr>
          <w:rFonts w:hint="eastAsia" w:ascii="仿宋_GB2312" w:hAnsi="仿宋_GB2312" w:eastAsia="仿宋_GB2312" w:cs="仿宋_GB2312"/>
          <w:spacing w:val="4"/>
          <w:sz w:val="32"/>
          <w:szCs w:val="32"/>
        </w:rPr>
        <w:t>鼓励传统商贸企业建设网上销售渠道，建设一批智慧商店、智慧商圈，积极推广智能便利店、自动售货机，打通线上线下销售网络，推动电子商务发展。</w:t>
      </w:r>
    </w:p>
    <w:p w14:paraId="01021451">
      <w:pPr>
        <w:widowControl/>
        <w:spacing w:line="560" w:lineRule="atLeast"/>
        <w:ind w:firstLine="659" w:firstLineChars="200"/>
        <w:rPr>
          <w:rFonts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大力培育发展跨境电商。</w:t>
      </w:r>
      <w:r>
        <w:rPr>
          <w:rFonts w:hint="eastAsia" w:ascii="仿宋_GB2312" w:hAnsi="仿宋_GB2312" w:eastAsia="仿宋_GB2312" w:cs="仿宋_GB2312"/>
          <w:spacing w:val="4"/>
          <w:sz w:val="32"/>
          <w:szCs w:val="32"/>
        </w:rPr>
        <w:t>支持无水港跨境电商产业园发展“集货集发+采购供货+代采代发”跨境电商零售进出口新模式，推动建设跨境电商综合服务平台，形成“一点接入、一站服务、一平台汇总”的专业化服务支撑。努力开展跨境电商精准孵化、供应链担保等服务，推进实体零售企业与跨境电商进口企业开展进口商品采购供应链合作，设立形式多样的跨境电商线下体验店。扶持商品零售出口企业通过规范的海外仓、体验店和配送网点等模式，融入境外销售体系，鼓励跨境电子商务企业注册国际商标，创立国际自主品牌。主动对接粤港澳大湾区、海西经济区发达地区，积极探索以合作共建、托管建设等多种模式发展跨境电商“飞地经济”。</w:t>
      </w:r>
    </w:p>
    <w:p w14:paraId="532C6E83">
      <w:pPr>
        <w:widowControl/>
        <w:spacing w:line="560" w:lineRule="atLeast"/>
        <w:ind w:firstLine="659" w:firstLineChars="200"/>
        <w:rPr>
          <w:rFonts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建设数字化物流配送体系</w:t>
      </w:r>
      <w:r>
        <w:rPr>
          <w:rFonts w:hint="eastAsia" w:ascii="仿宋_GB2312" w:hAnsi="仿宋_GB2312" w:eastAsia="仿宋_GB2312" w:cs="仿宋_GB2312"/>
          <w:spacing w:val="4"/>
          <w:sz w:val="32"/>
          <w:szCs w:val="32"/>
        </w:rPr>
        <w:t>。依托兴国县综合物流园，依照国家县（市、区）域商业体系以及江西省县级物流园区标准化建设指南，综合考虑兴国县县域经济、消费、人口规模等因素优化县域物流配送中心布局，建设兴国县物流配送中心，进一步完善城乡一体化配送体系以及城市寄递物流体系布局。加快智慧仓储建设，充分发挥供销社等国有企业资源优势，建设全县智能仓配物流平台，推广使用智能分拣设备，智能货架、无人搬运、智慧调度等设备和系统，提高分拣调度效率。积极发展共享云仓、城市末端共同配送、无接触配送等智慧物流新业态新模式，加快智能末端配送设施城镇社区和行政村全覆盖。</w:t>
      </w:r>
    </w:p>
    <w:p w14:paraId="505BF336">
      <w:pPr>
        <w:widowControl/>
        <w:spacing w:line="560" w:lineRule="atLeast"/>
        <w:ind w:firstLine="659" w:firstLineChars="200"/>
        <w:rPr>
          <w:rFonts w:ascii="仿宋_GB2312" w:hAnsi="仿宋_GB2312" w:cs="仿宋_GB2312"/>
          <w:spacing w:val="4"/>
          <w:szCs w:val="32"/>
        </w:rPr>
      </w:pPr>
      <w:r>
        <w:rPr>
          <w:rFonts w:hint="eastAsia" w:ascii="仿宋_GB2312" w:hAnsi="仿宋_GB2312" w:eastAsia="仿宋_GB2312" w:cs="仿宋_GB2312"/>
          <w:b/>
          <w:bCs/>
          <w:spacing w:val="4"/>
          <w:sz w:val="32"/>
          <w:szCs w:val="32"/>
        </w:rPr>
        <w:t>加快发展数字金融。</w:t>
      </w:r>
      <w:r>
        <w:rPr>
          <w:rFonts w:hint="eastAsia" w:ascii="仿宋_GB2312" w:hAnsi="仿宋_GB2312" w:eastAsia="仿宋_GB2312" w:cs="仿宋_GB2312"/>
          <w:spacing w:val="4"/>
          <w:sz w:val="32"/>
          <w:szCs w:val="32"/>
        </w:rPr>
        <w:t>打造有广度、有深度、有温度的数字金融服务体系，持续强化金融无障碍服务水平，鼓励各类金融机构创新业务模式，在绿色金融、农业金融、供应链金融、小微金融、科创金融等领域打造精细化、定制化数字信贷产品。基于政务数据、金融数据、互联网数据等多维数据和人工智能平台，为城镇居民、农户、个体工商户和小微企业主等传统贷款弱势群体建立精准画像，为金融机构提供“</w:t>
      </w:r>
      <w:r>
        <w:rPr>
          <w:rFonts w:ascii="仿宋_GB2312" w:hAnsi="仿宋_GB2312" w:eastAsia="仿宋_GB2312" w:cs="仿宋_GB2312"/>
          <w:spacing w:val="4"/>
          <w:sz w:val="32"/>
          <w:szCs w:val="32"/>
        </w:rPr>
        <w:t>AI</w:t>
      </w:r>
      <w:r>
        <w:rPr>
          <w:rFonts w:hint="eastAsia" w:ascii="仿宋_GB2312" w:hAnsi="仿宋_GB2312" w:eastAsia="仿宋_GB2312" w:cs="仿宋_GB2312"/>
          <w:spacing w:val="4"/>
          <w:sz w:val="32"/>
          <w:szCs w:val="32"/>
        </w:rPr>
        <w:t>审贷”，超深层风险审查等金融科技服务。加快互联网支付在政务服务、医疗卫生、公共交通、文化旅游等重点行业推广应用，提升金融便民服务水平。</w:t>
      </w:r>
    </w:p>
    <w:p w14:paraId="79611446">
      <w:pPr>
        <w:pStyle w:val="23"/>
        <w:rPr>
          <w:highlight w:val="yellow"/>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5A0F6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8522" w:type="dxa"/>
            <w:vAlign w:val="center"/>
          </w:tcPr>
          <w:p w14:paraId="1B8C1C6E">
            <w:pPr>
              <w:keepNext/>
              <w:jc w:val="center"/>
              <w:rPr>
                <w:rFonts w:ascii="黑体" w:hAnsi="黑体" w:eastAsia="黑体"/>
                <w:bCs/>
                <w:color w:val="000000"/>
                <w:sz w:val="28"/>
                <w:szCs w:val="28"/>
                <w:highlight w:val="yellow"/>
                <w:lang w:bidi="ar"/>
              </w:rPr>
            </w:pPr>
            <w:r>
              <w:rPr>
                <w:rFonts w:hint="eastAsia" w:ascii="楷体_GB2312" w:hAnsi="黑体" w:eastAsia="楷体_GB2312"/>
                <w:b/>
                <w:color w:val="000000"/>
                <w:sz w:val="32"/>
                <w:szCs w:val="32"/>
                <w:lang w:bidi="ar"/>
              </w:rPr>
              <w:t>专栏</w:t>
            </w:r>
            <w:r>
              <w:rPr>
                <w:rFonts w:hint="eastAsia" w:ascii="楷体_GB2312" w:hAnsi="黑体" w:eastAsia="楷体_GB2312"/>
                <w:b/>
                <w:color w:val="000000"/>
                <w:sz w:val="32"/>
                <w:szCs w:val="32"/>
                <w:lang w:val="en-US" w:eastAsia="zh-CN" w:bidi="ar"/>
              </w:rPr>
              <w:t>6</w:t>
            </w:r>
            <w:r>
              <w:rPr>
                <w:rFonts w:hint="eastAsia" w:ascii="楷体_GB2312" w:hAnsi="黑体" w:eastAsia="楷体_GB2312"/>
                <w:b/>
                <w:color w:val="000000"/>
                <w:sz w:val="32"/>
                <w:szCs w:val="32"/>
                <w:lang w:bidi="ar"/>
              </w:rPr>
              <w:t>：数字新业态重点工程</w:t>
            </w:r>
          </w:p>
        </w:tc>
      </w:tr>
      <w:tr w14:paraId="6DEBD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65CC2F89">
            <w:pPr>
              <w:spacing w:line="560" w:lineRule="exact"/>
              <w:ind w:firstLine="594"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28"/>
                <w:szCs w:val="28"/>
              </w:rPr>
              <w:t>电子商务示范基地。</w:t>
            </w:r>
            <w:r>
              <w:rPr>
                <w:rFonts w:hint="eastAsia" w:ascii="仿宋_GB2312" w:hAnsi="仿宋_GB2312" w:eastAsia="仿宋_GB2312" w:cs="仿宋_GB2312"/>
                <w:spacing w:val="8"/>
                <w:sz w:val="28"/>
                <w:szCs w:val="28"/>
              </w:rPr>
              <w:t>依托无水港跨境电商产业园打造兴国县电商示范基地，充分应用新兴营销渠道，打造兴国县电商直播基地，引入国内优质直播电商平台、网红主体、孵化</w:t>
            </w:r>
            <w:r>
              <w:rPr>
                <w:rFonts w:ascii="仿宋_GB2312" w:hAnsi="仿宋_GB2312" w:eastAsia="仿宋_GB2312" w:cs="仿宋_GB2312"/>
                <w:spacing w:val="8"/>
                <w:sz w:val="28"/>
                <w:szCs w:val="28"/>
              </w:rPr>
              <w:t>MCN（多频道网络）机构和服务公司等专业资源，通过直播销售的方式助推动经济发展。制作</w:t>
            </w:r>
            <w:r>
              <w:rPr>
                <w:rFonts w:hint="eastAsia" w:ascii="仿宋_GB2312" w:hAnsi="仿宋_GB2312" w:eastAsia="仿宋_GB2312" w:cs="仿宋_GB2312"/>
                <w:spacing w:val="8"/>
                <w:sz w:val="28"/>
                <w:szCs w:val="28"/>
              </w:rPr>
              <w:t>兴国</w:t>
            </w:r>
            <w:r>
              <w:rPr>
                <w:rFonts w:ascii="仿宋_GB2312" w:hAnsi="仿宋_GB2312" w:eastAsia="仿宋_GB2312" w:cs="仿宋_GB2312"/>
                <w:spacing w:val="8"/>
                <w:sz w:val="28"/>
                <w:szCs w:val="28"/>
              </w:rPr>
              <w:t>主题形象、宣传短片、城市微电影，从</w:t>
            </w:r>
            <w:r>
              <w:rPr>
                <w:rFonts w:hint="eastAsia" w:ascii="仿宋_GB2312" w:hAnsi="仿宋_GB2312" w:eastAsia="仿宋_GB2312" w:cs="仿宋_GB2312"/>
                <w:spacing w:val="8"/>
                <w:sz w:val="28"/>
                <w:szCs w:val="28"/>
              </w:rPr>
              <w:t>鱼丝</w:t>
            </w:r>
            <w:r>
              <w:rPr>
                <w:rFonts w:ascii="仿宋_GB2312" w:hAnsi="仿宋_GB2312" w:eastAsia="仿宋_GB2312" w:cs="仿宋_GB2312"/>
                <w:spacing w:val="8"/>
                <w:sz w:val="28"/>
                <w:szCs w:val="28"/>
              </w:rPr>
              <w:t>、</w:t>
            </w:r>
            <w:r>
              <w:rPr>
                <w:rFonts w:hint="eastAsia" w:ascii="仿宋_GB2312" w:hAnsi="仿宋_GB2312" w:eastAsia="仿宋_GB2312" w:cs="仿宋_GB2312"/>
                <w:spacing w:val="8"/>
                <w:sz w:val="28"/>
                <w:szCs w:val="28"/>
              </w:rPr>
              <w:t>芦笋、富硒水稻、脐橙、茶油等产品</w:t>
            </w:r>
            <w:r>
              <w:rPr>
                <w:rFonts w:ascii="仿宋_GB2312" w:hAnsi="仿宋_GB2312" w:eastAsia="仿宋_GB2312" w:cs="仿宋_GB2312"/>
                <w:spacing w:val="8"/>
                <w:sz w:val="28"/>
                <w:szCs w:val="28"/>
              </w:rPr>
              <w:t>进行包装设计、产品设计，创建</w:t>
            </w:r>
            <w:r>
              <w:rPr>
                <w:rFonts w:hint="eastAsia" w:ascii="仿宋_GB2312" w:hAnsi="仿宋_GB2312" w:eastAsia="仿宋_GB2312" w:cs="仿宋_GB2312"/>
                <w:spacing w:val="8"/>
                <w:sz w:val="28"/>
                <w:szCs w:val="28"/>
              </w:rPr>
              <w:t>兴国</w:t>
            </w:r>
            <w:r>
              <w:rPr>
                <w:rFonts w:ascii="仿宋_GB2312" w:hAnsi="仿宋_GB2312" w:eastAsia="仿宋_GB2312" w:cs="仿宋_GB2312"/>
                <w:spacing w:val="8"/>
                <w:sz w:val="28"/>
                <w:szCs w:val="28"/>
              </w:rPr>
              <w:t>特色的区域公用品牌IP形象。打造城市传播矩阵，联合龙头企业共同成立“品牌联盟”，加强品牌认证、授权与追溯管理。</w:t>
            </w:r>
            <w:r>
              <w:rPr>
                <w:rFonts w:hint="eastAsia" w:ascii="仿宋_GB2312" w:hAnsi="仿宋_GB2312" w:eastAsia="仿宋_GB2312" w:cs="仿宋_GB2312"/>
                <w:spacing w:val="8"/>
                <w:sz w:val="28"/>
                <w:szCs w:val="28"/>
              </w:rPr>
              <w:t>到</w:t>
            </w:r>
            <w:r>
              <w:rPr>
                <w:rFonts w:ascii="仿宋_GB2312" w:hAnsi="仿宋_GB2312" w:eastAsia="仿宋_GB2312" w:cs="仿宋_GB2312"/>
                <w:spacing w:val="8"/>
                <w:sz w:val="28"/>
                <w:szCs w:val="28"/>
              </w:rPr>
              <w:t>2025年，完成城市IP打造和城市传播矩阵建设，形成一批</w:t>
            </w:r>
            <w:r>
              <w:rPr>
                <w:rFonts w:hint="eastAsia" w:ascii="仿宋_GB2312" w:hAnsi="仿宋_GB2312" w:eastAsia="仿宋_GB2312" w:cs="仿宋_GB2312"/>
                <w:spacing w:val="8"/>
                <w:sz w:val="28"/>
                <w:szCs w:val="28"/>
              </w:rPr>
              <w:t>兴国</w:t>
            </w:r>
            <w:r>
              <w:rPr>
                <w:rFonts w:ascii="仿宋_GB2312" w:hAnsi="仿宋_GB2312" w:eastAsia="仿宋_GB2312" w:cs="仿宋_GB2312"/>
                <w:spacing w:val="8"/>
                <w:sz w:val="28"/>
                <w:szCs w:val="28"/>
              </w:rPr>
              <w:t>特色的区域公用品牌IP形象和“品牌联盟”。建设</w:t>
            </w:r>
            <w:r>
              <w:rPr>
                <w:rFonts w:hint="eastAsia" w:ascii="仿宋_GB2312" w:hAnsi="仿宋_GB2312" w:eastAsia="仿宋_GB2312" w:cs="仿宋_GB2312"/>
                <w:spacing w:val="8"/>
                <w:sz w:val="28"/>
                <w:szCs w:val="28"/>
              </w:rPr>
              <w:t>兴国</w:t>
            </w:r>
            <w:r>
              <w:rPr>
                <w:rFonts w:ascii="仿宋_GB2312" w:hAnsi="仿宋_GB2312" w:eastAsia="仿宋_GB2312" w:cs="仿宋_GB2312"/>
                <w:spacing w:val="8"/>
                <w:sz w:val="28"/>
                <w:szCs w:val="28"/>
              </w:rPr>
              <w:t>县电商直播基地，打造形成完善</w:t>
            </w:r>
            <w:r>
              <w:rPr>
                <w:rFonts w:hint="eastAsia" w:ascii="仿宋_GB2312" w:hAnsi="仿宋_GB2312" w:eastAsia="仿宋_GB2312" w:cs="仿宋_GB2312"/>
                <w:spacing w:val="8"/>
                <w:sz w:val="28"/>
                <w:szCs w:val="28"/>
              </w:rPr>
              <w:t>兴国</w:t>
            </w:r>
            <w:r>
              <w:rPr>
                <w:rFonts w:ascii="仿宋_GB2312" w:hAnsi="仿宋_GB2312" w:eastAsia="仿宋_GB2312" w:cs="仿宋_GB2312"/>
                <w:spacing w:val="8"/>
                <w:sz w:val="28"/>
                <w:szCs w:val="28"/>
              </w:rPr>
              <w:t>直播生态。到2027年将</w:t>
            </w:r>
            <w:r>
              <w:rPr>
                <w:rFonts w:hint="eastAsia" w:ascii="仿宋_GB2312" w:hAnsi="仿宋_GB2312" w:eastAsia="仿宋_GB2312" w:cs="仿宋_GB2312"/>
                <w:spacing w:val="8"/>
                <w:sz w:val="28"/>
                <w:szCs w:val="28"/>
              </w:rPr>
              <w:t>兴国</w:t>
            </w:r>
            <w:r>
              <w:rPr>
                <w:rFonts w:ascii="仿宋_GB2312" w:hAnsi="仿宋_GB2312" w:eastAsia="仿宋_GB2312" w:cs="仿宋_GB2312"/>
                <w:spacing w:val="8"/>
                <w:sz w:val="28"/>
                <w:szCs w:val="28"/>
              </w:rPr>
              <w:t>县电子商务示范基地打造成省级电子商务示范基地，有效拉动本地农产品等销量，助力</w:t>
            </w:r>
            <w:r>
              <w:rPr>
                <w:rFonts w:hint="eastAsia" w:ascii="仿宋_GB2312" w:hAnsi="仿宋_GB2312" w:eastAsia="仿宋_GB2312" w:cs="仿宋_GB2312"/>
                <w:spacing w:val="8"/>
                <w:sz w:val="28"/>
                <w:szCs w:val="28"/>
              </w:rPr>
              <w:t>兴国</w:t>
            </w:r>
            <w:r>
              <w:rPr>
                <w:rFonts w:ascii="仿宋_GB2312" w:hAnsi="仿宋_GB2312" w:eastAsia="仿宋_GB2312" w:cs="仿宋_GB2312"/>
                <w:spacing w:val="8"/>
                <w:sz w:val="28"/>
                <w:szCs w:val="28"/>
              </w:rPr>
              <w:t>县</w:t>
            </w:r>
            <w:r>
              <w:rPr>
                <w:rFonts w:hint="eastAsia" w:ascii="仿宋_GB2312" w:hAnsi="仿宋_GB2312" w:eastAsia="仿宋_GB2312" w:cs="仿宋_GB2312"/>
                <w:spacing w:val="8"/>
                <w:sz w:val="28"/>
                <w:szCs w:val="28"/>
              </w:rPr>
              <w:t>富硒产品形成</w:t>
            </w:r>
            <w:r>
              <w:rPr>
                <w:rFonts w:ascii="仿宋_GB2312" w:hAnsi="仿宋_GB2312" w:eastAsia="仿宋_GB2312" w:cs="仿宋_GB2312"/>
                <w:spacing w:val="8"/>
                <w:sz w:val="28"/>
                <w:szCs w:val="28"/>
              </w:rPr>
              <w:t>品牌效应</w:t>
            </w:r>
            <w:r>
              <w:rPr>
                <w:rFonts w:hint="eastAsia" w:ascii="仿宋_GB2312" w:hAnsi="仿宋_GB2312" w:eastAsia="仿宋_GB2312" w:cs="仿宋_GB2312"/>
                <w:spacing w:val="8"/>
                <w:sz w:val="28"/>
                <w:szCs w:val="28"/>
              </w:rPr>
              <w:t>，网络零售额突破</w:t>
            </w:r>
            <w:r>
              <w:rPr>
                <w:rFonts w:hint="eastAsia" w:ascii="仿宋_GB2312" w:hAnsi="仿宋_GB2312" w:eastAsia="仿宋_GB2312" w:cs="仿宋_GB2312"/>
                <w:spacing w:val="8"/>
                <w:sz w:val="28"/>
                <w:szCs w:val="28"/>
                <w:lang w:val="en-US" w:eastAsia="zh-CN"/>
              </w:rPr>
              <w:t>15</w:t>
            </w:r>
            <w:r>
              <w:rPr>
                <w:rFonts w:hint="eastAsia" w:ascii="仿宋_GB2312" w:hAnsi="仿宋_GB2312" w:eastAsia="仿宋_GB2312" w:cs="仿宋_GB2312"/>
                <w:spacing w:val="8"/>
                <w:sz w:val="28"/>
                <w:szCs w:val="28"/>
              </w:rPr>
              <w:t>亿元。</w:t>
            </w:r>
          </w:p>
          <w:p w14:paraId="10A380CC">
            <w:pPr>
              <w:spacing w:before="101"/>
              <w:ind w:firstLine="594" w:firstLineChars="200"/>
              <w:rPr>
                <w:rFonts w:ascii="仿宋_GB2312" w:eastAsia="仿宋_GB2312"/>
                <w:bCs/>
                <w:color w:val="000000"/>
                <w:sz w:val="28"/>
                <w:szCs w:val="28"/>
                <w:highlight w:val="yellow"/>
                <w:lang w:bidi="ar"/>
              </w:rPr>
            </w:pPr>
            <w:r>
              <w:rPr>
                <w:rFonts w:hint="eastAsia" w:ascii="仿宋_GB2312" w:hAnsi="仿宋_GB2312" w:eastAsia="仿宋_GB2312" w:cs="仿宋_GB2312"/>
                <w:b/>
                <w:bCs/>
                <w:spacing w:val="8"/>
                <w:sz w:val="28"/>
                <w:szCs w:val="28"/>
              </w:rPr>
              <w:t>兴国县物流配送中心</w:t>
            </w:r>
            <w:r>
              <w:rPr>
                <w:rFonts w:hint="eastAsia" w:ascii="仿宋_GB2312" w:hAnsi="仿宋_GB2312" w:eastAsia="仿宋_GB2312" w:cs="仿宋_GB2312"/>
                <w:spacing w:val="8"/>
                <w:sz w:val="28"/>
                <w:szCs w:val="28"/>
              </w:rPr>
              <w:t>。依托兴国县综合物流园，建设兴国县物流配送中心。按照兴国县物流各类业态确定仓储的标准，建设仓储管理系统，整合优化货物入库、装卸搬运、包装分拣等环节，推动物流仓储全流程智能化协同运转。建设自动分拣系统，实现大批量智能化分拣货物，降低分拣误差率。建设智能巡检机器人系统，结合定位自主导航、视频热成像、语音交互等技术，辅助或替代安保人员夜间巡仓工作。到</w:t>
            </w:r>
            <w:r>
              <w:rPr>
                <w:rFonts w:ascii="仿宋_GB2312" w:hAnsi="仿宋_GB2312" w:eastAsia="仿宋_GB2312" w:cs="仿宋_GB2312"/>
                <w:spacing w:val="8"/>
                <w:sz w:val="28"/>
                <w:szCs w:val="28"/>
              </w:rPr>
              <w:t>2024年完成仓储及分拣中心智能化改造，不断完善区物流配送中心功能，促进农村消费升级。</w:t>
            </w:r>
          </w:p>
        </w:tc>
      </w:tr>
    </w:tbl>
    <w:p w14:paraId="72F1B1AF">
      <w:pPr>
        <w:pStyle w:val="6"/>
        <w:spacing w:before="0" w:after="0" w:line="240" w:lineRule="auto"/>
        <w:ind w:firstLine="643" w:firstLineChars="200"/>
        <w:rPr>
          <w:rFonts w:ascii="楷体_GB2312" w:hAnsi="黑体" w:eastAsia="楷体_GB2312"/>
          <w:b w:val="0"/>
          <w:bCs w:val="0"/>
        </w:rPr>
      </w:pPr>
      <w:bookmarkStart w:id="92" w:name="_Toc19621"/>
      <w:bookmarkStart w:id="93" w:name="_Toc142986317"/>
      <w:bookmarkStart w:id="94" w:name="_Toc1489"/>
      <w:bookmarkStart w:id="95" w:name="_Toc147740944"/>
      <w:bookmarkStart w:id="96" w:name="_Toc8291"/>
      <w:bookmarkStart w:id="97" w:name="_Toc21763"/>
      <w:r>
        <w:rPr>
          <w:rFonts w:hint="eastAsia" w:ascii="楷体_GB2312" w:hAnsi="黑体" w:eastAsia="楷体_GB2312"/>
        </w:rPr>
        <w:t>（四）推动经开区数字化转型</w:t>
      </w:r>
      <w:bookmarkEnd w:id="91"/>
      <w:bookmarkEnd w:id="92"/>
      <w:bookmarkEnd w:id="93"/>
      <w:bookmarkEnd w:id="94"/>
      <w:bookmarkEnd w:id="95"/>
      <w:bookmarkEnd w:id="96"/>
      <w:bookmarkEnd w:id="97"/>
    </w:p>
    <w:p w14:paraId="6AFFAE32">
      <w:pPr>
        <w:pStyle w:val="23"/>
        <w:ind w:firstLine="659" w:firstLineChars="200"/>
        <w:rPr>
          <w:rFonts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加快园区基础设施智能化升级。</w:t>
      </w:r>
      <w:r>
        <w:rPr>
          <w:rFonts w:hint="eastAsia" w:ascii="仿宋_GB2312" w:hAnsi="仿宋_GB2312" w:eastAsia="仿宋_GB2312" w:cs="仿宋_GB2312"/>
          <w:spacing w:val="4"/>
          <w:sz w:val="32"/>
          <w:szCs w:val="32"/>
        </w:rPr>
        <w:t>提升智慧园区配套能力，推动智能终端产业园、智能家电产业园、金盛创业园、电子科技园、光电产业园等主题园区的智能化改造。实施智慧基础设施全覆盖，加快</w:t>
      </w:r>
      <w:r>
        <w:rPr>
          <w:rFonts w:ascii="仿宋_GB2312" w:hAnsi="仿宋_GB2312" w:eastAsia="仿宋_GB2312" w:cs="仿宋_GB2312"/>
          <w:spacing w:val="4"/>
          <w:sz w:val="32"/>
          <w:szCs w:val="32"/>
        </w:rPr>
        <w:t>5G、千兆光网、</w:t>
      </w:r>
      <w:r>
        <w:rPr>
          <w:rFonts w:hint="eastAsia" w:ascii="仿宋_GB2312" w:hAnsi="仿宋_GB2312" w:eastAsia="仿宋_GB2312" w:cs="仿宋_GB2312"/>
          <w:spacing w:val="4"/>
          <w:sz w:val="32"/>
          <w:szCs w:val="32"/>
        </w:rPr>
        <w:t>I</w:t>
      </w:r>
      <w:r>
        <w:rPr>
          <w:rFonts w:ascii="仿宋_GB2312" w:hAnsi="仿宋_GB2312" w:eastAsia="仿宋_GB2312" w:cs="仿宋_GB2312"/>
          <w:spacing w:val="4"/>
          <w:sz w:val="32"/>
          <w:szCs w:val="32"/>
        </w:rPr>
        <w:t>Pv6</w:t>
      </w:r>
      <w:r>
        <w:rPr>
          <w:rFonts w:hint="eastAsia" w:ascii="仿宋_GB2312" w:hAnsi="仿宋_GB2312" w:eastAsia="仿宋_GB2312" w:cs="仿宋_GB2312"/>
          <w:spacing w:val="4"/>
          <w:sz w:val="32"/>
          <w:szCs w:val="32"/>
        </w:rPr>
        <w:t>等新一代信息基础设施</w:t>
      </w:r>
      <w:r>
        <w:rPr>
          <w:rFonts w:ascii="仿宋_GB2312" w:hAnsi="仿宋_GB2312" w:eastAsia="仿宋_GB2312" w:cs="仿宋_GB2312"/>
          <w:spacing w:val="4"/>
          <w:sz w:val="32"/>
          <w:szCs w:val="32"/>
        </w:rPr>
        <w:t>在园区内的部署，</w:t>
      </w:r>
      <w:r>
        <w:rPr>
          <w:rFonts w:hint="eastAsia" w:ascii="仿宋_GB2312" w:hAnsi="仿宋_GB2312" w:eastAsia="仿宋_GB2312" w:cs="仿宋_GB2312"/>
          <w:spacing w:val="4"/>
          <w:sz w:val="32"/>
          <w:szCs w:val="32"/>
        </w:rPr>
        <w:t>延伸物联网传感器在园内企业各种业务场景的应用，为园区数字化监测提供数据源，实现人、车、物数据信息线上融合与计算。</w:t>
      </w:r>
      <w:r>
        <w:rPr>
          <w:rFonts w:ascii="仿宋_GB2312" w:hAnsi="仿宋_GB2312" w:eastAsia="仿宋_GB2312" w:cs="仿宋_GB2312"/>
          <w:spacing w:val="4"/>
          <w:sz w:val="32"/>
          <w:szCs w:val="32"/>
        </w:rPr>
        <w:t>推动智慧灯杆、智慧楼宇、智能充电桩等设备的布局。建设智慧园区综合</w:t>
      </w:r>
      <w:r>
        <w:rPr>
          <w:rFonts w:hint="eastAsia" w:ascii="仿宋_GB2312" w:hAnsi="仿宋_GB2312" w:eastAsia="仿宋_GB2312" w:cs="仿宋_GB2312"/>
          <w:spacing w:val="4"/>
          <w:sz w:val="32"/>
          <w:szCs w:val="32"/>
        </w:rPr>
        <w:t>能源</w:t>
      </w:r>
      <w:r>
        <w:rPr>
          <w:rFonts w:ascii="仿宋_GB2312" w:hAnsi="仿宋_GB2312" w:eastAsia="仿宋_GB2312" w:cs="仿宋_GB2312"/>
          <w:spacing w:val="4"/>
          <w:sz w:val="32"/>
          <w:szCs w:val="32"/>
        </w:rPr>
        <w:t>管理平台，实现能源调控、</w:t>
      </w:r>
      <w:r>
        <w:rPr>
          <w:rFonts w:hint="eastAsia" w:ascii="仿宋_GB2312" w:hAnsi="仿宋_GB2312" w:eastAsia="仿宋_GB2312" w:cs="仿宋_GB2312"/>
          <w:spacing w:val="4"/>
          <w:sz w:val="32"/>
          <w:szCs w:val="32"/>
        </w:rPr>
        <w:t>用能诊断、碳足迹监测</w:t>
      </w:r>
      <w:r>
        <w:rPr>
          <w:rFonts w:ascii="仿宋_GB2312" w:hAnsi="仿宋_GB2312" w:eastAsia="仿宋_GB2312" w:cs="仿宋_GB2312"/>
          <w:spacing w:val="4"/>
          <w:sz w:val="32"/>
          <w:szCs w:val="32"/>
        </w:rPr>
        <w:t>等</w:t>
      </w:r>
      <w:r>
        <w:rPr>
          <w:rFonts w:hint="eastAsia" w:ascii="仿宋_GB2312" w:hAnsi="仿宋_GB2312" w:eastAsia="仿宋_GB2312" w:cs="仿宋_GB2312"/>
          <w:spacing w:val="4"/>
          <w:sz w:val="32"/>
          <w:szCs w:val="32"/>
        </w:rPr>
        <w:t>辅助</w:t>
      </w:r>
      <w:r>
        <w:rPr>
          <w:rFonts w:ascii="仿宋_GB2312" w:hAnsi="仿宋_GB2312" w:eastAsia="仿宋_GB2312" w:cs="仿宋_GB2312"/>
          <w:spacing w:val="4"/>
          <w:sz w:val="32"/>
          <w:szCs w:val="32"/>
        </w:rPr>
        <w:t>功能。</w:t>
      </w:r>
    </w:p>
    <w:p w14:paraId="6DCC5F84">
      <w:pPr>
        <w:pStyle w:val="23"/>
        <w:ind w:firstLine="659" w:firstLineChars="200"/>
        <w:rPr>
          <w:rFonts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促成园区运营服务信息化改革。</w:t>
      </w:r>
      <w:r>
        <w:rPr>
          <w:rFonts w:hint="eastAsia" w:ascii="仿宋_GB2312" w:hAnsi="仿宋_GB2312" w:eastAsia="仿宋_GB2312" w:cs="仿宋_GB2312"/>
          <w:spacing w:val="4"/>
          <w:sz w:val="32"/>
          <w:szCs w:val="32"/>
        </w:rPr>
        <w:t>依托人工智能、云计算、大数据等信息技术手段，整合园区产业的资源分布、上下游企业、市场动态等各类信息数据资源，帮助园区管委会提供多维度、多层面的产业运营服务，动态开展产业发展指导，助力产业发展壮大和实现持久生态。建设园区工业信息化平台，提升园区运营能力和运营效率，通过多样化服务为园区提供先进能力支撑，强化园区运营保障能力，促进园区良性可持续发展。增强园企协作、企企协同，推进园区招商引资、政策指导工作，从项目招引、项目建设、项目投产全维度实现可视化管控，助力企业安全管理、协同办公、行政决议等服务的数字化转型升级。</w:t>
      </w:r>
      <w:r>
        <w:rPr>
          <w:rFonts w:ascii="仿宋_GB2312" w:hAnsi="仿宋_GB2312" w:eastAsia="仿宋_GB2312" w:cs="仿宋_GB2312"/>
          <w:spacing w:val="4"/>
          <w:sz w:val="32"/>
          <w:szCs w:val="32"/>
        </w:rPr>
        <w:t>打造</w:t>
      </w:r>
      <w:r>
        <w:rPr>
          <w:rFonts w:hint="eastAsia" w:ascii="仿宋_GB2312" w:hAnsi="仿宋_GB2312" w:eastAsia="仿宋_GB2312" w:cs="仿宋_GB2312"/>
          <w:spacing w:val="4"/>
          <w:sz w:val="32"/>
          <w:szCs w:val="32"/>
        </w:rPr>
        <w:t>园区</w:t>
      </w:r>
      <w:r>
        <w:rPr>
          <w:rFonts w:ascii="仿宋_GB2312" w:hAnsi="仿宋_GB2312" w:eastAsia="仿宋_GB2312" w:cs="仿宋_GB2312"/>
          <w:spacing w:val="4"/>
          <w:sz w:val="32"/>
          <w:szCs w:val="32"/>
        </w:rPr>
        <w:t>智慧生活配套服务体系，利用数字化技术手段，整合行政、商务、物业、餐饮、出行等公共需求，提供便捷高效的园区生活体验。</w:t>
      </w:r>
    </w:p>
    <w:p w14:paraId="58DECA81">
      <w:pPr>
        <w:pStyle w:val="23"/>
        <w:rPr>
          <w:highlight w:val="yellow"/>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4F8C3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8522" w:type="dxa"/>
            <w:vAlign w:val="center"/>
          </w:tcPr>
          <w:p w14:paraId="2FB26FC7">
            <w:pPr>
              <w:keepNext/>
              <w:jc w:val="center"/>
              <w:rPr>
                <w:rFonts w:ascii="楷体_GB2312" w:hAnsi="黑体" w:eastAsia="楷体_GB2312"/>
                <w:b/>
                <w:color w:val="000000"/>
                <w:sz w:val="28"/>
                <w:szCs w:val="28"/>
                <w:highlight w:val="yellow"/>
                <w:lang w:bidi="ar"/>
              </w:rPr>
            </w:pPr>
            <w:r>
              <w:rPr>
                <w:rFonts w:hint="eastAsia" w:ascii="楷体_GB2312" w:hAnsi="黑体" w:eastAsia="楷体_GB2312"/>
                <w:b/>
                <w:color w:val="000000"/>
                <w:sz w:val="28"/>
                <w:szCs w:val="32"/>
                <w:lang w:bidi="ar"/>
              </w:rPr>
              <w:t>专栏</w:t>
            </w:r>
            <w:r>
              <w:rPr>
                <w:rFonts w:hint="eastAsia" w:ascii="楷体_GB2312" w:hAnsi="黑体" w:eastAsia="楷体_GB2312"/>
                <w:b/>
                <w:color w:val="000000"/>
                <w:sz w:val="28"/>
                <w:szCs w:val="32"/>
                <w:lang w:val="en-US" w:eastAsia="zh-CN" w:bidi="ar"/>
              </w:rPr>
              <w:t>7</w:t>
            </w:r>
            <w:r>
              <w:rPr>
                <w:rFonts w:hint="eastAsia" w:ascii="楷体_GB2312" w:hAnsi="黑体" w:eastAsia="楷体_GB2312"/>
                <w:b/>
                <w:color w:val="000000"/>
                <w:sz w:val="28"/>
                <w:szCs w:val="32"/>
                <w:lang w:bidi="ar"/>
              </w:rPr>
              <w:t>：经开区数字化转型重点工程</w:t>
            </w:r>
          </w:p>
        </w:tc>
      </w:tr>
      <w:tr w14:paraId="42746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4E9373E9">
            <w:pPr>
              <w:widowControl/>
              <w:spacing w:line="560" w:lineRule="atLeast"/>
              <w:ind w:firstLine="578" w:firstLineChars="200"/>
              <w:rPr>
                <w:rFonts w:ascii="仿宋_GB2312" w:hAnsi="仿宋_GB2312" w:eastAsia="仿宋_GB2312" w:cs="仿宋_GB2312"/>
                <w:spacing w:val="4"/>
                <w:sz w:val="28"/>
                <w:szCs w:val="28"/>
              </w:rPr>
            </w:pPr>
            <w:r>
              <w:rPr>
                <w:rFonts w:hint="eastAsia" w:ascii="仿宋_GB2312" w:hAnsi="仿宋_GB2312" w:eastAsia="仿宋_GB2312" w:cs="仿宋_GB2312"/>
                <w:b/>
                <w:bCs/>
                <w:spacing w:val="4"/>
                <w:sz w:val="28"/>
                <w:szCs w:val="28"/>
              </w:rPr>
              <w:t>兴国经开区数智园区平台。</w:t>
            </w:r>
            <w:r>
              <w:rPr>
                <w:rFonts w:hint="eastAsia" w:ascii="仿宋_GB2312" w:hAnsi="仿宋_GB2312" w:eastAsia="仿宋_GB2312" w:cs="仿宋_GB2312"/>
                <w:spacing w:val="4"/>
                <w:sz w:val="28"/>
                <w:szCs w:val="28"/>
              </w:rPr>
              <w:t>实现基于“一张图”的可视化一网统管和基于数据的决策革命，打造“轻量化、集中化、智慧化”的数智工业园区平台。建设园区大脑，从监测预警、安全监控、敏捷应急、封闭管理、能耗监控多个方面全面立体地展示目前实施动态，为园区管理提供高效、可视、全面的数据支撑。建设园区运营平台，建立健全行业监管、协同执法和应急救援的联动机制。建设物业管理，对园区管理实行“分类管控、分级管理、分步实施”全过程监管。搭建智慧企业服务平台，为园区企业提供政务服务、产业服务和金融服务。搭建招商中心，基于企业画像和政府政策进行匹配，政府政策主动链接企业</w:t>
            </w:r>
            <w:r>
              <w:rPr>
                <w:rFonts w:ascii="仿宋_GB2312" w:hAnsi="仿宋_GB2312" w:eastAsia="仿宋_GB2312" w:cs="仿宋_GB2312"/>
                <w:spacing w:val="4"/>
                <w:sz w:val="28"/>
                <w:szCs w:val="28"/>
              </w:rPr>
              <w:t>,以科技赋能招商，让招更高效，让商更优质。</w:t>
            </w:r>
            <w:r>
              <w:rPr>
                <w:rFonts w:hint="eastAsia" w:ascii="仿宋_GB2312" w:hAnsi="仿宋_GB2312" w:eastAsia="仿宋_GB2312" w:cs="仿宋_GB2312"/>
                <w:spacing w:val="4"/>
                <w:sz w:val="28"/>
                <w:szCs w:val="28"/>
              </w:rPr>
              <w:t>到</w:t>
            </w:r>
            <w:r>
              <w:rPr>
                <w:rFonts w:ascii="仿宋_GB2312" w:hAnsi="仿宋_GB2312" w:eastAsia="仿宋_GB2312" w:cs="仿宋_GB2312"/>
                <w:spacing w:val="4"/>
                <w:sz w:val="28"/>
                <w:szCs w:val="28"/>
              </w:rPr>
              <w:t>2025年完成数智工业园区平台建设，实现</w:t>
            </w:r>
            <w:r>
              <w:rPr>
                <w:rFonts w:hint="eastAsia" w:ascii="仿宋_GB2312" w:hAnsi="仿宋_GB2312" w:eastAsia="仿宋_GB2312" w:cs="仿宋_GB2312"/>
                <w:spacing w:val="4"/>
                <w:sz w:val="28"/>
                <w:szCs w:val="28"/>
              </w:rPr>
              <w:t>经开区</w:t>
            </w:r>
            <w:r>
              <w:rPr>
                <w:rFonts w:ascii="仿宋_GB2312" w:hAnsi="仿宋_GB2312" w:eastAsia="仿宋_GB2312" w:cs="仿宋_GB2312"/>
                <w:spacing w:val="4"/>
                <w:sz w:val="28"/>
                <w:szCs w:val="28"/>
              </w:rPr>
              <w:t>工业园区态势全面感知、风险监测预警、趋势智能研判、资源统筹调度、主动精准服务等功能，助力园区可持续高效运营。</w:t>
            </w:r>
          </w:p>
        </w:tc>
      </w:tr>
    </w:tbl>
    <w:p w14:paraId="4324B122">
      <w:pPr>
        <w:pStyle w:val="23"/>
        <w:rPr>
          <w:highlight w:val="yellow"/>
        </w:rPr>
      </w:pPr>
    </w:p>
    <w:p w14:paraId="61984047">
      <w:pPr>
        <w:pStyle w:val="24"/>
        <w:numPr>
          <w:ilvl w:val="0"/>
          <w:numId w:val="1"/>
        </w:numPr>
        <w:ind w:firstLineChars="0"/>
        <w:outlineLvl w:val="0"/>
        <w:rPr>
          <w:rFonts w:ascii="黑体" w:hAnsi="黑体" w:eastAsia="黑体"/>
          <w:sz w:val="32"/>
          <w:szCs w:val="32"/>
        </w:rPr>
      </w:pPr>
      <w:r>
        <w:rPr>
          <w:rFonts w:hint="eastAsia" w:ascii="黑体" w:hAnsi="黑体" w:eastAsia="黑体"/>
          <w:sz w:val="32"/>
          <w:szCs w:val="32"/>
          <w:lang w:eastAsia="zh-CN"/>
        </w:rPr>
        <w:t>深耕产业赛道推动数字产业化高质量发展</w:t>
      </w:r>
    </w:p>
    <w:p w14:paraId="086BF9B3">
      <w:pPr>
        <w:spacing w:before="101"/>
        <w:ind w:left="6" w:firstLine="656" w:firstLineChars="200"/>
        <w:rPr>
          <w:rFonts w:ascii="仿宋_GB2312" w:hAnsi="仿宋_GB2312" w:eastAsia="仿宋_GB2312" w:cs="仿宋_GB2312"/>
          <w:spacing w:val="4"/>
          <w:sz w:val="32"/>
          <w:szCs w:val="32"/>
        </w:rPr>
      </w:pPr>
      <w:bookmarkStart w:id="98" w:name="_Toc9467"/>
      <w:r>
        <w:rPr>
          <w:rFonts w:hint="eastAsia" w:ascii="仿宋_GB2312" w:hAnsi="仿宋_GB2312" w:eastAsia="仿宋_GB2312" w:cs="仿宋_GB2312"/>
          <w:spacing w:val="4"/>
          <w:sz w:val="32"/>
          <w:szCs w:val="32"/>
        </w:rPr>
        <w:t>按照“精细化、专业化、赛道化”思维，深耕</w:t>
      </w:r>
      <w:r>
        <w:rPr>
          <w:rFonts w:ascii="仿宋_GB2312" w:hAnsi="仿宋_GB2312" w:eastAsia="仿宋_GB2312" w:cs="仿宋_GB2312"/>
          <w:spacing w:val="4"/>
          <w:sz w:val="32"/>
          <w:szCs w:val="32"/>
        </w:rPr>
        <w:t>产业赛道，夯实</w:t>
      </w:r>
      <w:r>
        <w:rPr>
          <w:rFonts w:hint="eastAsia" w:ascii="仿宋_GB2312" w:hAnsi="仿宋_GB2312" w:eastAsia="仿宋_GB2312" w:cs="仿宋_GB2312"/>
          <w:spacing w:val="4"/>
          <w:sz w:val="32"/>
          <w:szCs w:val="32"/>
        </w:rPr>
        <w:t>光电显示、新型电子元器件、智能终端</w:t>
      </w:r>
      <w:r>
        <w:rPr>
          <w:rFonts w:ascii="仿宋_GB2312" w:hAnsi="仿宋_GB2312" w:eastAsia="仿宋_GB2312" w:cs="仿宋_GB2312"/>
          <w:spacing w:val="4"/>
          <w:sz w:val="32"/>
          <w:szCs w:val="32"/>
        </w:rPr>
        <w:t>等基础赛道，前瞻布局</w:t>
      </w:r>
      <w:r>
        <w:rPr>
          <w:rFonts w:hint="eastAsia" w:ascii="仿宋_GB2312" w:hAnsi="仿宋_GB2312" w:eastAsia="仿宋_GB2312" w:cs="仿宋_GB2312"/>
          <w:spacing w:val="4"/>
          <w:sz w:val="32"/>
          <w:szCs w:val="32"/>
        </w:rPr>
        <w:t>大数据服务</w:t>
      </w:r>
      <w:r>
        <w:rPr>
          <w:rFonts w:ascii="仿宋_GB2312" w:hAnsi="仿宋_GB2312" w:eastAsia="仿宋_GB2312" w:cs="仿宋_GB2312"/>
          <w:spacing w:val="4"/>
          <w:sz w:val="32"/>
          <w:szCs w:val="32"/>
        </w:rPr>
        <w:t>、区块链等新兴赛道，优化产业空间布局，加强开放合作，提升关键技术研发能力，抢占数字产业化制高点，全面提升数字产业规模能级。</w:t>
      </w:r>
    </w:p>
    <w:p w14:paraId="222B544E">
      <w:pPr>
        <w:widowControl/>
        <w:spacing w:line="560" w:lineRule="atLeast"/>
        <w:ind w:firstLine="643" w:firstLineChars="200"/>
        <w:outlineLvl w:val="1"/>
        <w:rPr>
          <w:rFonts w:ascii="楷体_GB2312" w:hAnsi="仿宋" w:eastAsia="楷体_GB2312" w:cs="Times New Roman"/>
          <w:b/>
          <w:bCs/>
          <w:kern w:val="0"/>
          <w:sz w:val="32"/>
          <w:szCs w:val="32"/>
        </w:rPr>
      </w:pPr>
      <w:bookmarkStart w:id="99" w:name="_Toc18386"/>
      <w:bookmarkStart w:id="100" w:name="_Toc549"/>
      <w:bookmarkStart w:id="101" w:name="_Toc142986319"/>
      <w:bookmarkStart w:id="102" w:name="_Toc13495"/>
      <w:bookmarkStart w:id="103" w:name="_Toc147740946"/>
      <w:bookmarkStart w:id="104" w:name="_Toc3731"/>
      <w:r>
        <w:rPr>
          <w:rFonts w:hint="eastAsia" w:ascii="楷体_GB2312" w:hAnsi="楷体" w:eastAsia="楷体_GB2312" w:cs="Times New Roman"/>
          <w:b/>
          <w:bCs/>
          <w:kern w:val="0"/>
          <w:sz w:val="32"/>
          <w:szCs w:val="32"/>
        </w:rPr>
        <w:t>（一）</w:t>
      </w:r>
      <w:bookmarkEnd w:id="98"/>
      <w:r>
        <w:rPr>
          <w:rFonts w:hint="eastAsia" w:ascii="楷体_GB2312" w:hAnsi="楷体" w:eastAsia="楷体_GB2312" w:cs="Times New Roman"/>
          <w:b/>
          <w:bCs/>
          <w:kern w:val="0"/>
          <w:sz w:val="32"/>
          <w:szCs w:val="32"/>
        </w:rPr>
        <w:t>做大做强基础赛道</w:t>
      </w:r>
      <w:bookmarkEnd w:id="99"/>
      <w:bookmarkEnd w:id="100"/>
      <w:bookmarkEnd w:id="101"/>
      <w:bookmarkEnd w:id="102"/>
      <w:bookmarkEnd w:id="103"/>
      <w:bookmarkEnd w:id="104"/>
    </w:p>
    <w:p w14:paraId="6720F1CB">
      <w:pPr>
        <w:spacing w:before="101"/>
        <w:ind w:left="6" w:firstLine="659" w:firstLineChars="200"/>
        <w:rPr>
          <w:rFonts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推动光电显示特色化发展。</w:t>
      </w:r>
      <w:r>
        <w:rPr>
          <w:rFonts w:hint="eastAsia" w:ascii="仿宋_GB2312" w:hAnsi="仿宋_GB2312" w:eastAsia="仿宋_GB2312" w:cs="仿宋_GB2312"/>
          <w:spacing w:val="4"/>
          <w:sz w:val="32"/>
          <w:szCs w:val="32"/>
        </w:rPr>
        <w:t>抢抓沿海发达地区产业梯度转移窗口期，加快链式招引，依托汇晨科技、优奕视界等骨干企业，重点打造电容式触摸屏、电阻式触摸屏、触控显示一体化模组</w:t>
      </w:r>
      <w:r>
        <w:rPr>
          <w:rFonts w:ascii="仿宋_GB2312" w:hAnsi="仿宋_GB2312" w:eastAsia="仿宋_GB2312" w:cs="仿宋_GB2312"/>
          <w:spacing w:val="4"/>
          <w:sz w:val="32"/>
          <w:szCs w:val="32"/>
        </w:rPr>
        <w:t>等配套产品制造能力</w:t>
      </w:r>
      <w:r>
        <w:rPr>
          <w:rFonts w:hint="eastAsia" w:ascii="仿宋_GB2312" w:hAnsi="仿宋_GB2312" w:eastAsia="仿宋_GB2312" w:cs="仿宋_GB2312"/>
          <w:spacing w:val="4"/>
          <w:sz w:val="32"/>
          <w:szCs w:val="32"/>
        </w:rPr>
        <w:t>。支持发展</w:t>
      </w:r>
      <w:r>
        <w:rPr>
          <w:rFonts w:ascii="仿宋_GB2312" w:hAnsi="仿宋_GB2312" w:eastAsia="仿宋_GB2312" w:cs="仿宋_GB2312"/>
          <w:spacing w:val="4"/>
          <w:sz w:val="32"/>
          <w:szCs w:val="32"/>
        </w:rPr>
        <w:t>Glass电容式触摸屏，将产品生产转向中大尺寸终端应用，实现触摸屏产品的升级。支持将触控功能</w:t>
      </w:r>
      <w:r>
        <w:rPr>
          <w:rFonts w:hint="eastAsia" w:ascii="仿宋_GB2312" w:hAnsi="仿宋_GB2312" w:eastAsia="仿宋_GB2312" w:cs="仿宋_GB2312"/>
          <w:spacing w:val="4"/>
          <w:sz w:val="32"/>
          <w:szCs w:val="32"/>
        </w:rPr>
        <w:t>集成进</w:t>
      </w:r>
      <w:r>
        <w:rPr>
          <w:rFonts w:ascii="仿宋_GB2312" w:hAnsi="仿宋_GB2312" w:eastAsia="仿宋_GB2312" w:cs="仿宋_GB2312"/>
          <w:spacing w:val="4"/>
          <w:sz w:val="32"/>
          <w:szCs w:val="32"/>
        </w:rPr>
        <w:t>本地LED液晶显示器</w:t>
      </w:r>
      <w:r>
        <w:rPr>
          <w:rFonts w:hint="eastAsia" w:ascii="仿宋_GB2312" w:hAnsi="仿宋_GB2312" w:eastAsia="仿宋_GB2312" w:cs="仿宋_GB2312"/>
          <w:spacing w:val="4"/>
          <w:sz w:val="32"/>
          <w:szCs w:val="32"/>
        </w:rPr>
        <w:t>，</w:t>
      </w:r>
      <w:r>
        <w:rPr>
          <w:rFonts w:ascii="仿宋_GB2312" w:hAnsi="仿宋_GB2312" w:eastAsia="仿宋_GB2312" w:cs="仿宋_GB2312"/>
          <w:spacing w:val="4"/>
          <w:sz w:val="32"/>
          <w:szCs w:val="32"/>
        </w:rPr>
        <w:t>大力发展多样化触控显示模组应用模式。</w:t>
      </w:r>
      <w:r>
        <w:rPr>
          <w:rFonts w:hint="eastAsia" w:ascii="仿宋_GB2312" w:hAnsi="仿宋_GB2312" w:eastAsia="仿宋_GB2312" w:cs="仿宋_GB2312"/>
          <w:spacing w:val="4"/>
          <w:sz w:val="32"/>
          <w:szCs w:val="32"/>
        </w:rPr>
        <w:t>引导领军企业围绕优势产品加快技术创新，鼓励龙头企业发挥自身竞争优势，探索制造、销售、服务等环节的模式创新。</w:t>
      </w:r>
    </w:p>
    <w:p w14:paraId="763C7545">
      <w:pPr>
        <w:spacing w:before="101"/>
        <w:ind w:left="6" w:firstLine="659" w:firstLineChars="200"/>
        <w:rPr>
          <w:rFonts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推动智能终端集聚化发展。</w:t>
      </w:r>
      <w:r>
        <w:rPr>
          <w:rFonts w:hint="eastAsia" w:ascii="仿宋_GB2312" w:hAnsi="仿宋_GB2312" w:eastAsia="仿宋_GB2312" w:cs="仿宋_GB2312"/>
          <w:spacing w:val="4"/>
          <w:sz w:val="32"/>
          <w:szCs w:val="32"/>
        </w:rPr>
        <w:t>以打造智能终端集聚区为目标，聚力招引培育智能终端整机制造领域龙头企业和领军企业，鼓励博领电子等骨干企业，内外双向发力，聚焦产业链优势、特色环节，加快形成高效创新链、稳定供应链，有效服务于产业链。重点发展智能手机、车载显示、医疗显示、工控显示等产品。加快智能家居集成应用技术研发，提升企业智能家居整体解决方案能力。加快推进智能耳机多样化生产应用，培养产业发展新增长点，引导企业积极发展运动蓝牙耳机、通话耳机和颈挂无线耳机等主流技术产品。加快与赣州市工业领域相关产品形成内循环配套，提升产业链综合竞争力。</w:t>
      </w:r>
    </w:p>
    <w:p w14:paraId="3D7B5049">
      <w:pPr>
        <w:pStyle w:val="23"/>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15B57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8522" w:type="dxa"/>
            <w:vAlign w:val="center"/>
          </w:tcPr>
          <w:p w14:paraId="1E304608">
            <w:pPr>
              <w:keepNext/>
              <w:jc w:val="center"/>
              <w:rPr>
                <w:rFonts w:ascii="楷体_GB2312" w:hAnsi="黑体" w:eastAsia="楷体_GB2312"/>
                <w:b/>
                <w:color w:val="000000"/>
                <w:sz w:val="28"/>
                <w:szCs w:val="28"/>
                <w:highlight w:val="yellow"/>
                <w:lang w:bidi="ar"/>
              </w:rPr>
            </w:pPr>
            <w:r>
              <w:rPr>
                <w:rFonts w:ascii="楷体_GB2312" w:hAnsi="黑体" w:eastAsia="楷体_GB2312"/>
                <w:b/>
                <w:color w:val="000000"/>
                <w:sz w:val="28"/>
                <w:szCs w:val="32"/>
                <w:lang w:bidi="ar"/>
              </w:rPr>
              <w:t>专栏</w:t>
            </w:r>
            <w:r>
              <w:rPr>
                <w:rFonts w:hint="eastAsia" w:ascii="楷体_GB2312" w:hAnsi="黑体" w:eastAsia="楷体_GB2312"/>
                <w:b/>
                <w:color w:val="000000"/>
                <w:sz w:val="28"/>
                <w:szCs w:val="32"/>
                <w:lang w:val="en-US" w:eastAsia="zh-CN" w:bidi="ar"/>
              </w:rPr>
              <w:t>8</w:t>
            </w:r>
            <w:r>
              <w:rPr>
                <w:rFonts w:hint="eastAsia" w:ascii="楷体_GB2312" w:hAnsi="黑体" w:eastAsia="楷体_GB2312"/>
                <w:b/>
                <w:color w:val="000000"/>
                <w:sz w:val="28"/>
                <w:szCs w:val="32"/>
                <w:lang w:bidi="ar"/>
              </w:rPr>
              <w:t>：基础赛道重点工程</w:t>
            </w:r>
          </w:p>
        </w:tc>
      </w:tr>
      <w:tr w14:paraId="76177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vAlign w:val="center"/>
          </w:tcPr>
          <w:p w14:paraId="5424787B">
            <w:pPr>
              <w:spacing w:line="560" w:lineRule="exact"/>
              <w:ind w:firstLine="594"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28"/>
                <w:szCs w:val="28"/>
              </w:rPr>
              <w:t>电子信息产业集聚区。</w:t>
            </w:r>
            <w:r>
              <w:rPr>
                <w:rFonts w:hint="eastAsia" w:ascii="仿宋_GB2312" w:hAnsi="仿宋_GB2312" w:eastAsia="仿宋_GB2312" w:cs="仿宋_GB2312"/>
                <w:spacing w:val="8"/>
                <w:sz w:val="28"/>
                <w:szCs w:val="28"/>
              </w:rPr>
              <w:t>按照兴国县电子信息产业“一区五园”的发展格局，</w:t>
            </w:r>
            <w:r>
              <w:rPr>
                <w:rFonts w:ascii="仿宋_GB2312" w:hAnsi="仿宋_GB2312" w:eastAsia="仿宋_GB2312" w:cs="仿宋_GB2312"/>
                <w:spacing w:val="8"/>
                <w:sz w:val="28"/>
                <w:szCs w:val="28"/>
              </w:rPr>
              <w:t>聚焦光电显示、新型电子元器件、智能终端、精密加工四个细分领域，推动从“元器件”到“部件”跃升，建立上中下游互融共生、分工合作、利益共享的一体化组织新模式。按照“大项目—产业链—产业集群—产业基地”的发展思路，设立电子信息产业发展引导基金，以龙头企业引进为突破口,扶持和引进重大产业项目、关键技术，力争每年引进1个以上“5020”产业项目。到2025年，力争</w:t>
            </w:r>
            <w:r>
              <w:rPr>
                <w:rFonts w:hint="eastAsia" w:ascii="仿宋_GB2312" w:hAnsi="仿宋_GB2312" w:eastAsia="仿宋_GB2312" w:cs="仿宋_GB2312"/>
                <w:spacing w:val="8"/>
                <w:sz w:val="28"/>
                <w:szCs w:val="28"/>
              </w:rPr>
              <w:t>全县规模以上</w:t>
            </w:r>
            <w:r>
              <w:rPr>
                <w:rFonts w:ascii="仿宋_GB2312" w:hAnsi="仿宋_GB2312" w:eastAsia="仿宋_GB2312" w:cs="仿宋_GB2312"/>
                <w:spacing w:val="8"/>
                <w:sz w:val="28"/>
                <w:szCs w:val="28"/>
              </w:rPr>
              <w:t>电子信息产业总产值超</w:t>
            </w:r>
            <w:r>
              <w:rPr>
                <w:rFonts w:hint="eastAsia" w:ascii="仿宋_GB2312" w:hAnsi="仿宋_GB2312" w:eastAsia="仿宋_GB2312" w:cs="仿宋_GB2312"/>
                <w:spacing w:val="8"/>
                <w:sz w:val="28"/>
                <w:szCs w:val="28"/>
              </w:rPr>
              <w:t>20</w:t>
            </w:r>
            <w:r>
              <w:rPr>
                <w:rFonts w:ascii="仿宋_GB2312" w:hAnsi="仿宋_GB2312" w:eastAsia="仿宋_GB2312" w:cs="仿宋_GB2312"/>
                <w:spacing w:val="8"/>
                <w:sz w:val="28"/>
                <w:szCs w:val="28"/>
              </w:rPr>
              <w:t>亿元、规模以上电子信息企业达</w:t>
            </w:r>
            <w:r>
              <w:rPr>
                <w:rFonts w:hint="eastAsia" w:ascii="仿宋_GB2312" w:hAnsi="仿宋_GB2312" w:eastAsia="仿宋_GB2312" w:cs="仿宋_GB2312"/>
                <w:spacing w:val="8"/>
                <w:sz w:val="28"/>
                <w:szCs w:val="28"/>
              </w:rPr>
              <w:t>40</w:t>
            </w:r>
            <w:r>
              <w:rPr>
                <w:rFonts w:ascii="仿宋_GB2312" w:hAnsi="仿宋_GB2312" w:eastAsia="仿宋_GB2312" w:cs="仿宋_GB2312"/>
                <w:spacing w:val="8"/>
                <w:sz w:val="28"/>
                <w:szCs w:val="28"/>
              </w:rPr>
              <w:t>家以上，</w:t>
            </w:r>
            <w:r>
              <w:rPr>
                <w:rFonts w:hint="eastAsia" w:ascii="仿宋_GB2312" w:hAnsi="仿宋_GB2312" w:eastAsia="仿宋_GB2312" w:cs="仿宋_GB2312"/>
                <w:spacing w:val="8"/>
                <w:sz w:val="28"/>
                <w:szCs w:val="28"/>
              </w:rPr>
              <w:t>成功打造电子信息产业集聚区</w:t>
            </w:r>
            <w:r>
              <w:rPr>
                <w:rFonts w:ascii="仿宋_GB2312" w:hAnsi="仿宋_GB2312" w:eastAsia="仿宋_GB2312" w:cs="仿宋_GB2312"/>
                <w:spacing w:val="8"/>
                <w:sz w:val="28"/>
                <w:szCs w:val="28"/>
              </w:rPr>
              <w:t>。</w:t>
            </w:r>
          </w:p>
          <w:p w14:paraId="69722EF3">
            <w:pPr>
              <w:spacing w:line="560" w:lineRule="exact"/>
              <w:ind w:firstLine="594"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28"/>
                <w:szCs w:val="28"/>
              </w:rPr>
              <w:t>——电子信息智能终端产业园。</w:t>
            </w:r>
            <w:r>
              <w:rPr>
                <w:rFonts w:hint="eastAsia" w:ascii="仿宋_GB2312" w:hAnsi="仿宋_GB2312" w:eastAsia="仿宋_GB2312" w:cs="仿宋_GB2312"/>
                <w:spacing w:val="8"/>
                <w:sz w:val="28"/>
                <w:szCs w:val="28"/>
              </w:rPr>
              <w:t>深入实施铸链补链延链工程，建设100万平方米标准厂房，引进如中兵兴国AI智能模拟训练装备等电子信息企业50家以上入驻，强化招商引资基础。</w:t>
            </w:r>
          </w:p>
          <w:p w14:paraId="4A76CAC4">
            <w:pPr>
              <w:spacing w:line="560" w:lineRule="exact"/>
              <w:ind w:firstLine="594"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28"/>
                <w:szCs w:val="28"/>
              </w:rPr>
              <w:t>——新能源新材料产业园。</w:t>
            </w:r>
            <w:r>
              <w:rPr>
                <w:rFonts w:hint="eastAsia" w:ascii="仿宋_GB2312" w:hAnsi="仿宋_GB2312" w:eastAsia="仿宋_GB2312" w:cs="仿宋_GB2312"/>
                <w:spacing w:val="8"/>
                <w:sz w:val="28"/>
                <w:szCs w:val="28"/>
              </w:rPr>
              <w:t>进一步延伸电子信息产业制造链，利用兴氟化工转型升级，建设10万吨湿电子新材料产业园，适用于平板显示、半导体及LED、光伏太阳能以及锂电池、光磁等电子元器件微细加工的清洗、光刻、显影、蚀刻、去膜、掺杂等制造工艺过程。</w:t>
            </w:r>
          </w:p>
          <w:p w14:paraId="1B73A07F">
            <w:pPr>
              <w:spacing w:line="560" w:lineRule="exact"/>
              <w:ind w:firstLine="594"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28"/>
                <w:szCs w:val="28"/>
              </w:rPr>
              <w:t>——家电产业园。</w:t>
            </w:r>
            <w:r>
              <w:rPr>
                <w:rFonts w:hint="eastAsia" w:ascii="仿宋_GB2312" w:hAnsi="仿宋_GB2312" w:eastAsia="仿宋_GB2312" w:cs="仿宋_GB2312"/>
                <w:spacing w:val="8"/>
                <w:sz w:val="28"/>
                <w:szCs w:val="28"/>
              </w:rPr>
              <w:t>推进电子信息产业向下游终端延伸，打造家电生产基地，主要生产电磁炉、电压力锅，加湿器、搅面机、碎肉机、果汁机、磨豆机等厨房家电及小家电。</w:t>
            </w:r>
          </w:p>
          <w:p w14:paraId="4C828E0A">
            <w:pPr>
              <w:pStyle w:val="3"/>
              <w:spacing w:after="0" w:line="560" w:lineRule="exact"/>
              <w:ind w:left="0" w:leftChars="0" w:firstLine="562" w:firstLineChars="200"/>
              <w:rPr>
                <w:rFonts w:ascii="仿宋_GB2312"/>
                <w:highlight w:val="yellow"/>
              </w:rPr>
            </w:pPr>
            <w:r>
              <w:rPr>
                <w:rFonts w:hint="eastAsia" w:ascii="仿宋_GB2312"/>
                <w:b/>
                <w:bCs/>
                <w:sz w:val="28"/>
                <w:szCs w:val="40"/>
              </w:rPr>
              <w:t>构建冠军型企业梯次培育机制</w:t>
            </w:r>
            <w:r>
              <w:rPr>
                <w:rFonts w:hint="eastAsia" w:ascii="仿宋_GB2312"/>
                <w:sz w:val="28"/>
                <w:szCs w:val="40"/>
              </w:rPr>
              <w:t>。构建从以专精特新中小企业-专精特新“小巨人”-“单项冠军”的多层次、递进式企业梯级成长机制，培育一批具有核心竞争优势的“专精特新”企业群。</w:t>
            </w:r>
            <w:r>
              <w:rPr>
                <w:rFonts w:ascii="仿宋_GB2312"/>
                <w:sz w:val="28"/>
                <w:szCs w:val="40"/>
              </w:rPr>
              <w:t>建立健全“微成长、小升高、高壮大”的企业培育发展体系，每年推动一批小微企业上规升级，深耕细分领域。到2025年，</w:t>
            </w:r>
            <w:r>
              <w:rPr>
                <w:rFonts w:hint="eastAsia" w:ascii="仿宋_GB2312"/>
                <w:sz w:val="28"/>
                <w:szCs w:val="40"/>
              </w:rPr>
              <w:t>数字经济核心产业企业数达40家</w:t>
            </w:r>
            <w:r>
              <w:rPr>
                <w:rFonts w:ascii="仿宋_GB2312"/>
                <w:sz w:val="28"/>
                <w:szCs w:val="40"/>
              </w:rPr>
              <w:t>。</w:t>
            </w:r>
            <w:r>
              <w:rPr>
                <w:rFonts w:hint="eastAsia" w:ascii="仿宋_GB2312"/>
                <w:sz w:val="28"/>
                <w:szCs w:val="40"/>
              </w:rPr>
              <w:t>到2</w:t>
            </w:r>
            <w:r>
              <w:rPr>
                <w:rFonts w:ascii="仿宋_GB2312"/>
                <w:sz w:val="28"/>
                <w:szCs w:val="40"/>
              </w:rPr>
              <w:t>027</w:t>
            </w:r>
            <w:r>
              <w:rPr>
                <w:rFonts w:hint="eastAsia" w:ascii="仿宋_GB2312"/>
                <w:sz w:val="28"/>
                <w:szCs w:val="40"/>
              </w:rPr>
              <w:t>年，</w:t>
            </w:r>
            <w:r>
              <w:rPr>
                <w:rFonts w:ascii="仿宋_GB2312"/>
                <w:sz w:val="28"/>
                <w:szCs w:val="40"/>
              </w:rPr>
              <w:t>数字经济核心产业企业数</w:t>
            </w:r>
            <w:r>
              <w:rPr>
                <w:rFonts w:hint="eastAsia" w:ascii="仿宋_GB2312"/>
                <w:sz w:val="28"/>
                <w:szCs w:val="40"/>
              </w:rPr>
              <w:t>达60家。数字经济核心产业增加值占</w:t>
            </w:r>
            <w:r>
              <w:rPr>
                <w:rFonts w:ascii="仿宋_GB2312"/>
                <w:sz w:val="28"/>
                <w:szCs w:val="40"/>
              </w:rPr>
              <w:t>GPD</w:t>
            </w:r>
            <w:r>
              <w:rPr>
                <w:rFonts w:hint="eastAsia" w:ascii="仿宋_GB2312"/>
                <w:sz w:val="28"/>
                <w:szCs w:val="40"/>
              </w:rPr>
              <w:t>比重达10%。</w:t>
            </w:r>
          </w:p>
        </w:tc>
      </w:tr>
    </w:tbl>
    <w:p w14:paraId="74839B73">
      <w:pPr>
        <w:pStyle w:val="23"/>
      </w:pPr>
    </w:p>
    <w:p w14:paraId="474C95ED">
      <w:pPr>
        <w:widowControl/>
        <w:shd w:val="clear" w:color="auto" w:fill="FFFFFF"/>
        <w:spacing w:line="520" w:lineRule="atLeast"/>
        <w:ind w:firstLine="617"/>
        <w:jc w:val="left"/>
        <w:outlineLvl w:val="1"/>
        <w:rPr>
          <w:rFonts w:ascii="楷体" w:hAnsi="楷体" w:eastAsia="楷体" w:cs="宋体"/>
          <w:b/>
          <w:bCs/>
          <w:color w:val="333333"/>
          <w:kern w:val="0"/>
          <w:sz w:val="32"/>
          <w:szCs w:val="32"/>
        </w:rPr>
      </w:pPr>
      <w:bookmarkStart w:id="105" w:name="_Hlk141260242"/>
      <w:bookmarkStart w:id="106" w:name="_Toc20895"/>
      <w:bookmarkStart w:id="107" w:name="_Toc12501"/>
      <w:bookmarkStart w:id="108" w:name="_Toc10591"/>
      <w:bookmarkStart w:id="109" w:name="_Toc17432"/>
      <w:bookmarkStart w:id="110" w:name="_Toc25389"/>
      <w:bookmarkStart w:id="111" w:name="_Toc147740947"/>
      <w:bookmarkStart w:id="112" w:name="_Toc142986320"/>
      <w:r>
        <w:rPr>
          <w:rFonts w:hint="eastAsia" w:ascii="楷体" w:hAnsi="楷体" w:eastAsia="楷体" w:cs="宋体"/>
          <w:b/>
          <w:bCs/>
          <w:color w:val="333333"/>
          <w:kern w:val="0"/>
          <w:sz w:val="32"/>
          <w:szCs w:val="32"/>
        </w:rPr>
        <w:t>（二）</w:t>
      </w:r>
      <w:bookmarkEnd w:id="105"/>
      <w:bookmarkEnd w:id="106"/>
      <w:r>
        <w:rPr>
          <w:rFonts w:hint="eastAsia" w:ascii="楷体" w:hAnsi="楷体" w:eastAsia="楷体" w:cs="宋体"/>
          <w:b/>
          <w:bCs/>
          <w:color w:val="333333"/>
          <w:kern w:val="0"/>
          <w:sz w:val="32"/>
          <w:szCs w:val="32"/>
        </w:rPr>
        <w:t>培育发展新兴赛道</w:t>
      </w:r>
      <w:bookmarkEnd w:id="107"/>
      <w:bookmarkEnd w:id="108"/>
      <w:bookmarkEnd w:id="109"/>
      <w:bookmarkEnd w:id="110"/>
      <w:bookmarkEnd w:id="111"/>
      <w:bookmarkEnd w:id="112"/>
    </w:p>
    <w:p w14:paraId="17827873">
      <w:pPr>
        <w:spacing w:line="560" w:lineRule="exact"/>
        <w:ind w:firstLine="659" w:firstLineChars="200"/>
        <w:rPr>
          <w:rFonts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拓宽做深大数据产业</w:t>
      </w:r>
      <w:r>
        <w:rPr>
          <w:rFonts w:hint="eastAsia" w:ascii="仿宋_GB2312" w:hAnsi="仿宋_GB2312" w:eastAsia="仿宋_GB2312" w:cs="仿宋_GB2312"/>
          <w:spacing w:val="4"/>
          <w:sz w:val="32"/>
          <w:szCs w:val="32"/>
        </w:rPr>
        <w:t>。按照赣州市时空大数据应用及产业发展规划整体布局，充分发挥兴国在文旅及农业领域优势，打造“时空大数据</w:t>
      </w:r>
      <w:r>
        <w:rPr>
          <w:rFonts w:ascii="仿宋_GB2312" w:hAnsi="仿宋_GB2312" w:eastAsia="仿宋_GB2312" w:cs="仿宋_GB2312"/>
          <w:spacing w:val="4"/>
          <w:sz w:val="32"/>
          <w:szCs w:val="32"/>
        </w:rPr>
        <w:t>+文化教育”“时空大数据+智慧农业”应用示范区</w:t>
      </w:r>
      <w:r>
        <w:rPr>
          <w:rFonts w:hint="eastAsia" w:ascii="仿宋_GB2312" w:hAnsi="仿宋_GB2312" w:eastAsia="仿宋_GB2312" w:cs="仿宋_GB2312"/>
          <w:spacing w:val="4"/>
          <w:sz w:val="32"/>
          <w:szCs w:val="32"/>
        </w:rPr>
        <w:t>。加快培育数据管理产业，依托赣州数据开放实验室及大企业构建数据清洗公共服务能力，培育数据清洗中小企业；依托市内及粤港澳大湾区人工智能产业，发挥兴国优势，积极推广“众包”“众包</w:t>
      </w:r>
      <w:r>
        <w:rPr>
          <w:rFonts w:ascii="仿宋_GB2312" w:hAnsi="仿宋_GB2312" w:eastAsia="仿宋_GB2312" w:cs="仿宋_GB2312"/>
          <w:spacing w:val="4"/>
          <w:sz w:val="32"/>
          <w:szCs w:val="32"/>
        </w:rPr>
        <w:t>+工厂”“机器+人工”等数据标注业发展新模式，发展数据标注业，建设一批数据标注乡（村）。</w:t>
      </w:r>
      <w:r>
        <w:rPr>
          <w:rFonts w:hint="eastAsia" w:ascii="仿宋_GB2312" w:hAnsi="仿宋_GB2312" w:eastAsia="仿宋_GB2312" w:cs="仿宋_GB2312"/>
          <w:spacing w:val="4"/>
          <w:sz w:val="32"/>
          <w:szCs w:val="32"/>
        </w:rPr>
        <w:t>探索制定大数据产业项目招商引资目标任务和考评办法，引导全县充分利用政府资源，鼓励采取政府项目实体化、政府投资合作、股份合作等方式，吸引大数据相关的优质企业、领军企业、头部企业落地。</w:t>
      </w:r>
    </w:p>
    <w:p w14:paraId="5405084A">
      <w:pPr>
        <w:spacing w:before="101"/>
        <w:ind w:left="6" w:firstLine="659" w:firstLineChars="200"/>
        <w:rPr>
          <w:rFonts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探索区块链创新应用。</w:t>
      </w:r>
      <w:r>
        <w:rPr>
          <w:rFonts w:hint="eastAsia" w:ascii="仿宋_GB2312" w:hAnsi="仿宋_GB2312" w:eastAsia="仿宋_GB2312" w:cs="仿宋_GB2312"/>
          <w:spacing w:val="4"/>
          <w:sz w:val="32"/>
          <w:szCs w:val="32"/>
        </w:rPr>
        <w:t>加强区块链技术创新，鼓励园区积极联合科研机构、高等院校和企业开展区块链创新研究。开展区块链技术在种、养、产、销等领域的试点应用，建设区块链</w:t>
      </w:r>
      <w:r>
        <w:rPr>
          <w:rFonts w:ascii="仿宋_GB2312" w:hAnsi="仿宋_GB2312" w:eastAsia="仿宋_GB2312" w:cs="仿宋_GB2312"/>
          <w:spacing w:val="4"/>
          <w:sz w:val="32"/>
          <w:szCs w:val="32"/>
        </w:rPr>
        <w:t>+现代农业示范基地，扩大品牌特色农产品影响力。在智能制造、跨境电商、政务服务、社会治理等领域打造一批区块链应用场景。</w:t>
      </w:r>
      <w:r>
        <w:rPr>
          <w:rFonts w:hint="eastAsia" w:ascii="仿宋_GB2312" w:hAnsi="仿宋_GB2312" w:eastAsia="仿宋_GB2312" w:cs="仿宋_GB2312"/>
          <w:spacing w:val="4"/>
          <w:sz w:val="32"/>
          <w:szCs w:val="32"/>
        </w:rPr>
        <w:t>打造兴国县“区块链金融+文旅”品牌体系，基于国际领先的区块链积分体系运营能力以及粤港澳大湾区全金融机构体系优质会员权益，打通多文旅景区共建联盟，促进兴国县全域旅游发展。</w:t>
      </w:r>
    </w:p>
    <w:p w14:paraId="1341EA52">
      <w:pPr>
        <w:widowControl/>
        <w:shd w:val="clear" w:color="auto" w:fill="FFFFFF"/>
        <w:spacing w:line="520" w:lineRule="atLeast"/>
        <w:ind w:firstLine="617"/>
        <w:jc w:val="left"/>
        <w:outlineLvl w:val="1"/>
        <w:rPr>
          <w:rFonts w:ascii="楷体" w:hAnsi="楷体" w:eastAsia="楷体" w:cs="宋体"/>
          <w:b/>
          <w:bCs/>
          <w:color w:val="333333"/>
          <w:kern w:val="0"/>
          <w:sz w:val="32"/>
          <w:szCs w:val="32"/>
        </w:rPr>
      </w:pPr>
      <w:bookmarkStart w:id="113" w:name="_Toc14191"/>
      <w:bookmarkStart w:id="114" w:name="_Toc10263"/>
      <w:bookmarkStart w:id="115" w:name="_Toc142986321"/>
      <w:bookmarkStart w:id="116" w:name="_Toc147740948"/>
      <w:bookmarkStart w:id="117" w:name="_Toc13805"/>
      <w:bookmarkStart w:id="118" w:name="_Toc1090"/>
      <w:r>
        <w:rPr>
          <w:rFonts w:hint="eastAsia" w:ascii="楷体" w:hAnsi="楷体" w:eastAsia="楷体" w:cs="宋体"/>
          <w:b/>
          <w:bCs/>
          <w:color w:val="333333"/>
          <w:kern w:val="0"/>
          <w:sz w:val="32"/>
          <w:szCs w:val="32"/>
        </w:rPr>
        <w:t>（三）优化数字产业发展环境</w:t>
      </w:r>
      <w:bookmarkEnd w:id="113"/>
      <w:bookmarkEnd w:id="114"/>
      <w:bookmarkEnd w:id="115"/>
      <w:bookmarkEnd w:id="116"/>
      <w:bookmarkEnd w:id="117"/>
      <w:bookmarkEnd w:id="118"/>
    </w:p>
    <w:p w14:paraId="5424FECC">
      <w:pPr>
        <w:spacing w:before="101"/>
        <w:ind w:left="6" w:firstLine="659" w:firstLineChars="200"/>
        <w:rPr>
          <w:rFonts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培育壮大高新技术企业梯队。</w:t>
      </w:r>
      <w:r>
        <w:rPr>
          <w:rFonts w:hint="eastAsia" w:ascii="仿宋_GB2312" w:hAnsi="仿宋_GB2312" w:eastAsia="仿宋_GB2312" w:cs="仿宋_GB2312"/>
          <w:spacing w:val="4"/>
          <w:sz w:val="32"/>
          <w:szCs w:val="32"/>
        </w:rPr>
        <w:t>实施高新技术企业倍增计划，培育一批主业突出、行业引领能力强、具有国内先进技术水平和国际竞争力的高新技术企业。聚焦人工智能、移动物联网、软件开发等前沿领域，整合利用创新资源，引进“独角兽”“瞪羚”（潜在）企业。推动一批创新能力强、成长速度快、发展潜力大的中小微企业向“专特新、高精尖”发展，形成以大企业为引领支撑、中小微企业为创新重要发源地的融通创新格局。到2025年，新增省级工程研究中心至</w:t>
      </w:r>
      <w:r>
        <w:rPr>
          <w:rFonts w:hint="eastAsia" w:ascii="仿宋_GB2312" w:hAnsi="仿宋_GB2312" w:eastAsia="仿宋_GB2312" w:cs="仿宋_GB2312"/>
          <w:spacing w:val="4"/>
          <w:sz w:val="32"/>
          <w:szCs w:val="32"/>
          <w:lang w:val="en-US" w:eastAsia="zh-CN"/>
        </w:rPr>
        <w:t>1</w:t>
      </w:r>
      <w:r>
        <w:rPr>
          <w:rFonts w:hint="eastAsia" w:ascii="仿宋_GB2312" w:hAnsi="仿宋_GB2312" w:eastAsia="仿宋_GB2312" w:cs="仿宋_GB2312"/>
          <w:spacing w:val="4"/>
          <w:sz w:val="32"/>
          <w:szCs w:val="32"/>
        </w:rPr>
        <w:t>个，到2027年，新增省级工程研究中心至</w:t>
      </w:r>
      <w:r>
        <w:rPr>
          <w:rFonts w:hint="eastAsia" w:ascii="仿宋_GB2312" w:hAnsi="仿宋_GB2312" w:eastAsia="仿宋_GB2312" w:cs="仿宋_GB2312"/>
          <w:spacing w:val="4"/>
          <w:sz w:val="32"/>
          <w:szCs w:val="32"/>
          <w:lang w:val="en-US" w:eastAsia="zh-CN"/>
        </w:rPr>
        <w:t>2</w:t>
      </w:r>
      <w:r>
        <w:rPr>
          <w:rFonts w:hint="eastAsia" w:ascii="仿宋_GB2312" w:hAnsi="仿宋_GB2312" w:eastAsia="仿宋_GB2312" w:cs="仿宋_GB2312"/>
          <w:spacing w:val="4"/>
          <w:sz w:val="32"/>
          <w:szCs w:val="32"/>
        </w:rPr>
        <w:t>个。培育软件产业规模达</w:t>
      </w:r>
      <w:r>
        <w:rPr>
          <w:rFonts w:hint="eastAsia" w:ascii="仿宋_GB2312" w:hAnsi="仿宋_GB2312" w:eastAsia="仿宋_GB2312" w:cs="仿宋_GB2312"/>
          <w:spacing w:val="4"/>
          <w:sz w:val="32"/>
          <w:szCs w:val="32"/>
          <w:highlight w:val="none"/>
          <w:lang w:eastAsia="zh-CN"/>
        </w:rPr>
        <w:t>3</w:t>
      </w:r>
      <w:r>
        <w:rPr>
          <w:rFonts w:hint="eastAsia" w:ascii="仿宋_GB2312" w:hAnsi="仿宋_GB2312" w:eastAsia="仿宋_GB2312" w:cs="仿宋_GB2312"/>
          <w:spacing w:val="4"/>
          <w:sz w:val="32"/>
          <w:szCs w:val="32"/>
          <w:highlight w:val="none"/>
          <w:lang w:val="en-US" w:eastAsia="zh-CN"/>
        </w:rPr>
        <w:t>000</w:t>
      </w:r>
      <w:r>
        <w:rPr>
          <w:rFonts w:hint="eastAsia" w:ascii="仿宋_GB2312" w:hAnsi="仿宋_GB2312" w:eastAsia="仿宋_GB2312" w:cs="仿宋_GB2312"/>
          <w:spacing w:val="4"/>
          <w:sz w:val="32"/>
          <w:szCs w:val="32"/>
        </w:rPr>
        <w:t>万元。</w:t>
      </w:r>
    </w:p>
    <w:p w14:paraId="6B0F114E">
      <w:pPr>
        <w:spacing w:before="101"/>
        <w:ind w:left="6" w:firstLine="659" w:firstLineChars="200"/>
        <w:rPr>
          <w:rFonts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强化数据要素资源。</w:t>
      </w:r>
      <w:r>
        <w:rPr>
          <w:rFonts w:hint="eastAsia" w:ascii="仿宋_GB2312" w:hAnsi="仿宋_GB2312" w:eastAsia="仿宋_GB2312" w:cs="仿宋_GB2312"/>
          <w:spacing w:val="4"/>
          <w:sz w:val="32"/>
          <w:szCs w:val="32"/>
        </w:rPr>
        <w:t>基于赣州数据开放实验室、大数据交易中心，按照分行业、分领域建设“数据字典”，健全全生命周期的数据治理闭环，提高数据的质量和应用效率，建立高质量的政务数据资源池。引导兴氟化工、富视兴电子、海文生物、联友电子、国泰特种化工、金电电子、益香园、拓诚农业等行业龙头企业和平台服务商建设一批行业、经济、社会数据资源库，并推动与政务数据资源池的融合对接，探索推进政务数据在工业、农业、商贸、文旅、交通、教育、医疗、金融等重点领域数据汇聚应用。鼓励经开区等数据基础较好园区建设数据标准化示范基地，重点围绕电子政务、城市治理、产业应用开展数据标准化试点示范。</w:t>
      </w:r>
    </w:p>
    <w:p w14:paraId="13C1AB6D">
      <w:pPr>
        <w:spacing w:before="101"/>
        <w:ind w:firstLine="659" w:firstLineChars="200"/>
        <w:rPr>
          <w:rFonts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对接融入粤港澳大湾区产业协作。</w:t>
      </w:r>
      <w:r>
        <w:rPr>
          <w:rFonts w:hint="eastAsia" w:ascii="仿宋_GB2312" w:hAnsi="仿宋_GB2312" w:eastAsia="仿宋_GB2312" w:cs="仿宋_GB2312"/>
          <w:spacing w:val="4"/>
          <w:sz w:val="32"/>
          <w:szCs w:val="32"/>
        </w:rPr>
        <w:t>全面对接粤港澳大湾区世界级制造业产业集群、战略性新兴产业集群建设，加快建设配套大湾区先进装备制造和电子信息产业集群的重要基地和延伸带，融入产业链分工和产业间协作配套。争取大湾区科研院所、高等院校、龙头企业设立技术转移中心和成果转化中心。积极参加全市“粤企入赣”活动，每年在粤港澳大湾区举办专场推介会</w:t>
      </w:r>
      <w:r>
        <w:rPr>
          <w:rFonts w:ascii="仿宋_GB2312" w:hAnsi="仿宋_GB2312" w:eastAsia="仿宋_GB2312" w:cs="仿宋_GB2312"/>
          <w:spacing w:val="4"/>
          <w:sz w:val="32"/>
          <w:szCs w:val="32"/>
        </w:rPr>
        <w:t>(招商会)1场以上，力争每年至少引进</w:t>
      </w:r>
      <w:r>
        <w:rPr>
          <w:rFonts w:hint="eastAsia" w:ascii="仿宋_GB2312" w:hAnsi="仿宋_GB2312" w:eastAsia="仿宋_GB2312" w:cs="仿宋_GB2312"/>
          <w:spacing w:val="4"/>
          <w:sz w:val="32"/>
          <w:szCs w:val="32"/>
          <w:lang w:val="en-US" w:eastAsia="zh-CN"/>
        </w:rPr>
        <w:t>1</w:t>
      </w:r>
      <w:r>
        <w:rPr>
          <w:rFonts w:ascii="仿宋_GB2312" w:hAnsi="仿宋_GB2312" w:eastAsia="仿宋_GB2312" w:cs="仿宋_GB2312"/>
          <w:spacing w:val="4"/>
          <w:sz w:val="32"/>
          <w:szCs w:val="32"/>
        </w:rPr>
        <w:t>家大湾区知名民企、行业龙头企业。力争到2027年引进至少2家大湾区全国500强企业，争取</w:t>
      </w:r>
      <w:r>
        <w:rPr>
          <w:rFonts w:hint="eastAsia" w:ascii="仿宋_GB2312" w:hAnsi="仿宋_GB2312" w:eastAsia="仿宋_GB2312" w:cs="仿宋_GB2312"/>
          <w:spacing w:val="4"/>
          <w:sz w:val="32"/>
          <w:szCs w:val="32"/>
          <w:lang w:val="en-US" w:eastAsia="zh-CN"/>
        </w:rPr>
        <w:t>培育</w:t>
      </w:r>
      <w:r>
        <w:rPr>
          <w:rFonts w:ascii="仿宋_GB2312" w:hAnsi="仿宋_GB2312" w:eastAsia="仿宋_GB2312" w:cs="仿宋_GB2312"/>
          <w:spacing w:val="4"/>
          <w:sz w:val="32"/>
          <w:szCs w:val="32"/>
        </w:rPr>
        <w:t>1家科研院</w:t>
      </w:r>
      <w:r>
        <w:rPr>
          <w:rFonts w:hint="eastAsia" w:ascii="仿宋_GB2312" w:hAnsi="仿宋_GB2312" w:eastAsia="仿宋_GB2312" w:cs="仿宋_GB2312"/>
          <w:spacing w:val="4"/>
          <w:sz w:val="32"/>
          <w:szCs w:val="32"/>
        </w:rPr>
        <w:t>所、高等院校、龙头企业设立技术转移中心和成果转化中心。</w:t>
      </w:r>
    </w:p>
    <w:p w14:paraId="51E3D7A6">
      <w:pPr>
        <w:pStyle w:val="24"/>
        <w:numPr>
          <w:ilvl w:val="0"/>
          <w:numId w:val="1"/>
        </w:numPr>
        <w:ind w:firstLineChars="0"/>
        <w:outlineLvl w:val="0"/>
        <w:rPr>
          <w:rFonts w:ascii="黑体" w:hAnsi="黑体" w:eastAsia="黑体"/>
          <w:sz w:val="32"/>
          <w:szCs w:val="32"/>
        </w:rPr>
      </w:pPr>
      <w:bookmarkStart w:id="119" w:name="_Toc142986322"/>
      <w:bookmarkEnd w:id="119"/>
      <w:bookmarkStart w:id="120" w:name="_Toc142986323"/>
      <w:bookmarkEnd w:id="120"/>
      <w:bookmarkStart w:id="121" w:name="_Toc142986084"/>
      <w:bookmarkEnd w:id="121"/>
      <w:bookmarkStart w:id="122" w:name="_Toc142986324"/>
      <w:bookmarkEnd w:id="122"/>
      <w:bookmarkStart w:id="123" w:name="_Toc142986082"/>
      <w:bookmarkEnd w:id="123"/>
      <w:bookmarkStart w:id="124" w:name="_Toc142986083"/>
      <w:bookmarkEnd w:id="124"/>
      <w:r>
        <w:rPr>
          <w:rFonts w:hint="eastAsia" w:ascii="黑体" w:hAnsi="黑体" w:eastAsia="黑体"/>
          <w:sz w:val="32"/>
          <w:szCs w:val="32"/>
          <w:lang w:eastAsia="zh-CN"/>
        </w:rPr>
        <w:t>优化数字服务助力“全景兴国”建设</w:t>
      </w:r>
    </w:p>
    <w:p w14:paraId="15D4792E">
      <w:pPr>
        <w:pStyle w:val="23"/>
        <w:ind w:firstLine="656" w:firstLineChars="200"/>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全面推进公共服务数字化</w:t>
      </w:r>
      <w:r>
        <w:rPr>
          <w:rFonts w:hint="eastAsia" w:ascii="仿宋_GB2312" w:hAnsi="仿宋_GB2312" w:eastAsia="仿宋_GB2312" w:cs="仿宋_GB2312"/>
          <w:spacing w:val="4"/>
          <w:sz w:val="32"/>
          <w:szCs w:val="32"/>
        </w:rPr>
        <w:t>转型</w:t>
      </w:r>
      <w:r>
        <w:rPr>
          <w:rFonts w:ascii="仿宋_GB2312" w:hAnsi="仿宋_GB2312" w:eastAsia="仿宋_GB2312" w:cs="仿宋_GB2312"/>
          <w:spacing w:val="4"/>
          <w:sz w:val="32"/>
          <w:szCs w:val="32"/>
        </w:rPr>
        <w:t>，</w:t>
      </w:r>
      <w:r>
        <w:rPr>
          <w:rFonts w:hint="eastAsia" w:ascii="仿宋_GB2312" w:hAnsi="仿宋_GB2312" w:eastAsia="仿宋_GB2312" w:cs="仿宋_GB2312"/>
          <w:spacing w:val="4"/>
          <w:sz w:val="32"/>
          <w:szCs w:val="32"/>
        </w:rPr>
        <w:t>加快数字技术与公共服务领域深度融合，</w:t>
      </w:r>
      <w:r>
        <w:rPr>
          <w:rFonts w:ascii="仿宋_GB2312" w:hAnsi="仿宋_GB2312" w:eastAsia="仿宋_GB2312" w:cs="仿宋_GB2312"/>
          <w:spacing w:val="4"/>
          <w:sz w:val="32"/>
          <w:szCs w:val="32"/>
        </w:rPr>
        <w:t>持续提升公共服务品质，构建高品质、多样化的现代公共服务产业体系。</w:t>
      </w:r>
    </w:p>
    <w:p w14:paraId="030691AB">
      <w:pPr>
        <w:widowControl/>
        <w:shd w:val="clear" w:color="auto" w:fill="FFFFFF"/>
        <w:spacing w:line="520" w:lineRule="atLeast"/>
        <w:ind w:firstLine="617"/>
        <w:jc w:val="left"/>
        <w:outlineLvl w:val="1"/>
        <w:rPr>
          <w:rFonts w:ascii="楷体" w:hAnsi="楷体" w:eastAsia="楷体" w:cs="宋体"/>
          <w:b/>
          <w:bCs/>
          <w:color w:val="333333"/>
          <w:kern w:val="0"/>
          <w:sz w:val="32"/>
          <w:szCs w:val="32"/>
        </w:rPr>
      </w:pPr>
      <w:bookmarkStart w:id="125" w:name="_Toc20072"/>
      <w:bookmarkStart w:id="126" w:name="_Toc14153"/>
      <w:bookmarkStart w:id="127" w:name="_Toc12470"/>
      <w:bookmarkStart w:id="128" w:name="_Toc142986326"/>
      <w:bookmarkStart w:id="129" w:name="_Toc16358"/>
      <w:bookmarkStart w:id="130" w:name="_Toc147740950"/>
      <w:r>
        <w:rPr>
          <w:rFonts w:hint="eastAsia" w:ascii="楷体" w:hAnsi="楷体" w:eastAsia="楷体" w:cs="宋体"/>
          <w:b/>
          <w:bCs/>
          <w:color w:val="333333"/>
          <w:kern w:val="0"/>
          <w:sz w:val="32"/>
          <w:szCs w:val="32"/>
        </w:rPr>
        <w:t>（一）打造智慧文旅样板</w:t>
      </w:r>
      <w:bookmarkEnd w:id="125"/>
      <w:bookmarkEnd w:id="126"/>
      <w:bookmarkEnd w:id="127"/>
      <w:bookmarkEnd w:id="128"/>
      <w:bookmarkEnd w:id="129"/>
      <w:bookmarkEnd w:id="130"/>
    </w:p>
    <w:p w14:paraId="70318999">
      <w:pPr>
        <w:pStyle w:val="23"/>
        <w:ind w:firstLine="643" w:firstLineChars="200"/>
        <w:rPr>
          <w:rFonts w:ascii="仿宋_GB2312" w:eastAsia="仿宋_GB2312"/>
          <w:sz w:val="32"/>
          <w:szCs w:val="32"/>
        </w:rPr>
      </w:pPr>
      <w:r>
        <w:rPr>
          <w:rFonts w:hint="eastAsia" w:ascii="仿宋_GB2312" w:eastAsia="仿宋_GB2312"/>
          <w:b/>
          <w:bCs/>
          <w:sz w:val="32"/>
          <w:szCs w:val="32"/>
        </w:rPr>
        <w:t>推动全域智慧旅游建设。</w:t>
      </w:r>
      <w:r>
        <w:rPr>
          <w:rFonts w:hint="eastAsia" w:ascii="仿宋_GB2312" w:eastAsia="仿宋_GB2312"/>
          <w:sz w:val="32"/>
          <w:szCs w:val="32"/>
        </w:rPr>
        <w:t>坚持“红色旅游+研修研学”发展思路。推进旅游数字化建设，搭建兴国县旅游大数据平台，推进旅游资源、涉旅企业和商户上平台，全面加快文旅产业发展，提升文旅智慧服务效能。推动全县文化旅游资源与多样化、个性化市场需求的高效对接，实现“一部手机游兴国”，实现精准的线上线下无缝服务和深度文化旅游体验等实时、互动、个性化服务，提升用户体验。加大数字化营销力度，借助</w:t>
      </w:r>
      <w:r>
        <w:rPr>
          <w:rFonts w:ascii="仿宋_GB2312" w:eastAsia="仿宋_GB2312"/>
          <w:sz w:val="32"/>
          <w:szCs w:val="32"/>
        </w:rPr>
        <w:t>5G、VR、无人机及直播、短视频等新科技和新媒介，构建旅游新媒体营销矩阵，加强大数据旅游舆情监控和数据分析，挖掘旅游热点和游客兴趣点，策划对应旅游产品，形成精准有效的营销方案。加强与旅游OTA企业（在线旅行社）电子商务平台的对接，提高旅游行业营销管理、业务综合管理和运营能力。</w:t>
      </w:r>
      <w:r>
        <w:rPr>
          <w:rFonts w:hint="eastAsia" w:ascii="仿宋_GB2312" w:eastAsia="仿宋_GB2312"/>
          <w:sz w:val="32"/>
          <w:szCs w:val="32"/>
        </w:rPr>
        <w:t>发挥“模范兴国、将军故里、山歌之乡、军工摇篮”等品牌影响力，加强与瑞金、于都等周边地区线上线下交流合作，实现红色标杆景区联动，全面融入赣州市“一核三区”红色旅游产业发展布局。</w:t>
      </w:r>
    </w:p>
    <w:p w14:paraId="13E94F44">
      <w:pPr>
        <w:pStyle w:val="23"/>
        <w:ind w:firstLine="643" w:firstLineChars="200"/>
        <w:rPr>
          <w:rFonts w:ascii="仿宋_GB2312" w:eastAsia="仿宋_GB2312"/>
          <w:sz w:val="32"/>
          <w:szCs w:val="32"/>
        </w:rPr>
      </w:pPr>
      <w:r>
        <w:rPr>
          <w:rFonts w:hint="eastAsia" w:ascii="仿宋_GB2312" w:eastAsia="仿宋_GB2312"/>
          <w:b/>
          <w:bCs/>
          <w:sz w:val="32"/>
          <w:szCs w:val="32"/>
        </w:rPr>
        <w:t>加快智慧景区建设</w:t>
      </w:r>
      <w:r>
        <w:rPr>
          <w:rFonts w:hint="eastAsia" w:ascii="仿宋_GB2312" w:eastAsia="仿宋_GB2312"/>
          <w:sz w:val="32"/>
          <w:szCs w:val="32"/>
        </w:rPr>
        <w:t>。以“苏区干部好作风纪念园”4</w:t>
      </w:r>
      <w:r>
        <w:rPr>
          <w:rFonts w:ascii="仿宋_GB2312" w:eastAsia="仿宋_GB2312"/>
          <w:sz w:val="32"/>
          <w:szCs w:val="32"/>
        </w:rPr>
        <w:t>A</w:t>
      </w:r>
      <w:r>
        <w:rPr>
          <w:rFonts w:hint="eastAsia" w:ascii="仿宋_GB2312" w:eastAsia="仿宋_GB2312"/>
          <w:sz w:val="32"/>
          <w:szCs w:val="32"/>
        </w:rPr>
        <w:t>级景区为龙头，高标准建设红兴谷研学旅游营地、温泉旅游度假村酒店等重点旅游景点，统筹推进兴国中央长征出发准备重点展示园、官田兵工厂、潋江书院、长冈乡调查纪念馆等景区智慧化改造。完善景区导览服务，充分运用语音识别、图像识别、虚拟现实、增强虚拟现实等技术，向游客提供在线预订、信息推送、语音导览、景点解说、厕所指引等智慧化游览服务。</w:t>
      </w:r>
      <w:r>
        <w:rPr>
          <w:rFonts w:ascii="仿宋_GB2312" w:eastAsia="仿宋_GB2312"/>
          <w:sz w:val="32"/>
          <w:szCs w:val="32"/>
        </w:rPr>
        <w:t>推动传统景区创新升级，依托光影技术、3D全息影像等科技技术新增一批夜间产品、冬季产品、文化体验产品，大力推进夜间旅游、全季旅游。</w:t>
      </w:r>
    </w:p>
    <w:p w14:paraId="155D1445">
      <w:pPr>
        <w:pStyle w:val="23"/>
        <w:ind w:firstLine="643" w:firstLineChars="200"/>
        <w:rPr>
          <w:rFonts w:ascii="仿宋_GB2312" w:eastAsia="仿宋_GB2312"/>
          <w:sz w:val="32"/>
          <w:szCs w:val="32"/>
        </w:rPr>
      </w:pPr>
      <w:r>
        <w:rPr>
          <w:rFonts w:hint="eastAsia" w:ascii="仿宋_GB2312" w:eastAsia="仿宋_GB2312"/>
          <w:b/>
          <w:bCs/>
          <w:sz w:val="32"/>
          <w:szCs w:val="32"/>
        </w:rPr>
        <w:t>完善公共数字文化服务体系</w:t>
      </w:r>
      <w:r>
        <w:rPr>
          <w:rFonts w:hint="eastAsia" w:ascii="仿宋_GB2312" w:eastAsia="仿宋_GB2312"/>
          <w:sz w:val="32"/>
          <w:szCs w:val="32"/>
        </w:rPr>
        <w:t>。深入推进文化资源数字化建设，加强兴国县纪念馆、故居、旧址、图书馆、文化馆等公益性文化信息基础设施建设，拓展</w:t>
      </w:r>
      <w:r>
        <w:rPr>
          <w:rFonts w:ascii="仿宋_GB2312" w:eastAsia="仿宋_GB2312"/>
          <w:sz w:val="32"/>
          <w:szCs w:val="32"/>
        </w:rPr>
        <w:t>APP、微信公众号、小程序、门户网站等公共文化服务平台。深度挖掘</w:t>
      </w:r>
      <w:r>
        <w:rPr>
          <w:rFonts w:hint="eastAsia" w:ascii="仿宋_GB2312" w:eastAsia="仿宋_GB2312"/>
          <w:sz w:val="32"/>
          <w:szCs w:val="32"/>
        </w:rPr>
        <w:t>挖掘和整合以将军故里和模范兴国为核心的红色名人、红色故居、红色乡村、红色山歌、红色旧址、红色故事</w:t>
      </w:r>
      <w:r>
        <w:rPr>
          <w:rFonts w:ascii="仿宋_GB2312" w:eastAsia="仿宋_GB2312"/>
          <w:sz w:val="32"/>
          <w:szCs w:val="32"/>
        </w:rPr>
        <w:t>等红色旅游资源和文化内涵价值，</w:t>
      </w:r>
      <w:r>
        <w:rPr>
          <w:rFonts w:hint="eastAsia" w:ascii="仿宋_GB2312" w:eastAsia="仿宋_GB2312"/>
          <w:sz w:val="32"/>
          <w:szCs w:val="32"/>
        </w:rPr>
        <w:t>开发红色培训、康体养生、乡村旅游等旅游新模式新业态，打造“红色记忆追踪”、“乡村寻花觅果”等精品旅游线路。</w:t>
      </w:r>
    </w:p>
    <w:p w14:paraId="73323819">
      <w:pPr>
        <w:pStyle w:val="23"/>
        <w:ind w:firstLine="643" w:firstLineChars="200"/>
        <w:rPr>
          <w:rFonts w:ascii="仿宋_GB2312" w:eastAsia="仿宋_GB2312"/>
          <w:sz w:val="32"/>
          <w:szCs w:val="32"/>
        </w:rPr>
      </w:pPr>
      <w:r>
        <w:rPr>
          <w:rFonts w:hint="eastAsia" w:ascii="仿宋_GB2312" w:eastAsia="仿宋_GB2312"/>
          <w:b/>
          <w:bCs/>
          <w:sz w:val="32"/>
          <w:szCs w:val="32"/>
        </w:rPr>
        <w:t>融合打造文创IP矩阵</w:t>
      </w:r>
      <w:r>
        <w:rPr>
          <w:rFonts w:ascii="仿宋_GB2312" w:eastAsia="仿宋_GB2312"/>
          <w:sz w:val="32"/>
          <w:szCs w:val="32"/>
        </w:rPr>
        <w:t>。支持文化场馆、文娱场所、景区景点、街区园区开发数字化产品和服务，鼓励</w:t>
      </w:r>
      <w:r>
        <w:rPr>
          <w:rFonts w:hint="eastAsia" w:ascii="仿宋_GB2312" w:eastAsia="仿宋_GB2312"/>
          <w:sz w:val="32"/>
          <w:szCs w:val="32"/>
        </w:rPr>
        <w:t>苏区干部好作风纪念园、红兴谷研学旅行营地</w:t>
      </w:r>
      <w:r>
        <w:rPr>
          <w:rFonts w:ascii="仿宋_GB2312" w:eastAsia="仿宋_GB2312"/>
          <w:sz w:val="32"/>
          <w:szCs w:val="32"/>
        </w:rPr>
        <w:t>等旅游景点、乡村旅游点推出在线虚拟游产品。利用动漫、微电影、短视频等讲好兴国故事，打造兴国旅游以红色文化为首的“超级IP矩阵”，形成线上线下互为支撑的旅游商业新模式。全县联动瑞金、于都等周边地区积极融入全国红色文创联盟，结合长征国家文化公园(兴国段)建设，挖掘长征历史、弘扬长征精神，以超级IP矩阵形式让长征精神“走出去、接地气”，覆盖影视、VR体验、玩具、服装等多产业红色文旅衍生产品</w:t>
      </w:r>
      <w:r>
        <w:rPr>
          <w:rFonts w:hint="eastAsia" w:ascii="仿宋_GB2312" w:eastAsia="仿宋_GB2312"/>
          <w:sz w:val="32"/>
          <w:szCs w:val="32"/>
        </w:rPr>
        <w:t>开发，并延展手游、舞台剧、图书绘本、主题乐园等一系列生态产业链，共同推进文创、体育、旅游等跨领域合作，将红色文创打造为兴国的城市</w:t>
      </w:r>
      <w:r>
        <w:rPr>
          <w:rFonts w:ascii="仿宋_GB2312" w:eastAsia="仿宋_GB2312"/>
          <w:sz w:val="32"/>
          <w:szCs w:val="32"/>
        </w:rPr>
        <w:t>IP。</w:t>
      </w:r>
      <w:r>
        <w:rPr>
          <w:rFonts w:hint="eastAsia" w:ascii="仿宋_GB2312" w:eastAsia="仿宋_GB2312"/>
          <w:sz w:val="32"/>
          <w:szCs w:val="32"/>
        </w:rPr>
        <w:t>将军故里，模范兴国、宝石仙境，秀美兴国、堪舆圣地，福地兴国。</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037CC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8522" w:type="dxa"/>
            <w:vAlign w:val="center"/>
          </w:tcPr>
          <w:p w14:paraId="26F6534B">
            <w:pPr>
              <w:keepNext/>
              <w:jc w:val="center"/>
              <w:rPr>
                <w:rFonts w:ascii="楷体_GB2312" w:hAnsi="黑体" w:eastAsia="楷体_GB2312"/>
                <w:b/>
                <w:color w:val="000000"/>
                <w:sz w:val="28"/>
                <w:szCs w:val="28"/>
                <w:highlight w:val="yellow"/>
                <w:lang w:bidi="ar"/>
              </w:rPr>
            </w:pPr>
            <w:r>
              <w:rPr>
                <w:rFonts w:hint="eastAsia" w:ascii="楷体_GB2312" w:hAnsi="黑体" w:eastAsia="楷体_GB2312"/>
                <w:b/>
                <w:color w:val="000000"/>
                <w:sz w:val="28"/>
                <w:szCs w:val="32"/>
                <w:lang w:bidi="ar"/>
              </w:rPr>
              <w:t>专栏</w:t>
            </w:r>
            <w:r>
              <w:rPr>
                <w:rFonts w:hint="eastAsia" w:ascii="楷体_GB2312" w:hAnsi="黑体" w:eastAsia="楷体_GB2312"/>
                <w:b/>
                <w:color w:val="000000"/>
                <w:sz w:val="28"/>
                <w:szCs w:val="32"/>
                <w:lang w:val="en-US" w:eastAsia="zh-CN" w:bidi="ar"/>
              </w:rPr>
              <w:t>9</w:t>
            </w:r>
            <w:r>
              <w:rPr>
                <w:rFonts w:hint="eastAsia" w:ascii="楷体_GB2312" w:hAnsi="黑体" w:eastAsia="楷体_GB2312"/>
                <w:b/>
                <w:color w:val="000000"/>
                <w:sz w:val="28"/>
                <w:szCs w:val="32"/>
                <w:lang w:bidi="ar"/>
              </w:rPr>
              <w:t>：智慧文旅样板特色工程</w:t>
            </w:r>
          </w:p>
        </w:tc>
      </w:tr>
      <w:tr w14:paraId="267DF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0F7C5C7E">
            <w:pPr>
              <w:widowControl/>
              <w:spacing w:line="560" w:lineRule="atLeast"/>
              <w:ind w:firstLine="562" w:firstLineChars="200"/>
              <w:rPr>
                <w:rFonts w:ascii="仿宋_GB2312" w:eastAsia="仿宋_GB2312"/>
                <w:bCs/>
                <w:color w:val="000000"/>
                <w:sz w:val="28"/>
                <w:szCs w:val="28"/>
                <w:lang w:bidi="ar"/>
              </w:rPr>
            </w:pPr>
            <w:r>
              <w:rPr>
                <w:rFonts w:hint="eastAsia" w:ascii="仿宋_GB2312" w:eastAsia="仿宋_GB2312"/>
                <w:b/>
                <w:color w:val="000000"/>
                <w:sz w:val="28"/>
                <w:szCs w:val="28"/>
                <w:lang w:bidi="ar"/>
              </w:rPr>
              <w:t>全域智慧旅游。</w:t>
            </w:r>
            <w:r>
              <w:rPr>
                <w:rFonts w:hint="eastAsia" w:ascii="仿宋_GB2312" w:eastAsia="仿宋_GB2312"/>
                <w:bCs/>
                <w:color w:val="000000"/>
                <w:sz w:val="28"/>
                <w:szCs w:val="28"/>
                <w:lang w:bidi="ar"/>
              </w:rPr>
              <w:t>加快完善兴国县一个大集散中心以及四个副集散中心建设，实现免费</w:t>
            </w:r>
            <w:r>
              <w:rPr>
                <w:rFonts w:ascii="仿宋_GB2312" w:eastAsia="仿宋_GB2312"/>
                <w:bCs/>
                <w:color w:val="000000"/>
                <w:sz w:val="28"/>
                <w:szCs w:val="28"/>
                <w:lang w:bidi="ar"/>
              </w:rPr>
              <w:t>WiFi和5G网络覆盖。建设</w:t>
            </w:r>
            <w:r>
              <w:rPr>
                <w:rFonts w:hint="eastAsia" w:ascii="仿宋_GB2312" w:eastAsia="仿宋_GB2312"/>
                <w:bCs/>
                <w:color w:val="000000"/>
                <w:sz w:val="28"/>
                <w:szCs w:val="28"/>
                <w:lang w:bidi="ar"/>
              </w:rPr>
              <w:t>兴国</w:t>
            </w:r>
            <w:r>
              <w:rPr>
                <w:rFonts w:ascii="仿宋_GB2312" w:eastAsia="仿宋_GB2312"/>
                <w:bCs/>
                <w:color w:val="000000"/>
                <w:sz w:val="28"/>
                <w:szCs w:val="28"/>
                <w:lang w:bidi="ar"/>
              </w:rPr>
              <w:t>县旅游大数据平台，加快规范旅游基础数据库，实现旅游数据分析、旅游统计和涉旅决策功能，建立行业管理、产业监测、信息发布、互动分享、数字营销等全覆盖的智慧应用体系，为</w:t>
            </w:r>
            <w:r>
              <w:rPr>
                <w:rFonts w:hint="eastAsia" w:ascii="仿宋_GB2312" w:eastAsia="仿宋_GB2312"/>
                <w:bCs/>
                <w:color w:val="000000"/>
                <w:sz w:val="28"/>
                <w:szCs w:val="28"/>
                <w:lang w:bidi="ar"/>
              </w:rPr>
              <w:t>兴国</w:t>
            </w:r>
            <w:r>
              <w:rPr>
                <w:rFonts w:ascii="仿宋_GB2312" w:eastAsia="仿宋_GB2312"/>
                <w:bCs/>
                <w:color w:val="000000"/>
                <w:sz w:val="28"/>
                <w:szCs w:val="28"/>
                <w:lang w:bidi="ar"/>
              </w:rPr>
              <w:t>县全域旅游发展提供支撑。打造一站式旅游服务品牌“</w:t>
            </w:r>
            <w:r>
              <w:rPr>
                <w:rFonts w:hint="eastAsia" w:ascii="仿宋_GB2312" w:eastAsia="仿宋_GB2312"/>
                <w:bCs/>
                <w:color w:val="000000"/>
                <w:sz w:val="28"/>
                <w:szCs w:val="28"/>
                <w:lang w:bidi="ar"/>
              </w:rPr>
              <w:t>兴国</w:t>
            </w:r>
            <w:r>
              <w:rPr>
                <w:rFonts w:ascii="仿宋_GB2312" w:eastAsia="仿宋_GB2312"/>
                <w:bCs/>
                <w:color w:val="000000"/>
                <w:sz w:val="28"/>
                <w:szCs w:val="28"/>
                <w:lang w:bidi="ar"/>
              </w:rPr>
              <w:t>游”，</w:t>
            </w:r>
            <w:r>
              <w:rPr>
                <w:rFonts w:hint="eastAsia" w:ascii="仿宋_GB2312" w:eastAsia="仿宋_GB2312"/>
                <w:bCs/>
                <w:color w:val="000000"/>
                <w:sz w:val="28"/>
                <w:szCs w:val="28"/>
                <w:lang w:bidi="ar"/>
              </w:rPr>
              <w:t>依托将军故里、宝石仙境、堪舆圣地等旅游形象，</w:t>
            </w:r>
            <w:r>
              <w:rPr>
                <w:rFonts w:ascii="仿宋_GB2312" w:eastAsia="仿宋_GB2312"/>
                <w:bCs/>
                <w:color w:val="000000"/>
                <w:sz w:val="28"/>
                <w:szCs w:val="28"/>
                <w:lang w:bidi="ar"/>
              </w:rPr>
              <w:t>整合</w:t>
            </w:r>
            <w:r>
              <w:rPr>
                <w:rFonts w:hint="eastAsia" w:ascii="仿宋_GB2312" w:eastAsia="仿宋_GB2312"/>
                <w:bCs/>
                <w:color w:val="000000"/>
                <w:sz w:val="28"/>
                <w:szCs w:val="28"/>
                <w:lang w:bidi="ar"/>
              </w:rPr>
              <w:t>“红色记忆追踪”、“乡村寻花觅果”</w:t>
            </w:r>
            <w:r>
              <w:rPr>
                <w:rFonts w:ascii="仿宋_GB2312" w:eastAsia="仿宋_GB2312"/>
                <w:bCs/>
                <w:color w:val="000000"/>
                <w:sz w:val="28"/>
                <w:szCs w:val="28"/>
                <w:lang w:bidi="ar"/>
              </w:rPr>
              <w:t>等精品</w:t>
            </w:r>
            <w:r>
              <w:rPr>
                <w:rFonts w:hint="eastAsia" w:ascii="仿宋_GB2312" w:eastAsia="仿宋_GB2312"/>
                <w:bCs/>
                <w:color w:val="000000"/>
                <w:sz w:val="28"/>
                <w:szCs w:val="28"/>
                <w:lang w:bidi="ar"/>
              </w:rPr>
              <w:t>旅游线路</w:t>
            </w:r>
            <w:r>
              <w:rPr>
                <w:rFonts w:ascii="仿宋_GB2312" w:eastAsia="仿宋_GB2312"/>
                <w:bCs/>
                <w:color w:val="000000"/>
                <w:sz w:val="28"/>
                <w:szCs w:val="28"/>
                <w:lang w:bidi="ar"/>
              </w:rPr>
              <w:t>、文创商品等吃住行游购娱特色资源，在主要旅游景区实现智能导览、在线服务预订、预售结算、旅游信息咨询、线上线下咨询投诉、实时信息推送等服务</w:t>
            </w:r>
            <w:r>
              <w:rPr>
                <w:rFonts w:hint="eastAsia" w:ascii="仿宋_GB2312" w:eastAsia="仿宋_GB2312"/>
                <w:bCs/>
                <w:color w:val="000000"/>
                <w:sz w:val="28"/>
                <w:szCs w:val="28"/>
                <w:lang w:bidi="ar"/>
              </w:rPr>
              <w:t>。</w:t>
            </w:r>
            <w:r>
              <w:rPr>
                <w:rFonts w:ascii="仿宋_GB2312" w:eastAsia="仿宋_GB2312"/>
                <w:bCs/>
                <w:color w:val="000000"/>
                <w:sz w:val="28"/>
                <w:szCs w:val="28"/>
                <w:lang w:bidi="ar"/>
              </w:rPr>
              <w:t>2024年开展前期工作，完成旅游大数据平台项目立项与设计，确定项目的实施单位。2025年完成大数据平台建设，整合</w:t>
            </w:r>
            <w:r>
              <w:rPr>
                <w:rFonts w:hint="eastAsia" w:ascii="仿宋_GB2312" w:eastAsia="仿宋_GB2312"/>
                <w:bCs/>
                <w:color w:val="000000"/>
                <w:sz w:val="28"/>
                <w:szCs w:val="28"/>
                <w:lang w:bidi="ar"/>
              </w:rPr>
              <w:t>兴国</w:t>
            </w:r>
            <w:r>
              <w:rPr>
                <w:rFonts w:ascii="仿宋_GB2312" w:eastAsia="仿宋_GB2312"/>
                <w:bCs/>
                <w:color w:val="000000"/>
                <w:sz w:val="28"/>
                <w:szCs w:val="28"/>
                <w:lang w:bidi="ar"/>
              </w:rPr>
              <w:t>县旅游资源，加强与知名旅游线上营销平台合作。</w:t>
            </w:r>
          </w:p>
          <w:p w14:paraId="2DBA2129">
            <w:pPr>
              <w:widowControl/>
              <w:spacing w:line="560" w:lineRule="atLeast"/>
              <w:ind w:firstLine="562" w:firstLineChars="200"/>
              <w:rPr>
                <w:rFonts w:ascii="仿宋_GB2312" w:eastAsia="仿宋_GB2312"/>
                <w:bCs/>
                <w:color w:val="000000"/>
                <w:sz w:val="28"/>
                <w:szCs w:val="28"/>
                <w:lang w:bidi="ar"/>
              </w:rPr>
            </w:pPr>
            <w:r>
              <w:rPr>
                <w:rFonts w:hint="eastAsia" w:ascii="仿宋_GB2312" w:eastAsia="仿宋_GB2312"/>
                <w:b/>
                <w:color w:val="000000"/>
                <w:sz w:val="28"/>
                <w:szCs w:val="28"/>
                <w:lang w:bidi="ar"/>
              </w:rPr>
              <w:t>城市</w:t>
            </w:r>
            <w:r>
              <w:rPr>
                <w:rFonts w:ascii="仿宋_GB2312" w:eastAsia="仿宋_GB2312"/>
                <w:b/>
                <w:color w:val="000000"/>
                <w:sz w:val="28"/>
                <w:szCs w:val="28"/>
                <w:lang w:bidi="ar"/>
              </w:rPr>
              <w:t>IP打造</w:t>
            </w:r>
            <w:r>
              <w:rPr>
                <w:rFonts w:ascii="仿宋_GB2312" w:eastAsia="仿宋_GB2312"/>
                <w:bCs/>
                <w:color w:val="000000"/>
                <w:sz w:val="28"/>
                <w:szCs w:val="28"/>
                <w:lang w:bidi="ar"/>
              </w:rPr>
              <w:t>。</w:t>
            </w:r>
            <w:r>
              <w:rPr>
                <w:rFonts w:hint="eastAsia" w:ascii="仿宋_GB2312" w:eastAsia="仿宋_GB2312"/>
                <w:bCs/>
                <w:color w:val="000000"/>
                <w:sz w:val="28"/>
                <w:szCs w:val="28"/>
                <w:lang w:bidi="ar"/>
              </w:rPr>
              <w:t>围绕《长征先锋》、《苏区干部好作风》、《老镜子》等动画故事，开发红色动漫系列产品，打造全国红色动漫集聚区，加快长征超级</w:t>
            </w:r>
            <w:r>
              <w:rPr>
                <w:rFonts w:ascii="仿宋_GB2312" w:eastAsia="仿宋_GB2312"/>
                <w:bCs/>
                <w:color w:val="000000"/>
                <w:sz w:val="28"/>
                <w:szCs w:val="28"/>
                <w:lang w:bidi="ar"/>
              </w:rPr>
              <w:t>IP系列文创产品研发、游戏研发</w:t>
            </w:r>
            <w:r>
              <w:rPr>
                <w:rFonts w:hint="eastAsia" w:ascii="仿宋_GB2312" w:eastAsia="仿宋_GB2312"/>
                <w:bCs/>
                <w:color w:val="000000"/>
                <w:sz w:val="28"/>
                <w:szCs w:val="28"/>
                <w:lang w:bidi="ar"/>
              </w:rPr>
              <w:t>。联合经典红色文化、全国堪舆文化、研修研学文化、田园文化、丹霞运动文化，推进特色伴手礼主题店、主题品牌体验店、融合兴国主题营地、主题酒店、主题田园综合体、主题农业产业园、直播间主题农产品等延伸项目建设，打造兴国特色</w:t>
            </w:r>
            <w:r>
              <w:rPr>
                <w:rFonts w:ascii="仿宋_GB2312" w:eastAsia="仿宋_GB2312"/>
                <w:bCs/>
                <w:color w:val="000000"/>
                <w:sz w:val="28"/>
                <w:szCs w:val="28"/>
                <w:lang w:bidi="ar"/>
              </w:rPr>
              <w:t>IP数字文创产业生态树，支撑兴国文旅IP矩阵创新发展。</w:t>
            </w:r>
            <w:r>
              <w:rPr>
                <w:rFonts w:hint="eastAsia" w:ascii="仿宋_GB2312" w:eastAsia="仿宋_GB2312"/>
                <w:bCs/>
                <w:color w:val="000000"/>
                <w:sz w:val="28"/>
                <w:szCs w:val="28"/>
                <w:lang w:bidi="ar"/>
              </w:rPr>
              <w:t>到</w:t>
            </w:r>
            <w:r>
              <w:rPr>
                <w:rFonts w:ascii="仿宋_GB2312" w:eastAsia="仿宋_GB2312"/>
                <w:bCs/>
                <w:color w:val="000000"/>
                <w:sz w:val="28"/>
                <w:szCs w:val="28"/>
                <w:lang w:bidi="ar"/>
              </w:rPr>
              <w:t>2025年，完成城市IP打造和城市传播矩阵建设，形成一批</w:t>
            </w:r>
            <w:r>
              <w:rPr>
                <w:rFonts w:hint="eastAsia" w:ascii="仿宋_GB2312" w:eastAsia="仿宋_GB2312"/>
                <w:bCs/>
                <w:color w:val="000000"/>
                <w:sz w:val="28"/>
                <w:szCs w:val="28"/>
                <w:lang w:bidi="ar"/>
              </w:rPr>
              <w:t>兴国</w:t>
            </w:r>
            <w:r>
              <w:rPr>
                <w:rFonts w:ascii="仿宋_GB2312" w:eastAsia="仿宋_GB2312"/>
                <w:bCs/>
                <w:color w:val="000000"/>
                <w:sz w:val="28"/>
                <w:szCs w:val="28"/>
                <w:lang w:bidi="ar"/>
              </w:rPr>
              <w:t>特色的区域公用品牌IP形象和“品牌联盟”。</w:t>
            </w:r>
          </w:p>
        </w:tc>
      </w:tr>
    </w:tbl>
    <w:p w14:paraId="5E7C7308">
      <w:pPr>
        <w:pStyle w:val="23"/>
        <w:rPr>
          <w:rFonts w:ascii="仿宋_GB2312" w:hAnsi="仿宋_GB2312" w:eastAsia="仿宋_GB2312" w:cs="仿宋_GB2312"/>
          <w:spacing w:val="4"/>
          <w:sz w:val="32"/>
          <w:szCs w:val="32"/>
        </w:rPr>
      </w:pPr>
    </w:p>
    <w:p w14:paraId="6ABD2EB1">
      <w:pPr>
        <w:widowControl/>
        <w:shd w:val="clear" w:color="auto" w:fill="FFFFFF"/>
        <w:spacing w:line="520" w:lineRule="atLeast"/>
        <w:ind w:firstLine="617"/>
        <w:jc w:val="left"/>
        <w:outlineLvl w:val="1"/>
        <w:rPr>
          <w:rFonts w:ascii="楷体" w:hAnsi="楷体" w:eastAsia="楷体" w:cs="宋体"/>
          <w:b/>
          <w:bCs/>
          <w:color w:val="333333"/>
          <w:kern w:val="0"/>
          <w:sz w:val="32"/>
          <w:szCs w:val="32"/>
        </w:rPr>
      </w:pPr>
      <w:bookmarkStart w:id="131" w:name="_Toc4930"/>
      <w:bookmarkStart w:id="132" w:name="_Toc142986327"/>
      <w:bookmarkStart w:id="133" w:name="_Toc6012"/>
      <w:bookmarkStart w:id="134" w:name="_Toc23639"/>
      <w:bookmarkStart w:id="135" w:name="_Toc147740951"/>
      <w:bookmarkStart w:id="136" w:name="_Toc25638"/>
      <w:r>
        <w:rPr>
          <w:rFonts w:hint="eastAsia" w:ascii="楷体" w:hAnsi="楷体" w:eastAsia="楷体" w:cs="宋体"/>
          <w:b/>
          <w:bCs/>
          <w:color w:val="333333"/>
          <w:kern w:val="0"/>
          <w:sz w:val="32"/>
          <w:szCs w:val="32"/>
        </w:rPr>
        <w:t>（二）深化智慧社区建设</w:t>
      </w:r>
      <w:bookmarkEnd w:id="131"/>
      <w:bookmarkEnd w:id="132"/>
      <w:bookmarkEnd w:id="133"/>
      <w:bookmarkEnd w:id="134"/>
      <w:bookmarkEnd w:id="135"/>
      <w:bookmarkEnd w:id="136"/>
    </w:p>
    <w:p w14:paraId="4B434162">
      <w:pPr>
        <w:pStyle w:val="23"/>
        <w:ind w:firstLine="659" w:firstLineChars="200"/>
        <w:rPr>
          <w:rFonts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打造智慧社区建设试点。</w:t>
      </w:r>
      <w:r>
        <w:rPr>
          <w:rFonts w:hint="eastAsia" w:ascii="仿宋_GB2312" w:hAnsi="仿宋_GB2312" w:eastAsia="仿宋_GB2312" w:cs="仿宋_GB2312"/>
          <w:spacing w:val="4"/>
          <w:sz w:val="32"/>
          <w:szCs w:val="32"/>
        </w:rPr>
        <w:t>贯彻落实《关于深入推进智慧社区建设的意见》，持续提升新一代信息技术与交通、能源、市政等融合发展，加强“新基建”在智慧城市广泛应用，推进赣鄱邻里智慧社区平台建设。完善社区基础网络建设，推进社区宽带、无线网络建设，提升社区光纤覆盖率和传输速度，实现无线按需覆盖，高清数字电视网络接入能力全覆盖，提高数字电视、网络电视、IPTV互动电视入户率。</w:t>
      </w:r>
      <w:r>
        <w:rPr>
          <w:rFonts w:hint="eastAsia" w:ascii="仿宋_GB2312" w:hAnsi="仿宋_GB2312" w:eastAsia="仿宋_GB2312" w:cs="仿宋_GB2312"/>
          <w:color w:val="000000" w:themeColor="text1"/>
          <w:spacing w:val="4"/>
          <w:sz w:val="32"/>
          <w:szCs w:val="32"/>
          <w14:textFill>
            <w14:solidFill>
              <w14:schemeClr w14:val="tx1"/>
            </w14:solidFill>
          </w14:textFill>
        </w:rPr>
        <w:t>高标准推进智慧安防小区设施建设，提升安防措施，</w:t>
      </w:r>
      <w:r>
        <w:rPr>
          <w:rFonts w:hint="eastAsia" w:ascii="仿宋_GB2312" w:hAnsi="仿宋_GB2312" w:eastAsia="仿宋_GB2312" w:cs="仿宋_GB2312"/>
          <w:spacing w:val="4"/>
          <w:sz w:val="32"/>
          <w:szCs w:val="32"/>
        </w:rPr>
        <w:t>推动物联网技术在社区建设各领域的深度应用，扩大传感终端、传感网络等在社区的建设使用，鼓励社区使用充电桩、电梯控制温湿度监测和水、电、气智能终端等物联网服务。推广、普及智能照明设备，进一步提升路灯、景观灯等节能率。提高党建和政务服务能力，通过信息化手段辅助党务管理，打通党员与社区居民的服务交流通道。推动“互联网+政务服务”向社区延伸，推进社区信息服务平台综合性集成，提供社区政务服务综合窗口，为社区居民提供“一站式服务”。</w:t>
      </w:r>
    </w:p>
    <w:p w14:paraId="13944DAC">
      <w:pPr>
        <w:pStyle w:val="23"/>
        <w:rPr>
          <w:highlight w:val="yellow"/>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02297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8522" w:type="dxa"/>
            <w:vAlign w:val="center"/>
          </w:tcPr>
          <w:p w14:paraId="6E030B96">
            <w:pPr>
              <w:keepNext/>
              <w:jc w:val="center"/>
              <w:rPr>
                <w:rFonts w:ascii="楷体_GB2312" w:hAnsi="黑体" w:eastAsia="楷体_GB2312"/>
                <w:b/>
                <w:color w:val="000000"/>
                <w:sz w:val="28"/>
                <w:szCs w:val="28"/>
                <w:highlight w:val="yellow"/>
                <w:lang w:bidi="ar"/>
              </w:rPr>
            </w:pPr>
            <w:r>
              <w:rPr>
                <w:rFonts w:hint="eastAsia" w:ascii="楷体_GB2312" w:hAnsi="黑体" w:eastAsia="楷体_GB2312"/>
                <w:b/>
                <w:color w:val="000000"/>
                <w:sz w:val="28"/>
                <w:szCs w:val="32"/>
                <w:lang w:bidi="ar"/>
              </w:rPr>
              <w:t>专栏</w:t>
            </w:r>
            <w:r>
              <w:rPr>
                <w:rFonts w:hint="eastAsia" w:ascii="楷体_GB2312" w:hAnsi="黑体" w:eastAsia="楷体_GB2312"/>
                <w:b/>
                <w:color w:val="000000"/>
                <w:sz w:val="28"/>
                <w:szCs w:val="32"/>
                <w:lang w:val="en-US" w:eastAsia="zh-CN" w:bidi="ar"/>
              </w:rPr>
              <w:t>10</w:t>
            </w:r>
            <w:r>
              <w:rPr>
                <w:rFonts w:hint="eastAsia" w:ascii="楷体_GB2312" w:hAnsi="黑体" w:eastAsia="楷体_GB2312"/>
                <w:b/>
                <w:color w:val="000000"/>
                <w:sz w:val="28"/>
                <w:szCs w:val="32"/>
                <w:lang w:bidi="ar"/>
              </w:rPr>
              <w:t>：智慧社区重点工程</w:t>
            </w:r>
          </w:p>
        </w:tc>
      </w:tr>
      <w:tr w14:paraId="48A69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6A3ADCA7">
            <w:pPr>
              <w:widowControl/>
              <w:spacing w:line="560" w:lineRule="atLeast"/>
              <w:ind w:firstLine="578" w:firstLineChars="200"/>
              <w:rPr>
                <w:rFonts w:ascii="仿宋_GB2312" w:hAnsi="仿宋_GB2312" w:eastAsia="仿宋_GB2312" w:cs="仿宋_GB2312"/>
                <w:spacing w:val="4"/>
                <w:sz w:val="28"/>
                <w:szCs w:val="28"/>
              </w:rPr>
            </w:pPr>
            <w:r>
              <w:rPr>
                <w:rFonts w:hint="eastAsia" w:ascii="仿宋_GB2312" w:hAnsi="仿宋_GB2312" w:eastAsia="仿宋_GB2312" w:cs="仿宋_GB2312"/>
                <w:b/>
                <w:bCs/>
                <w:spacing w:val="4"/>
                <w:sz w:val="28"/>
                <w:szCs w:val="28"/>
              </w:rPr>
              <w:t>城乡社区综合服务设施智慧化建造。</w:t>
            </w:r>
            <w:r>
              <w:rPr>
                <w:rFonts w:hint="eastAsia" w:ascii="仿宋_GB2312" w:hAnsi="仿宋_GB2312" w:eastAsia="仿宋_GB2312" w:cs="仿宋_GB2312"/>
                <w:spacing w:val="4"/>
                <w:sz w:val="28"/>
                <w:szCs w:val="28"/>
              </w:rPr>
              <w:t>积极部署政务通自助服务一体机，建设智慧社区平台，完善社区政务、便利店、智能快递柜等自助便民服务网格布局。争取上级和县财政部门资金支持，加快推进智慧社区试点建设。到2</w:t>
            </w:r>
            <w:r>
              <w:rPr>
                <w:rFonts w:ascii="仿宋_GB2312" w:hAnsi="仿宋_GB2312" w:eastAsia="仿宋_GB2312" w:cs="仿宋_GB2312"/>
                <w:spacing w:val="4"/>
                <w:sz w:val="28"/>
                <w:szCs w:val="28"/>
              </w:rPr>
              <w:t>025</w:t>
            </w:r>
            <w:r>
              <w:rPr>
                <w:rFonts w:hint="eastAsia" w:ascii="仿宋_GB2312" w:hAnsi="仿宋_GB2312" w:eastAsia="仿宋_GB2312" w:cs="仿宋_GB2312"/>
                <w:spacing w:val="4"/>
                <w:sz w:val="28"/>
                <w:szCs w:val="28"/>
              </w:rPr>
              <w:t>年，选定</w:t>
            </w:r>
            <w:r>
              <w:rPr>
                <w:rFonts w:ascii="仿宋_GB2312" w:hAnsi="仿宋_GB2312" w:eastAsia="仿宋_GB2312" w:cs="仿宋_GB2312"/>
                <w:spacing w:val="4"/>
                <w:sz w:val="28"/>
                <w:szCs w:val="28"/>
              </w:rPr>
              <w:t>2-3个</w:t>
            </w:r>
            <w:r>
              <w:rPr>
                <w:rFonts w:hint="eastAsia" w:ascii="仿宋_GB2312" w:hAnsi="仿宋_GB2312" w:eastAsia="仿宋_GB2312" w:cs="仿宋_GB2312"/>
                <w:spacing w:val="4"/>
                <w:sz w:val="28"/>
                <w:szCs w:val="28"/>
              </w:rPr>
              <w:t>具备一定数字化基础的社区开展试点。到2</w:t>
            </w:r>
            <w:r>
              <w:rPr>
                <w:rFonts w:ascii="仿宋_GB2312" w:hAnsi="仿宋_GB2312" w:eastAsia="仿宋_GB2312" w:cs="仿宋_GB2312"/>
                <w:spacing w:val="4"/>
                <w:sz w:val="28"/>
                <w:szCs w:val="28"/>
              </w:rPr>
              <w:t>027</w:t>
            </w:r>
            <w:r>
              <w:rPr>
                <w:rFonts w:hint="eastAsia" w:ascii="仿宋_GB2312" w:hAnsi="仿宋_GB2312" w:eastAsia="仿宋_GB2312" w:cs="仿宋_GB2312"/>
                <w:spacing w:val="4"/>
                <w:sz w:val="28"/>
                <w:szCs w:val="28"/>
              </w:rPr>
              <w:t>年，通过以点带面的模式，实现城乡社区智慧化全面普及。</w:t>
            </w:r>
          </w:p>
          <w:p w14:paraId="2931A93A">
            <w:pPr>
              <w:widowControl/>
              <w:spacing w:line="560" w:lineRule="atLeast"/>
              <w:ind w:firstLine="578" w:firstLineChars="200"/>
              <w:rPr>
                <w:rFonts w:ascii="仿宋_GB2312" w:eastAsia="仿宋_GB2312"/>
                <w:bCs/>
                <w:color w:val="000000"/>
                <w:sz w:val="28"/>
                <w:szCs w:val="28"/>
                <w:lang w:bidi="ar"/>
              </w:rPr>
            </w:pPr>
            <w:r>
              <w:rPr>
                <w:rFonts w:hint="eastAsia" w:ascii="仿宋_GB2312" w:hAnsi="仿宋_GB2312" w:eastAsia="仿宋_GB2312" w:cs="仿宋_GB2312"/>
                <w:b/>
                <w:bCs/>
                <w:spacing w:val="4"/>
                <w:sz w:val="28"/>
                <w:szCs w:val="28"/>
              </w:rPr>
              <w:t>赣鄱邻里智慧社区平台。</w:t>
            </w:r>
            <w:r>
              <w:rPr>
                <w:rFonts w:hint="eastAsia" w:ascii="仿宋_GB2312" w:hAnsi="仿宋_GB2312" w:eastAsia="仿宋_GB2312" w:cs="仿宋_GB2312"/>
                <w:spacing w:val="4"/>
                <w:sz w:val="28"/>
                <w:szCs w:val="28"/>
              </w:rPr>
              <w:t>围绕社区养老、救助、儿童、慈善、医疗、就业、教育、普法、物业等民政服务内容，积极推进和优化民生服务事项办理。，完善信息发布和平台维护等功能，便于全省各级民政干部和社区干部按权限查看相关数据。到2</w:t>
            </w:r>
            <w:r>
              <w:rPr>
                <w:rFonts w:ascii="仿宋_GB2312" w:hAnsi="仿宋_GB2312" w:eastAsia="仿宋_GB2312" w:cs="仿宋_GB2312"/>
                <w:spacing w:val="4"/>
                <w:sz w:val="28"/>
                <w:szCs w:val="28"/>
              </w:rPr>
              <w:t>025</w:t>
            </w:r>
            <w:r>
              <w:rPr>
                <w:rFonts w:hint="eastAsia" w:ascii="仿宋_GB2312" w:hAnsi="仿宋_GB2312" w:eastAsia="仿宋_GB2312" w:cs="仿宋_GB2312"/>
                <w:spacing w:val="4"/>
                <w:sz w:val="28"/>
                <w:szCs w:val="28"/>
              </w:rPr>
              <w:t>年，从省级平台层面打通民政数据关联，实现数据融合汇聚。到2</w:t>
            </w:r>
            <w:r>
              <w:rPr>
                <w:rFonts w:ascii="仿宋_GB2312" w:hAnsi="仿宋_GB2312" w:eastAsia="仿宋_GB2312" w:cs="仿宋_GB2312"/>
                <w:spacing w:val="4"/>
                <w:sz w:val="28"/>
                <w:szCs w:val="28"/>
              </w:rPr>
              <w:t>027</w:t>
            </w:r>
            <w:r>
              <w:rPr>
                <w:rFonts w:hint="eastAsia" w:ascii="仿宋_GB2312" w:hAnsi="仿宋_GB2312" w:eastAsia="仿宋_GB2312" w:cs="仿宋_GB2312"/>
                <w:spacing w:val="4"/>
                <w:sz w:val="28"/>
                <w:szCs w:val="28"/>
              </w:rPr>
              <w:t>年，自主建成兴国县级智慧社区平台。</w:t>
            </w:r>
          </w:p>
        </w:tc>
      </w:tr>
    </w:tbl>
    <w:p w14:paraId="0FC9C088">
      <w:pPr>
        <w:pStyle w:val="23"/>
        <w:rPr>
          <w:highlight w:val="yellow"/>
        </w:rPr>
      </w:pPr>
    </w:p>
    <w:p w14:paraId="53D7C800">
      <w:pPr>
        <w:widowControl/>
        <w:shd w:val="clear" w:color="auto" w:fill="FFFFFF"/>
        <w:spacing w:line="520" w:lineRule="atLeast"/>
        <w:ind w:firstLine="617"/>
        <w:jc w:val="left"/>
        <w:outlineLvl w:val="1"/>
        <w:rPr>
          <w:rFonts w:ascii="楷体" w:hAnsi="楷体" w:eastAsia="楷体" w:cs="宋体"/>
          <w:b/>
          <w:bCs/>
          <w:color w:val="333333"/>
          <w:kern w:val="0"/>
          <w:sz w:val="32"/>
          <w:szCs w:val="32"/>
        </w:rPr>
      </w:pPr>
      <w:bookmarkStart w:id="137" w:name="_Toc142986328"/>
      <w:bookmarkStart w:id="138" w:name="_Toc28682"/>
      <w:bookmarkStart w:id="139" w:name="_Toc147740952"/>
      <w:bookmarkStart w:id="140" w:name="_Toc29386"/>
      <w:bookmarkStart w:id="141" w:name="_Toc6536"/>
      <w:bookmarkStart w:id="142" w:name="_Toc3691"/>
      <w:r>
        <w:rPr>
          <w:rFonts w:hint="eastAsia" w:ascii="楷体" w:hAnsi="楷体" w:eastAsia="楷体" w:cs="宋体"/>
          <w:b/>
          <w:bCs/>
          <w:color w:val="333333"/>
          <w:kern w:val="0"/>
          <w:sz w:val="32"/>
          <w:szCs w:val="32"/>
        </w:rPr>
        <w:t>（三）推广智慧医养服务</w:t>
      </w:r>
      <w:bookmarkEnd w:id="137"/>
      <w:bookmarkEnd w:id="138"/>
      <w:bookmarkEnd w:id="139"/>
      <w:bookmarkEnd w:id="140"/>
      <w:bookmarkEnd w:id="141"/>
      <w:bookmarkEnd w:id="142"/>
    </w:p>
    <w:p w14:paraId="731848D4">
      <w:pPr>
        <w:pStyle w:val="23"/>
        <w:ind w:firstLine="659" w:firstLineChars="200"/>
        <w:rPr>
          <w:rFonts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完善医疗资源汇聚共享机制。</w:t>
      </w:r>
      <w:r>
        <w:rPr>
          <w:rFonts w:hint="eastAsia" w:ascii="仿宋_GB2312" w:hAnsi="仿宋_GB2312" w:eastAsia="仿宋_GB2312" w:cs="仿宋_GB2312"/>
          <w:spacing w:val="4"/>
          <w:sz w:val="32"/>
          <w:szCs w:val="32"/>
        </w:rPr>
        <w:t>持续推进居民电子健康档案数据库建设，依托医谷信息平台实现病人诊疗信息和行政管理信息的收集、存储、处理、提取、数据交换以及移动支付应用。建立县级公立医院线上就诊平台，开发患者自助建档、网上预约挂号、线上缴费、查询检验报告、就诊记录查询、电子发票查询、医价查询等功能，为居民提供互联网快捷就诊和个人健康信息查询服务。整合全县公立医疗机构和乡镇卫生院医疗资源，组建县域医疗共同体，推动实现医共体之间医疗服务信息共享，利用学科能力进行优势互补，提升医疗机构协同工作效率。加强全民健康信息平台建设，打造远程医疗与健康服务平台，实现远程会诊、远程影像诊断、在线查房、远程监护、远程医学教育等医学活动。</w:t>
      </w:r>
    </w:p>
    <w:p w14:paraId="3B40E49D">
      <w:pPr>
        <w:pStyle w:val="23"/>
        <w:ind w:firstLine="659" w:firstLineChars="200"/>
        <w:rPr>
          <w:rFonts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探索智慧健康养老产业发展新模式。</w:t>
      </w:r>
      <w:r>
        <w:rPr>
          <w:rFonts w:hint="eastAsia" w:ascii="仿宋_GB2312" w:hAnsi="仿宋_GB2312" w:eastAsia="仿宋_GB2312" w:cs="仿宋_GB2312"/>
          <w:spacing w:val="4"/>
          <w:sz w:val="32"/>
          <w:szCs w:val="32"/>
        </w:rPr>
        <w:t>积极推动智慧养老服务信息平台建设，推进开展“互联网</w:t>
      </w:r>
      <w:r>
        <w:rPr>
          <w:rFonts w:ascii="仿宋_GB2312" w:hAnsi="仿宋_GB2312" w:eastAsia="仿宋_GB2312" w:cs="仿宋_GB2312"/>
          <w:spacing w:val="4"/>
          <w:sz w:val="32"/>
          <w:szCs w:val="32"/>
        </w:rPr>
        <w:t>+养老”试点工作，为老人提供便捷高效的居家养老服务。支持养老服务信息平台与医院系统无缝对接，实现老人健康数据和体检报告的实时数据交换与互联互通，推广远程会诊、在线疾病风险评估等功能。增加居家养老延伸服务，定时升级完善智慧养老信息平台，开发老人管理、呼叫中心、功能管理、居家康养等新服务，建成医养一体化服务体系。</w:t>
      </w:r>
      <w:r>
        <w:rPr>
          <w:rFonts w:hint="eastAsia" w:ascii="仿宋_GB2312" w:hAnsi="仿宋_GB2312" w:eastAsia="仿宋_GB2312" w:cs="仿宋_GB2312"/>
          <w:spacing w:val="4"/>
          <w:sz w:val="32"/>
          <w:szCs w:val="32"/>
        </w:rPr>
        <w:t>打造社区居家养老服务中心，配备健康一体机，通过辖区签约医生坐诊的方式，为老年人提供健康体检，实施数字健康档案化。鼓励民间资本参与养老综合服务及资源协作平台建设，提供以“智慧平台”、“居家服务”、“医养结合”为特色的全天候不间断上门服务、健康管理等养老服务。</w:t>
      </w:r>
    </w:p>
    <w:p w14:paraId="1947AEAA">
      <w:pPr>
        <w:pStyle w:val="23"/>
        <w:ind w:firstLine="659" w:firstLineChars="200"/>
        <w:rPr>
          <w:rFonts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推动智慧健康养老产品应用。</w:t>
      </w:r>
      <w:r>
        <w:rPr>
          <w:rFonts w:hint="eastAsia" w:ascii="仿宋_GB2312" w:hAnsi="仿宋_GB2312" w:eastAsia="仿宋_GB2312" w:cs="仿宋_GB2312"/>
          <w:spacing w:val="4"/>
          <w:sz w:val="32"/>
          <w:szCs w:val="32"/>
        </w:rPr>
        <w:t>开展特殊困难老年人家庭的居家适老化改造，为符合条件的老年人家庭安装智能网关设备和一键报警装置，根据老年人需求配备烟感、燃气、浸没等监测仪器，推广宣传生命体征检测仪、感应夜灯、智能手环、紧急呼叫按钮、睡眠检测设备等智慧化、个性化、多样化、便利化的系列智慧健康养老产品，进一步提升老年人晚年生活质量。</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26971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8522" w:type="dxa"/>
            <w:vAlign w:val="center"/>
          </w:tcPr>
          <w:p w14:paraId="5C73F8A9">
            <w:pPr>
              <w:keepNext/>
              <w:jc w:val="center"/>
              <w:rPr>
                <w:rFonts w:ascii="楷体_GB2312" w:hAnsi="黑体" w:eastAsia="楷体_GB2312"/>
                <w:b/>
                <w:color w:val="000000"/>
                <w:sz w:val="28"/>
                <w:szCs w:val="28"/>
                <w:highlight w:val="yellow"/>
                <w:lang w:bidi="ar"/>
              </w:rPr>
            </w:pPr>
            <w:r>
              <w:rPr>
                <w:rFonts w:hint="eastAsia" w:ascii="楷体_GB2312" w:hAnsi="黑体" w:eastAsia="楷体_GB2312"/>
                <w:b/>
                <w:color w:val="000000"/>
                <w:sz w:val="28"/>
                <w:szCs w:val="28"/>
                <w:lang w:bidi="ar"/>
              </w:rPr>
              <w:t>专栏</w:t>
            </w:r>
            <w:r>
              <w:rPr>
                <w:rFonts w:ascii="楷体_GB2312" w:hAnsi="黑体" w:eastAsia="楷体_GB2312"/>
                <w:b/>
                <w:color w:val="000000"/>
                <w:sz w:val="28"/>
                <w:szCs w:val="28"/>
                <w:lang w:bidi="ar"/>
              </w:rPr>
              <w:t>1</w:t>
            </w:r>
            <w:r>
              <w:rPr>
                <w:rFonts w:hint="eastAsia" w:ascii="楷体_GB2312" w:hAnsi="黑体" w:eastAsia="楷体_GB2312"/>
                <w:b/>
                <w:color w:val="000000"/>
                <w:sz w:val="28"/>
                <w:szCs w:val="28"/>
                <w:lang w:val="en-US" w:eastAsia="zh-CN" w:bidi="ar"/>
              </w:rPr>
              <w:t>1</w:t>
            </w:r>
            <w:r>
              <w:rPr>
                <w:rFonts w:hint="eastAsia" w:ascii="楷体_GB2312" w:hAnsi="黑体" w:eastAsia="楷体_GB2312"/>
                <w:b/>
                <w:color w:val="000000"/>
                <w:sz w:val="28"/>
                <w:szCs w:val="28"/>
                <w:lang w:bidi="ar"/>
              </w:rPr>
              <w:t>：智慧医养服务重点工程</w:t>
            </w:r>
          </w:p>
        </w:tc>
      </w:tr>
      <w:tr w14:paraId="37F8D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65BD4182">
            <w:pPr>
              <w:widowControl/>
              <w:spacing w:line="560" w:lineRule="atLeast"/>
              <w:ind w:firstLine="578" w:firstLineChars="200"/>
              <w:rPr>
                <w:rFonts w:ascii="仿宋_GB2312" w:hAnsi="仿宋_GB2312" w:eastAsia="仿宋_GB2312" w:cs="仿宋_GB2312"/>
                <w:spacing w:val="4"/>
                <w:sz w:val="28"/>
                <w:szCs w:val="28"/>
              </w:rPr>
            </w:pPr>
            <w:r>
              <w:rPr>
                <w:rFonts w:hint="eastAsia" w:ascii="仿宋_GB2312" w:hAnsi="仿宋_GB2312" w:eastAsia="仿宋_GB2312" w:cs="仿宋_GB2312"/>
                <w:b/>
                <w:bCs/>
                <w:spacing w:val="4"/>
                <w:sz w:val="28"/>
                <w:szCs w:val="28"/>
              </w:rPr>
              <w:t>“智慧医院”建设。</w:t>
            </w:r>
            <w:r>
              <w:rPr>
                <w:rFonts w:hint="eastAsia" w:ascii="仿宋_GB2312" w:hAnsi="仿宋_GB2312" w:eastAsia="仿宋_GB2312" w:cs="仿宋_GB2312"/>
                <w:spacing w:val="4"/>
                <w:sz w:val="28"/>
                <w:szCs w:val="28"/>
              </w:rPr>
              <w:t>以互联网技术为支撑，开通患者智能服务公众号，推行多卡合一与电子健康卡，自助机、公众号实现线上问诊、充值、预约、退费等功能。提升急危重症医疗救治质量和效率，建立医学影像远程会诊中心。到2</w:t>
            </w:r>
            <w:r>
              <w:rPr>
                <w:rFonts w:ascii="仿宋_GB2312" w:hAnsi="仿宋_GB2312" w:eastAsia="仿宋_GB2312" w:cs="仿宋_GB2312"/>
                <w:spacing w:val="4"/>
                <w:sz w:val="28"/>
                <w:szCs w:val="28"/>
              </w:rPr>
              <w:t>025</w:t>
            </w:r>
            <w:r>
              <w:rPr>
                <w:rFonts w:hint="eastAsia" w:ascii="仿宋_GB2312" w:hAnsi="仿宋_GB2312" w:eastAsia="仿宋_GB2312" w:cs="仿宋_GB2312"/>
                <w:spacing w:val="4"/>
                <w:sz w:val="28"/>
                <w:szCs w:val="28"/>
              </w:rPr>
              <w:t>年前，建立全县稳定的智慧医疗系统、电子健康档案及医疗信息数据库，全县互联网医院、数字医院建设覆盖率达8</w:t>
            </w:r>
            <w:r>
              <w:rPr>
                <w:rFonts w:ascii="仿宋_GB2312" w:hAnsi="仿宋_GB2312" w:eastAsia="仿宋_GB2312" w:cs="仿宋_GB2312"/>
                <w:spacing w:val="4"/>
                <w:sz w:val="28"/>
                <w:szCs w:val="28"/>
              </w:rPr>
              <w:t>0%</w:t>
            </w:r>
            <w:r>
              <w:rPr>
                <w:rFonts w:hint="eastAsia" w:ascii="仿宋_GB2312" w:hAnsi="仿宋_GB2312" w:eastAsia="仿宋_GB2312" w:cs="仿宋_GB2312"/>
                <w:spacing w:val="4"/>
                <w:sz w:val="28"/>
                <w:szCs w:val="28"/>
              </w:rPr>
              <w:t>以上。到2</w:t>
            </w:r>
            <w:r>
              <w:rPr>
                <w:rFonts w:ascii="仿宋_GB2312" w:hAnsi="仿宋_GB2312" w:eastAsia="仿宋_GB2312" w:cs="仿宋_GB2312"/>
                <w:spacing w:val="4"/>
                <w:sz w:val="28"/>
                <w:szCs w:val="28"/>
              </w:rPr>
              <w:t>027</w:t>
            </w:r>
            <w:r>
              <w:rPr>
                <w:rFonts w:hint="eastAsia" w:ascii="仿宋_GB2312" w:hAnsi="仿宋_GB2312" w:eastAsia="仿宋_GB2312" w:cs="仿宋_GB2312"/>
                <w:spacing w:val="4"/>
                <w:sz w:val="28"/>
                <w:szCs w:val="28"/>
              </w:rPr>
              <w:t>年，贯通县、镇</w:t>
            </w:r>
            <w:r>
              <w:rPr>
                <w:rFonts w:ascii="仿宋_GB2312" w:hAnsi="仿宋_GB2312" w:eastAsia="仿宋_GB2312" w:cs="仿宋_GB2312"/>
                <w:spacing w:val="4"/>
                <w:sz w:val="28"/>
                <w:szCs w:val="28"/>
              </w:rPr>
              <w:t>(街道)、村(社区)三级医疗卫生机构</w:t>
            </w:r>
            <w:r>
              <w:rPr>
                <w:rFonts w:hint="eastAsia" w:ascii="仿宋_GB2312" w:hAnsi="仿宋_GB2312" w:eastAsia="仿宋_GB2312" w:cs="仿宋_GB2312"/>
                <w:spacing w:val="4"/>
                <w:sz w:val="28"/>
                <w:szCs w:val="28"/>
              </w:rPr>
              <w:t>的</w:t>
            </w:r>
            <w:r>
              <w:rPr>
                <w:rFonts w:ascii="仿宋_GB2312" w:hAnsi="仿宋_GB2312" w:eastAsia="仿宋_GB2312" w:cs="仿宋_GB2312"/>
                <w:spacing w:val="4"/>
                <w:sz w:val="28"/>
                <w:szCs w:val="28"/>
              </w:rPr>
              <w:t>远程医疗服务体系</w:t>
            </w:r>
            <w:r>
              <w:rPr>
                <w:rFonts w:hint="eastAsia" w:ascii="仿宋_GB2312" w:hAnsi="仿宋_GB2312" w:eastAsia="仿宋_GB2312" w:cs="仿宋_GB2312"/>
                <w:spacing w:val="4"/>
                <w:sz w:val="28"/>
                <w:szCs w:val="28"/>
              </w:rPr>
              <w:t>与医保信息化支撑体系基本建成。</w:t>
            </w:r>
          </w:p>
          <w:p w14:paraId="168C4D61">
            <w:pPr>
              <w:widowControl/>
              <w:spacing w:line="560" w:lineRule="atLeast"/>
              <w:ind w:firstLine="578" w:firstLineChars="200"/>
              <w:rPr>
                <w:rFonts w:ascii="仿宋_GB2312" w:eastAsia="仿宋_GB2312"/>
                <w:bCs/>
                <w:color w:val="000000"/>
                <w:sz w:val="28"/>
                <w:szCs w:val="28"/>
                <w:lang w:bidi="ar"/>
              </w:rPr>
            </w:pPr>
            <w:r>
              <w:rPr>
                <w:rFonts w:hint="eastAsia" w:ascii="仿宋_GB2312" w:hAnsi="仿宋_GB2312" w:eastAsia="仿宋_GB2312" w:cs="仿宋_GB2312"/>
                <w:b/>
                <w:bCs/>
                <w:spacing w:val="4"/>
                <w:sz w:val="28"/>
                <w:szCs w:val="28"/>
              </w:rPr>
              <w:t>智慧健康养老应用试点示范。</w:t>
            </w:r>
            <w:r>
              <w:rPr>
                <w:rFonts w:hint="eastAsia" w:ascii="仿宋_GB2312" w:hAnsi="仿宋_GB2312" w:eastAsia="仿宋_GB2312" w:cs="仿宋_GB2312"/>
                <w:spacing w:val="4"/>
                <w:sz w:val="28"/>
                <w:szCs w:val="28"/>
              </w:rPr>
              <w:t>以平川社区颐养中心为试点，抓好“互联网+养老”智慧健康养老应用示范试点的建设，为老人提供便捷高效的居家养老服务。通过“线上信息云+一键呼叫+线下上门服务”模式，实时掌握居家老人健康数据、活动轨迹、定位安全等信息，让更多老人享受“离家不离小区”的便捷服务。到2</w:t>
            </w:r>
            <w:r>
              <w:rPr>
                <w:rFonts w:ascii="仿宋_GB2312" w:hAnsi="仿宋_GB2312" w:eastAsia="仿宋_GB2312" w:cs="仿宋_GB2312"/>
                <w:spacing w:val="4"/>
                <w:sz w:val="28"/>
                <w:szCs w:val="28"/>
              </w:rPr>
              <w:t>025</w:t>
            </w:r>
            <w:r>
              <w:rPr>
                <w:rFonts w:hint="eastAsia" w:ascii="仿宋_GB2312" w:hAnsi="仿宋_GB2312" w:eastAsia="仿宋_GB2312" w:cs="仿宋_GB2312"/>
                <w:spacing w:val="4"/>
                <w:sz w:val="28"/>
                <w:szCs w:val="28"/>
              </w:rPr>
              <w:t>年，智慧养老示范机构数量达</w:t>
            </w:r>
            <w:r>
              <w:rPr>
                <w:rFonts w:ascii="仿宋_GB2312" w:hAnsi="仿宋_GB2312" w:eastAsia="仿宋_GB2312" w:cs="仿宋_GB2312"/>
                <w:spacing w:val="4"/>
                <w:sz w:val="28"/>
                <w:szCs w:val="28"/>
              </w:rPr>
              <w:t>45</w:t>
            </w:r>
            <w:r>
              <w:rPr>
                <w:rFonts w:hint="eastAsia" w:ascii="仿宋_GB2312" w:hAnsi="仿宋_GB2312" w:eastAsia="仿宋_GB2312" w:cs="仿宋_GB2312"/>
                <w:spacing w:val="4"/>
                <w:sz w:val="28"/>
                <w:szCs w:val="28"/>
              </w:rPr>
              <w:t>家，新增1</w:t>
            </w:r>
            <w:r>
              <w:rPr>
                <w:rFonts w:ascii="仿宋_GB2312" w:hAnsi="仿宋_GB2312" w:eastAsia="仿宋_GB2312" w:cs="仿宋_GB2312"/>
                <w:spacing w:val="4"/>
                <w:sz w:val="28"/>
                <w:szCs w:val="28"/>
              </w:rPr>
              <w:t>0</w:t>
            </w:r>
            <w:r>
              <w:rPr>
                <w:rFonts w:hint="eastAsia" w:ascii="仿宋_GB2312" w:hAnsi="仿宋_GB2312" w:eastAsia="仿宋_GB2312" w:cs="仿宋_GB2312"/>
                <w:spacing w:val="4"/>
                <w:sz w:val="28"/>
                <w:szCs w:val="28"/>
              </w:rPr>
              <w:t>个以上智慧健康养老试点示范中心建设，实现互联网、物联网、云计算、大数据与养老服务的深度融合。到2</w:t>
            </w:r>
            <w:r>
              <w:rPr>
                <w:rFonts w:ascii="仿宋_GB2312" w:hAnsi="仿宋_GB2312" w:eastAsia="仿宋_GB2312" w:cs="仿宋_GB2312"/>
                <w:spacing w:val="4"/>
                <w:sz w:val="28"/>
                <w:szCs w:val="28"/>
              </w:rPr>
              <w:t>027</w:t>
            </w:r>
            <w:r>
              <w:rPr>
                <w:rFonts w:hint="eastAsia" w:ascii="仿宋_GB2312" w:hAnsi="仿宋_GB2312" w:eastAsia="仿宋_GB2312" w:cs="仿宋_GB2312"/>
                <w:spacing w:val="4"/>
                <w:sz w:val="28"/>
                <w:szCs w:val="28"/>
              </w:rPr>
              <w:t>年，推动传统养老社区和机构的信息化、智能化、智慧化升级，尝试拓展“虚拟养老院”、“时间银行”等新模式试点应用，智慧养老示范机构数量突破50家。</w:t>
            </w:r>
          </w:p>
        </w:tc>
      </w:tr>
    </w:tbl>
    <w:p w14:paraId="34DD1051">
      <w:pPr>
        <w:pStyle w:val="23"/>
        <w:rPr>
          <w:rFonts w:ascii="仿宋_GB2312" w:eastAsia="仿宋_GB2312"/>
          <w:sz w:val="24"/>
          <w:szCs w:val="28"/>
          <w:highlight w:val="yellow"/>
        </w:rPr>
      </w:pPr>
    </w:p>
    <w:p w14:paraId="307FF1AB">
      <w:pPr>
        <w:widowControl/>
        <w:shd w:val="clear" w:color="auto" w:fill="FFFFFF"/>
        <w:spacing w:line="520" w:lineRule="atLeast"/>
        <w:ind w:firstLine="617"/>
        <w:jc w:val="left"/>
        <w:outlineLvl w:val="1"/>
        <w:rPr>
          <w:rFonts w:ascii="楷体" w:hAnsi="楷体" w:eastAsia="楷体" w:cs="宋体"/>
          <w:b/>
          <w:bCs/>
          <w:color w:val="333333"/>
          <w:kern w:val="0"/>
          <w:sz w:val="32"/>
          <w:szCs w:val="32"/>
        </w:rPr>
      </w:pPr>
      <w:bookmarkStart w:id="143" w:name="_Toc147740953"/>
      <w:bookmarkStart w:id="144" w:name="_Toc6315"/>
      <w:bookmarkStart w:id="145" w:name="_Toc139"/>
      <w:bookmarkStart w:id="146" w:name="_Toc142986329"/>
      <w:bookmarkStart w:id="147" w:name="_Toc20371"/>
      <w:bookmarkStart w:id="148" w:name="_Toc1562"/>
      <w:r>
        <w:rPr>
          <w:rFonts w:hint="eastAsia" w:ascii="楷体" w:hAnsi="楷体" w:eastAsia="楷体" w:cs="宋体"/>
          <w:b/>
          <w:bCs/>
          <w:color w:val="333333"/>
          <w:kern w:val="0"/>
          <w:sz w:val="32"/>
          <w:szCs w:val="32"/>
        </w:rPr>
        <w:t>（四）提升智慧教育水平</w:t>
      </w:r>
      <w:bookmarkEnd w:id="143"/>
      <w:bookmarkEnd w:id="144"/>
      <w:bookmarkEnd w:id="145"/>
      <w:bookmarkEnd w:id="146"/>
      <w:bookmarkEnd w:id="147"/>
      <w:bookmarkEnd w:id="148"/>
    </w:p>
    <w:p w14:paraId="60793F70">
      <w:pPr>
        <w:pStyle w:val="23"/>
        <w:ind w:firstLine="659" w:firstLineChars="200"/>
        <w:rPr>
          <w:rFonts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完善信息化基础设施。</w:t>
      </w:r>
      <w:r>
        <w:rPr>
          <w:rFonts w:hint="eastAsia" w:ascii="仿宋_GB2312" w:hAnsi="仿宋_GB2312" w:eastAsia="仿宋_GB2312" w:cs="仿宋_GB2312"/>
          <w:spacing w:val="4"/>
          <w:sz w:val="32"/>
          <w:szCs w:val="32"/>
        </w:rPr>
        <w:t>加大投入，突出应用，加强“互联网+”教育基础应用环境建设。加强网络接入增速、无线网络覆盖、云计算保障能力、云桌面应用等工作。提升中小学普通教室信息化配置水平，加强多媒体终端、移动终端配备。加强中小学“专递课堂”“名师课堂”“名校网络课堂”建设，重点保障农村学校开齐开足规定课程。发展以学习者为中心的智能化学习环境，加快建设智慧教室、创客实验教室、智能实验室等智能学习空间。推进“智慧(数字)校园”建设，乡镇中心小学以上学校100%达到省中小学智慧(数字)校园评估要求。</w:t>
      </w:r>
    </w:p>
    <w:p w14:paraId="7A521A87">
      <w:pPr>
        <w:pStyle w:val="23"/>
        <w:ind w:firstLine="659" w:firstLineChars="200"/>
        <w:rPr>
          <w:rFonts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推进教育智能化应用。</w:t>
      </w:r>
      <w:r>
        <w:rPr>
          <w:rFonts w:hint="eastAsia" w:ascii="仿宋_GB2312" w:hAnsi="仿宋_GB2312" w:eastAsia="仿宋_GB2312" w:cs="仿宋_GB2312"/>
          <w:spacing w:val="4"/>
          <w:sz w:val="32"/>
          <w:szCs w:val="32"/>
        </w:rPr>
        <w:t>推进信息技术与教育教学深度融合，积极利用虚拟现实技术、数字仿真实验、在线教学监测等技术开展人才培养模式和教学方法改革创新。深化信息技术在众创空间、跨学科学习、创客教育等创新教育模式中的应用。推进“专递课堂”、“教师网络空间”建设，提高“教学通2.0”在课堂中的使用率。</w:t>
      </w:r>
    </w:p>
    <w:p w14:paraId="6DB71765">
      <w:pPr>
        <w:pStyle w:val="23"/>
        <w:ind w:firstLine="659" w:firstLineChars="200"/>
        <w:rPr>
          <w:rFonts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运用信息技术提高教育管理水平。</w:t>
      </w:r>
      <w:r>
        <w:rPr>
          <w:rFonts w:hint="eastAsia" w:ascii="仿宋_GB2312" w:hAnsi="仿宋_GB2312" w:eastAsia="仿宋_GB2312" w:cs="仿宋_GB2312"/>
          <w:spacing w:val="4"/>
          <w:sz w:val="32"/>
          <w:szCs w:val="32"/>
        </w:rPr>
        <w:t>建设全县教育大数据中心，持续推进教育大数据实验室建设，完善各学段学生教师、学校三大基础数据库。完善数据管理办法，促进数据整合共享和服务。加快推进学生综合素质评价系统、生涯规划系统、走班排课系统、网络阅卷系统等应用。</w:t>
      </w:r>
    </w:p>
    <w:p w14:paraId="2E128B99">
      <w:pPr>
        <w:pStyle w:val="23"/>
        <w:ind w:firstLine="659" w:firstLineChars="200"/>
        <w:rPr>
          <w:rFonts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提升师生信息化素养。</w:t>
      </w:r>
      <w:r>
        <w:rPr>
          <w:rFonts w:hint="eastAsia" w:ascii="仿宋_GB2312" w:hAnsi="仿宋_GB2312" w:eastAsia="仿宋_GB2312" w:cs="仿宋_GB2312"/>
          <w:spacing w:val="4"/>
          <w:sz w:val="32"/>
          <w:szCs w:val="32"/>
        </w:rPr>
        <w:t>持续实施中小学教师信息技术应用能力提升工程2.0,强化校长信息化领导力的培训培养。探索“互联网+教研”培训模式，针对性地开展以深度融合信息技术为特点的课例和教学法的培训，培养教师利用信息技术开展学情分析、个性化教学的能力。。推进中小学信息科技课程建设，推动编程和人工智能等纳入教学内容。</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68F90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8522" w:type="dxa"/>
            <w:vAlign w:val="center"/>
          </w:tcPr>
          <w:p w14:paraId="0F4EF09A">
            <w:pPr>
              <w:keepNext/>
              <w:jc w:val="center"/>
              <w:rPr>
                <w:rFonts w:ascii="楷体_GB2312" w:hAnsi="黑体" w:eastAsia="楷体_GB2312"/>
                <w:b/>
                <w:color w:val="000000"/>
                <w:sz w:val="28"/>
                <w:szCs w:val="28"/>
                <w:highlight w:val="yellow"/>
                <w:lang w:bidi="ar"/>
              </w:rPr>
            </w:pPr>
            <w:r>
              <w:rPr>
                <w:rFonts w:hint="eastAsia" w:ascii="楷体_GB2312" w:hAnsi="黑体" w:eastAsia="楷体_GB2312"/>
                <w:b/>
                <w:color w:val="000000"/>
                <w:sz w:val="28"/>
                <w:szCs w:val="32"/>
                <w:lang w:bidi="ar"/>
              </w:rPr>
              <w:t>专栏</w:t>
            </w:r>
            <w:r>
              <w:rPr>
                <w:rFonts w:ascii="楷体_GB2312" w:hAnsi="黑体" w:eastAsia="楷体_GB2312"/>
                <w:b/>
                <w:color w:val="000000"/>
                <w:sz w:val="28"/>
                <w:szCs w:val="32"/>
                <w:lang w:bidi="ar"/>
              </w:rPr>
              <w:t>1</w:t>
            </w:r>
            <w:r>
              <w:rPr>
                <w:rFonts w:hint="eastAsia" w:ascii="楷体_GB2312" w:hAnsi="黑体" w:eastAsia="楷体_GB2312"/>
                <w:b/>
                <w:color w:val="000000"/>
                <w:sz w:val="28"/>
                <w:szCs w:val="32"/>
                <w:lang w:val="en-US" w:eastAsia="zh-CN" w:bidi="ar"/>
              </w:rPr>
              <w:t>2</w:t>
            </w:r>
            <w:r>
              <w:rPr>
                <w:rFonts w:hint="eastAsia" w:ascii="楷体_GB2312" w:hAnsi="黑体" w:eastAsia="楷体_GB2312"/>
                <w:b/>
                <w:color w:val="000000"/>
                <w:sz w:val="28"/>
                <w:szCs w:val="32"/>
                <w:lang w:bidi="ar"/>
              </w:rPr>
              <w:t>：智慧教育重点工程</w:t>
            </w:r>
          </w:p>
        </w:tc>
      </w:tr>
      <w:tr w14:paraId="551E3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53E2E8B5">
            <w:pPr>
              <w:widowControl/>
              <w:spacing w:line="560" w:lineRule="atLeast"/>
              <w:ind w:firstLine="562" w:firstLineChars="200"/>
              <w:rPr>
                <w:rFonts w:ascii="仿宋_GB2312" w:eastAsia="仿宋_GB2312"/>
                <w:bCs/>
                <w:color w:val="000000"/>
                <w:sz w:val="28"/>
                <w:szCs w:val="28"/>
                <w:lang w:bidi="ar"/>
              </w:rPr>
            </w:pPr>
            <w:r>
              <w:rPr>
                <w:rFonts w:hint="eastAsia" w:ascii="仿宋_GB2312" w:eastAsia="仿宋_GB2312"/>
                <w:b/>
                <w:color w:val="000000"/>
                <w:sz w:val="28"/>
                <w:szCs w:val="28"/>
                <w:lang w:bidi="ar"/>
              </w:rPr>
              <w:t>兴国智慧教育共享平台。</w:t>
            </w:r>
            <w:r>
              <w:rPr>
                <w:rFonts w:hint="eastAsia" w:ascii="仿宋_GB2312" w:eastAsia="仿宋_GB2312"/>
                <w:bCs/>
                <w:color w:val="000000"/>
                <w:sz w:val="28"/>
                <w:szCs w:val="28"/>
                <w:lang w:bidi="ar"/>
              </w:rPr>
              <w:t>基于国家标准文件《智慧校园总体框架》，制定主要服务于教育行业客户的县级智慧教育共享平台，搭载教育相关解决方案与应用产品，构建能力开放、数据共享、应用聚合、生态互促的数字化聚合平台。到2</w:t>
            </w:r>
            <w:r>
              <w:rPr>
                <w:rFonts w:ascii="仿宋_GB2312" w:eastAsia="仿宋_GB2312"/>
                <w:bCs/>
                <w:color w:val="000000"/>
                <w:sz w:val="28"/>
                <w:szCs w:val="28"/>
                <w:lang w:bidi="ar"/>
              </w:rPr>
              <w:t>025</w:t>
            </w:r>
            <w:r>
              <w:rPr>
                <w:rFonts w:hint="eastAsia" w:ascii="仿宋_GB2312" w:eastAsia="仿宋_GB2312"/>
                <w:bCs/>
                <w:color w:val="000000"/>
                <w:sz w:val="28"/>
                <w:szCs w:val="28"/>
                <w:lang w:bidi="ar"/>
              </w:rPr>
              <w:t>年，实现教育中台门户、统一用户管理、统计分析等功能全覆盖。到2</w:t>
            </w:r>
            <w:r>
              <w:rPr>
                <w:rFonts w:ascii="仿宋_GB2312" w:eastAsia="仿宋_GB2312"/>
                <w:bCs/>
                <w:color w:val="000000"/>
                <w:sz w:val="28"/>
                <w:szCs w:val="28"/>
                <w:lang w:bidi="ar"/>
              </w:rPr>
              <w:t>027</w:t>
            </w:r>
            <w:r>
              <w:rPr>
                <w:rFonts w:hint="eastAsia" w:ascii="仿宋_GB2312" w:eastAsia="仿宋_GB2312"/>
                <w:bCs/>
                <w:color w:val="000000"/>
                <w:sz w:val="28"/>
                <w:szCs w:val="28"/>
                <w:lang w:bidi="ar"/>
              </w:rPr>
              <w:t>年，达成平台适配教育行业各场景需求，为全县教育提供高质量服务。</w:t>
            </w:r>
          </w:p>
          <w:p w14:paraId="7E3530A4">
            <w:pPr>
              <w:widowControl/>
              <w:spacing w:line="560" w:lineRule="atLeast"/>
              <w:ind w:firstLine="562" w:firstLineChars="200"/>
              <w:rPr>
                <w:rFonts w:ascii="仿宋_GB2312" w:eastAsia="仿宋_GB2312"/>
                <w:bCs/>
                <w:color w:val="000000"/>
                <w:sz w:val="28"/>
                <w:szCs w:val="28"/>
                <w:lang w:bidi="ar"/>
              </w:rPr>
            </w:pPr>
            <w:r>
              <w:rPr>
                <w:rFonts w:hint="eastAsia" w:ascii="仿宋_GB2312" w:eastAsia="仿宋_GB2312"/>
                <w:b/>
                <w:color w:val="000000"/>
                <w:sz w:val="28"/>
                <w:szCs w:val="28"/>
                <w:lang w:bidi="ar"/>
              </w:rPr>
              <w:t>物联网智慧校园管理平台。</w:t>
            </w:r>
            <w:r>
              <w:rPr>
                <w:rFonts w:hint="eastAsia" w:ascii="仿宋_GB2312" w:eastAsia="仿宋_GB2312"/>
                <w:bCs/>
                <w:color w:val="000000"/>
                <w:sz w:val="28"/>
                <w:szCs w:val="28"/>
                <w:lang w:bidi="ar"/>
              </w:rPr>
              <w:t>基于N</w:t>
            </w:r>
            <w:r>
              <w:rPr>
                <w:rFonts w:ascii="仿宋_GB2312" w:eastAsia="仿宋_GB2312"/>
                <w:bCs/>
                <w:color w:val="000000"/>
                <w:sz w:val="28"/>
                <w:szCs w:val="28"/>
                <w:lang w:bidi="ar"/>
              </w:rPr>
              <w:t>B-IoT</w:t>
            </w:r>
            <w:r>
              <w:rPr>
                <w:rFonts w:hint="eastAsia" w:ascii="仿宋_GB2312" w:eastAsia="仿宋_GB2312"/>
                <w:bCs/>
                <w:color w:val="000000"/>
                <w:sz w:val="28"/>
                <w:szCs w:val="28"/>
                <w:lang w:bidi="ar"/>
              </w:rPr>
              <w:t>技术，构建为校园管理精细化需求提供整体智能化解决方案的物联网平台，主要覆盖智慧安防、智慧消防、智慧能耗、智慧环卫、智慧停车和智慧信息化共六大场景。到</w:t>
            </w:r>
            <w:r>
              <w:rPr>
                <w:rFonts w:ascii="仿宋_GB2312" w:eastAsia="仿宋_GB2312"/>
                <w:bCs/>
                <w:color w:val="000000"/>
                <w:sz w:val="28"/>
                <w:szCs w:val="28"/>
                <w:lang w:bidi="ar"/>
              </w:rPr>
              <w:t>2025年，</w:t>
            </w:r>
            <w:r>
              <w:rPr>
                <w:rFonts w:hint="eastAsia" w:ascii="仿宋_GB2312" w:eastAsia="仿宋_GB2312"/>
                <w:bCs/>
                <w:color w:val="000000"/>
                <w:sz w:val="28"/>
                <w:szCs w:val="28"/>
                <w:lang w:bidi="ar"/>
              </w:rPr>
              <w:t>建设</w:t>
            </w:r>
            <w:r>
              <w:rPr>
                <w:rFonts w:ascii="仿宋_GB2312" w:eastAsia="仿宋_GB2312"/>
                <w:bCs/>
                <w:color w:val="000000"/>
                <w:sz w:val="28"/>
                <w:szCs w:val="28"/>
                <w:lang w:bidi="ar"/>
              </w:rPr>
              <w:t>10所中小学信息化建设</w:t>
            </w:r>
            <w:r>
              <w:rPr>
                <w:rFonts w:hint="eastAsia" w:ascii="仿宋_GB2312" w:eastAsia="仿宋_GB2312"/>
                <w:bCs/>
                <w:color w:val="000000"/>
                <w:sz w:val="28"/>
                <w:szCs w:val="28"/>
                <w:lang w:bidi="ar"/>
              </w:rPr>
              <w:t>“</w:t>
            </w:r>
            <w:r>
              <w:rPr>
                <w:rFonts w:ascii="仿宋_GB2312" w:eastAsia="仿宋_GB2312"/>
                <w:bCs/>
                <w:color w:val="000000"/>
                <w:sz w:val="28"/>
                <w:szCs w:val="28"/>
                <w:lang w:bidi="ar"/>
              </w:rPr>
              <w:t>标杆校</w:t>
            </w:r>
            <w:r>
              <w:rPr>
                <w:rFonts w:hint="eastAsia" w:ascii="仿宋_GB2312" w:eastAsia="仿宋_GB2312"/>
                <w:bCs/>
                <w:color w:val="000000"/>
                <w:sz w:val="28"/>
                <w:szCs w:val="28"/>
                <w:lang w:bidi="ar"/>
              </w:rPr>
              <w:t>”</w:t>
            </w:r>
            <w:r>
              <w:rPr>
                <w:rFonts w:ascii="仿宋_GB2312" w:eastAsia="仿宋_GB2312"/>
                <w:bCs/>
                <w:color w:val="000000"/>
                <w:sz w:val="28"/>
                <w:szCs w:val="28"/>
                <w:lang w:bidi="ar"/>
              </w:rPr>
              <w:t>，10所智慧(数字)校园示范校。到2027年，实现教学环境、教育资源及校园服务的</w:t>
            </w:r>
            <w:r>
              <w:rPr>
                <w:rFonts w:hint="eastAsia" w:ascii="仿宋_GB2312" w:eastAsia="仿宋_GB2312"/>
                <w:bCs/>
                <w:color w:val="000000"/>
                <w:sz w:val="28"/>
                <w:szCs w:val="28"/>
                <w:lang w:bidi="ar"/>
              </w:rPr>
              <w:t>物联网</w:t>
            </w:r>
            <w:r>
              <w:rPr>
                <w:rFonts w:ascii="仿宋_GB2312" w:eastAsia="仿宋_GB2312"/>
                <w:bCs/>
                <w:color w:val="000000"/>
                <w:sz w:val="28"/>
                <w:szCs w:val="28"/>
                <w:lang w:bidi="ar"/>
              </w:rPr>
              <w:t>智慧应用全覆盖，力争</w:t>
            </w:r>
            <w:r>
              <w:rPr>
                <w:rFonts w:hint="eastAsia" w:ascii="仿宋_GB2312" w:eastAsia="仿宋_GB2312"/>
                <w:bCs/>
                <w:color w:val="000000"/>
                <w:sz w:val="28"/>
                <w:szCs w:val="28"/>
                <w:lang w:bidi="ar"/>
              </w:rPr>
              <w:t>智慧教育平台使用率达100%</w:t>
            </w:r>
            <w:r>
              <w:rPr>
                <w:rFonts w:ascii="仿宋_GB2312" w:eastAsia="仿宋_GB2312"/>
                <w:bCs/>
                <w:color w:val="000000"/>
                <w:sz w:val="28"/>
                <w:szCs w:val="28"/>
                <w:lang w:bidi="ar"/>
              </w:rPr>
              <w:t>。</w:t>
            </w:r>
            <w:r>
              <w:rPr>
                <w:rFonts w:hint="eastAsia" w:ascii="仿宋_GB2312" w:eastAsia="仿宋_GB2312"/>
                <w:b/>
                <w:color w:val="000000"/>
                <w:sz w:val="28"/>
                <w:szCs w:val="28"/>
                <w:lang w:bidi="ar"/>
              </w:rPr>
              <w:t>（智慧校园建设甲方建议考虑资金来源）</w:t>
            </w:r>
          </w:p>
          <w:p w14:paraId="043A22EA">
            <w:pPr>
              <w:widowControl/>
              <w:spacing w:line="560" w:lineRule="atLeast"/>
              <w:ind w:firstLine="562" w:firstLineChars="200"/>
              <w:rPr>
                <w:rFonts w:ascii="仿宋_GB2312" w:eastAsia="仿宋_GB2312"/>
                <w:bCs/>
                <w:color w:val="000000"/>
                <w:sz w:val="28"/>
                <w:szCs w:val="28"/>
                <w:lang w:bidi="ar"/>
              </w:rPr>
            </w:pPr>
            <w:r>
              <w:rPr>
                <w:rFonts w:hint="eastAsia" w:ascii="仿宋_GB2312" w:eastAsia="仿宋_GB2312"/>
                <w:b/>
                <w:color w:val="000000"/>
                <w:sz w:val="28"/>
                <w:szCs w:val="28"/>
                <w:lang w:bidi="ar"/>
              </w:rPr>
              <w:t>学生防溺水系统。</w:t>
            </w:r>
            <w:r>
              <w:rPr>
                <w:rFonts w:hint="eastAsia" w:ascii="仿宋_GB2312" w:eastAsia="仿宋_GB2312"/>
                <w:bCs/>
                <w:color w:val="000000"/>
                <w:sz w:val="28"/>
                <w:szCs w:val="28"/>
                <w:lang w:bidi="ar"/>
              </w:rPr>
              <w:t>建设将人、流程和信息三个层面全面整合的防溺水视频预警系统，主要涵盖视频监控、室外音柱、人脸智能识别服务器、防溺水软件平台和配套支撑设备。统一监管区域内所有学生，提前预警未知危险，并通过预先配置好的管理流程将相关安全责任人连接起来，实现联防联控与应用系统间的信息共享。到</w:t>
            </w:r>
            <w:r>
              <w:rPr>
                <w:rFonts w:ascii="仿宋_GB2312" w:eastAsia="仿宋_GB2312"/>
                <w:bCs/>
                <w:color w:val="000000"/>
                <w:sz w:val="28"/>
                <w:szCs w:val="28"/>
                <w:lang w:bidi="ar"/>
              </w:rPr>
              <w:t xml:space="preserve"> 2024年，建成防溺水预警系统</w:t>
            </w:r>
            <w:r>
              <w:rPr>
                <w:rFonts w:hint="eastAsia" w:ascii="仿宋_GB2312" w:eastAsia="仿宋_GB2312"/>
                <w:bCs/>
                <w:color w:val="000000"/>
                <w:sz w:val="28"/>
                <w:szCs w:val="28"/>
                <w:lang w:bidi="ar"/>
              </w:rPr>
              <w:t>；</w:t>
            </w:r>
            <w:r>
              <w:rPr>
                <w:rFonts w:ascii="仿宋_GB2312" w:eastAsia="仿宋_GB2312"/>
                <w:bCs/>
                <w:color w:val="000000"/>
                <w:sz w:val="28"/>
                <w:szCs w:val="28"/>
                <w:lang w:bidi="ar"/>
              </w:rPr>
              <w:t>到2025年，防溺水系统前端设备进一步向县域水域铺开建设。</w:t>
            </w:r>
          </w:p>
        </w:tc>
      </w:tr>
    </w:tbl>
    <w:p w14:paraId="46B5DEEE">
      <w:pPr>
        <w:pStyle w:val="24"/>
        <w:numPr>
          <w:ilvl w:val="0"/>
          <w:numId w:val="1"/>
        </w:numPr>
        <w:ind w:firstLineChars="0"/>
        <w:outlineLvl w:val="0"/>
        <w:rPr>
          <w:rFonts w:ascii="黑体" w:hAnsi="黑体" w:eastAsia="黑体"/>
          <w:sz w:val="32"/>
          <w:szCs w:val="32"/>
        </w:rPr>
      </w:pPr>
      <w:bookmarkStart w:id="149" w:name="_Toc142986335"/>
      <w:bookmarkEnd w:id="149"/>
      <w:bookmarkStart w:id="150" w:name="_Toc142986331"/>
      <w:bookmarkEnd w:id="150"/>
      <w:bookmarkStart w:id="151" w:name="_Toc142986095"/>
      <w:bookmarkEnd w:id="151"/>
      <w:bookmarkStart w:id="152" w:name="_Toc142986103"/>
      <w:bookmarkEnd w:id="152"/>
      <w:bookmarkStart w:id="153" w:name="_Toc142986330"/>
      <w:bookmarkEnd w:id="153"/>
      <w:bookmarkStart w:id="154" w:name="_Toc142986090"/>
      <w:bookmarkEnd w:id="154"/>
      <w:bookmarkStart w:id="155" w:name="_Toc142986334"/>
      <w:bookmarkEnd w:id="155"/>
      <w:bookmarkStart w:id="156" w:name="_Toc142986096"/>
      <w:bookmarkEnd w:id="156"/>
      <w:bookmarkStart w:id="157" w:name="_Toc142986091"/>
      <w:bookmarkEnd w:id="157"/>
      <w:bookmarkStart w:id="158" w:name="_Toc142986343"/>
      <w:bookmarkEnd w:id="158"/>
      <w:bookmarkStart w:id="159" w:name="_Toc142986094"/>
      <w:bookmarkEnd w:id="159"/>
      <w:bookmarkStart w:id="160" w:name="_Toc142986332"/>
      <w:bookmarkEnd w:id="160"/>
      <w:bookmarkStart w:id="161" w:name="_Toc142986092"/>
      <w:bookmarkEnd w:id="161"/>
      <w:bookmarkStart w:id="162" w:name="_Toc142986336"/>
      <w:bookmarkEnd w:id="162"/>
      <w:r>
        <w:rPr>
          <w:rFonts w:hint="eastAsia" w:ascii="黑体" w:hAnsi="黑体" w:eastAsia="黑体"/>
          <w:sz w:val="32"/>
          <w:szCs w:val="32"/>
          <w:lang w:eastAsia="zh-CN"/>
        </w:rPr>
        <w:t>提升数字治理效能推动治理能力现代化</w:t>
      </w:r>
    </w:p>
    <w:p w14:paraId="6CA822D4">
      <w:pPr>
        <w:ind w:firstLine="640" w:firstLineChars="200"/>
        <w:rPr>
          <w:rFonts w:ascii="仿宋_GB2312" w:hAnsi="黑体" w:eastAsia="仿宋_GB2312"/>
          <w:sz w:val="32"/>
          <w:szCs w:val="32"/>
        </w:rPr>
      </w:pPr>
      <w:r>
        <w:rPr>
          <w:rFonts w:hint="eastAsia" w:ascii="仿宋_GB2312" w:hAnsi="黑体" w:eastAsia="仿宋_GB2312"/>
          <w:sz w:val="32"/>
          <w:szCs w:val="32"/>
        </w:rPr>
        <w:t>坚持包容审慎、安全发展的原则，推动数字经济赋能政府管治、规范社会治理、筑牢安全保障体系，助力数字经济可持续健康发展，实现数字治理水平的全面提升。</w:t>
      </w:r>
    </w:p>
    <w:p w14:paraId="42B164A8">
      <w:pPr>
        <w:widowControl/>
        <w:shd w:val="clear" w:color="auto" w:fill="FFFFFF"/>
        <w:spacing w:line="520" w:lineRule="atLeast"/>
        <w:ind w:firstLine="617"/>
        <w:jc w:val="left"/>
        <w:outlineLvl w:val="1"/>
        <w:rPr>
          <w:rFonts w:ascii="楷体" w:hAnsi="楷体" w:eastAsia="楷体" w:cs="宋体"/>
          <w:b/>
          <w:bCs/>
          <w:color w:val="333333"/>
          <w:kern w:val="0"/>
          <w:sz w:val="32"/>
          <w:szCs w:val="32"/>
        </w:rPr>
      </w:pPr>
      <w:bookmarkStart w:id="163" w:name="_Toc142986345"/>
      <w:bookmarkStart w:id="164" w:name="_Toc147740955"/>
      <w:bookmarkStart w:id="165" w:name="_Toc4211"/>
      <w:bookmarkStart w:id="166" w:name="_Toc5471"/>
      <w:bookmarkStart w:id="167" w:name="_Toc19673"/>
      <w:bookmarkStart w:id="168" w:name="_Toc2119"/>
      <w:r>
        <w:rPr>
          <w:rFonts w:hint="eastAsia" w:ascii="楷体" w:hAnsi="楷体" w:eastAsia="楷体" w:cs="宋体"/>
          <w:b/>
          <w:bCs/>
          <w:color w:val="333333"/>
          <w:kern w:val="0"/>
          <w:sz w:val="32"/>
          <w:szCs w:val="32"/>
        </w:rPr>
        <w:t>（一）提升数字化政府管治水平</w:t>
      </w:r>
      <w:bookmarkEnd w:id="163"/>
      <w:bookmarkEnd w:id="164"/>
      <w:bookmarkEnd w:id="165"/>
      <w:bookmarkEnd w:id="166"/>
      <w:bookmarkEnd w:id="167"/>
      <w:bookmarkEnd w:id="168"/>
    </w:p>
    <w:p w14:paraId="6DF66F2A">
      <w:pPr>
        <w:ind w:firstLine="643" w:firstLineChars="200"/>
        <w:rPr>
          <w:rFonts w:ascii="仿宋_GB2312" w:hAnsi="黑体" w:eastAsia="仿宋_GB2312"/>
          <w:sz w:val="32"/>
          <w:szCs w:val="32"/>
        </w:rPr>
      </w:pPr>
      <w:r>
        <w:rPr>
          <w:rFonts w:hint="eastAsia" w:ascii="仿宋_GB2312" w:hAnsi="黑体" w:eastAsia="仿宋_GB2312"/>
          <w:b/>
          <w:bCs/>
          <w:sz w:val="32"/>
          <w:szCs w:val="32"/>
        </w:rPr>
        <w:t>加快政务数字化覆盖。</w:t>
      </w:r>
      <w:r>
        <w:rPr>
          <w:rFonts w:hint="eastAsia" w:ascii="仿宋_GB2312" w:hAnsi="黑体" w:eastAsia="仿宋_GB2312"/>
          <w:sz w:val="32"/>
          <w:szCs w:val="32"/>
        </w:rPr>
        <w:t>加快“赣政通”接入覆盖，实现县、乡、村和相关企事业单位全部接入。整合接入全县政务办公类和业务类系统，集中管理人员、流程、业务、消息、应用、运营，实现政府跨部门协作办公。丰富“赣政通”应用场景，以即时通信为基础，结合音视频会议、政务邮箱、在线文档、统一待办、工作通知等功能，建成功能全面、界面简洁、使用便利、运转顺畅的政府办公移动端，实现随时随地协作办公。优化“赣政通”平台，推动技术框架有序迁移，实现自主可控、安全可靠。</w:t>
      </w:r>
    </w:p>
    <w:p w14:paraId="6CBBA763">
      <w:pPr>
        <w:ind w:firstLine="643" w:firstLineChars="200"/>
        <w:rPr>
          <w:rFonts w:ascii="仿宋_GB2312" w:hAnsi="黑体" w:eastAsia="仿宋_GB2312"/>
          <w:b/>
          <w:bCs/>
          <w:sz w:val="32"/>
          <w:szCs w:val="32"/>
        </w:rPr>
      </w:pPr>
      <w:r>
        <w:rPr>
          <w:rFonts w:hint="eastAsia" w:ascii="仿宋_GB2312" w:hAnsi="黑体" w:eastAsia="仿宋_GB2312"/>
          <w:b/>
          <w:bCs/>
          <w:sz w:val="32"/>
          <w:szCs w:val="32"/>
        </w:rPr>
        <w:t>健全数字政府安全保障支撑。</w:t>
      </w:r>
      <w:r>
        <w:rPr>
          <w:rFonts w:hint="eastAsia" w:ascii="仿宋_GB2312" w:hAnsi="黑体" w:eastAsia="仿宋_GB2312"/>
          <w:sz w:val="32"/>
          <w:szCs w:val="32"/>
        </w:rPr>
        <w:t>建立健全动态监控、主动防御、协同响应的数字政府安全技术保障体系，构建数字政府一体化安全管理平台，为基础设施安全、应用安全及数据安全提供安全保障支撑。</w:t>
      </w:r>
    </w:p>
    <w:p w14:paraId="521702A2">
      <w:pPr>
        <w:ind w:firstLine="643" w:firstLineChars="200"/>
        <w:rPr>
          <w:rFonts w:ascii="仿宋_GB2312" w:hAnsi="黑体" w:eastAsia="仿宋_GB2312"/>
          <w:sz w:val="32"/>
          <w:szCs w:val="32"/>
        </w:rPr>
      </w:pPr>
      <w:r>
        <w:rPr>
          <w:rFonts w:hint="eastAsia" w:ascii="仿宋_GB2312" w:hAnsi="黑体" w:eastAsia="仿宋_GB2312"/>
          <w:b/>
          <w:bCs/>
          <w:sz w:val="32"/>
          <w:szCs w:val="32"/>
        </w:rPr>
        <w:t>构建集约先进的数字基础设施。</w:t>
      </w:r>
      <w:r>
        <w:rPr>
          <w:rFonts w:hint="eastAsia" w:ascii="仿宋_GB2312" w:hAnsi="黑体" w:eastAsia="仿宋_GB2312"/>
          <w:sz w:val="32"/>
          <w:szCs w:val="32"/>
        </w:rPr>
        <w:t>构建统筹调度、结构合理、智能集约、技术先进的平台支撑体系，适度超前布局相关数字基础设施，全面夯实数字政府建设根基。</w:t>
      </w:r>
    </w:p>
    <w:p w14:paraId="049664FF">
      <w:pPr>
        <w:ind w:firstLine="643" w:firstLineChars="200"/>
        <w:rPr>
          <w:rFonts w:ascii="仿宋_GB2312" w:hAnsi="黑体" w:eastAsia="仿宋_GB2312"/>
          <w:sz w:val="32"/>
          <w:szCs w:val="32"/>
        </w:rPr>
      </w:pPr>
      <w:r>
        <w:rPr>
          <w:rFonts w:hint="eastAsia" w:ascii="仿宋_GB2312" w:hAnsi="黑体" w:eastAsia="仿宋_GB2312"/>
          <w:b/>
          <w:bCs/>
          <w:sz w:val="32"/>
          <w:szCs w:val="32"/>
        </w:rPr>
        <w:t>强化政务功能数字化建设。</w:t>
      </w:r>
      <w:r>
        <w:rPr>
          <w:rFonts w:hint="eastAsia" w:ascii="仿宋_GB2312" w:hAnsi="黑体" w:eastAsia="仿宋_GB2312"/>
          <w:sz w:val="32"/>
          <w:szCs w:val="32"/>
        </w:rPr>
        <w:t>优化升级“赣政通”、“赣服通”等电子政务平台，依托“赣政通”完善推广掌上办公应用，全面推进移动办公、后勤管理、资产管理等数字化应用；启动“赣服通”</w:t>
      </w:r>
      <w:r>
        <w:rPr>
          <w:rFonts w:ascii="仿宋_GB2312" w:hAnsi="黑体" w:eastAsia="仿宋_GB2312"/>
          <w:sz w:val="32"/>
          <w:szCs w:val="32"/>
        </w:rPr>
        <w:t>的</w:t>
      </w:r>
      <w:r>
        <w:rPr>
          <w:rFonts w:hint="eastAsia" w:ascii="仿宋_GB2312" w:hAnsi="黑体" w:eastAsia="仿宋_GB2312"/>
          <w:sz w:val="32"/>
          <w:szCs w:val="32"/>
        </w:rPr>
        <w:t>版本</w:t>
      </w:r>
      <w:r>
        <w:rPr>
          <w:rFonts w:ascii="仿宋_GB2312" w:hAnsi="黑体" w:eastAsia="仿宋_GB2312"/>
          <w:sz w:val="32"/>
          <w:szCs w:val="32"/>
        </w:rPr>
        <w:t>迭代升级</w:t>
      </w:r>
      <w:r>
        <w:rPr>
          <w:rFonts w:hint="eastAsia" w:ascii="仿宋_GB2312" w:hAnsi="黑体" w:eastAsia="仿宋_GB2312"/>
          <w:sz w:val="32"/>
          <w:szCs w:val="32"/>
        </w:rPr>
        <w:t>，在“赣服通”兴国分厅上线县本级特色便民服务事项，逐步实现“掌上办”。推进“一网通办”数字化改革试点建设，初步建成“一件事一次办”服务体系，助力基于互联网、自助终端、移动终端的政务服务入口全面向基层延伸。全面推行政务服务“异地办”，优化异地办事审批效率，积极扩大“异地通办”范围，深化赣深合作，逐步打通跨省业务链条和信息堵点。</w:t>
      </w:r>
    </w:p>
    <w:p w14:paraId="533AC87D">
      <w:pPr>
        <w:ind w:firstLine="643" w:firstLineChars="200"/>
        <w:rPr>
          <w:rFonts w:ascii="仿宋_GB2312" w:hAnsi="黑体" w:eastAsia="仿宋_GB2312"/>
          <w:sz w:val="32"/>
          <w:szCs w:val="32"/>
        </w:rPr>
      </w:pPr>
      <w:r>
        <w:rPr>
          <w:rFonts w:hint="eastAsia" w:ascii="仿宋_GB2312" w:hAnsi="黑体" w:eastAsia="仿宋_GB2312"/>
          <w:b/>
          <w:bCs/>
          <w:sz w:val="32"/>
          <w:szCs w:val="32"/>
        </w:rPr>
        <w:t>打造市场数字化监管机制。</w:t>
      </w:r>
      <w:r>
        <w:rPr>
          <w:rFonts w:hint="eastAsia" w:ascii="仿宋_GB2312" w:hAnsi="黑体" w:eastAsia="仿宋_GB2312"/>
          <w:sz w:val="32"/>
          <w:szCs w:val="32"/>
        </w:rPr>
        <w:t>强化跨层级、跨区域的多元协同治理工作，全力配合省市各级主管部门与监管机构实施智慧化监管，推进市场监管与物流、商务、工信等部门的信息共享。构建“互联网+监管”体系，充分运用物联网、大数据、区块链等技术，开展远程监管、移动监管等新型监管模式，把控各电商平台网络交易行为。对涉及食品药品安全的市场主体加强信息化监管，通过数据挖掘、产品溯源、视频监控等手段实现全天候在线监管，提高兴国县政府服务和食品药品安全监管的有效性。深化社会信用监管，健全市场主体信用体系，完善兴国县公共信用信息平台，优化企业违规信息公示、风险分类、信用分级等功能，维护市场诚信公平的营商环境。</w:t>
      </w:r>
    </w:p>
    <w:tbl>
      <w:tblPr>
        <w:tblStyle w:val="18"/>
        <w:tblW w:w="85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0"/>
      </w:tblGrid>
      <w:tr w14:paraId="467E4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0" w:type="dxa"/>
            <w:tcBorders>
              <w:top w:val="single" w:color="auto" w:sz="4" w:space="0"/>
              <w:left w:val="single" w:color="auto" w:sz="4" w:space="0"/>
              <w:bottom w:val="single" w:color="auto" w:sz="4" w:space="0"/>
              <w:right w:val="single" w:color="auto" w:sz="4" w:space="0"/>
            </w:tcBorders>
          </w:tcPr>
          <w:p w14:paraId="19ADD51A">
            <w:pPr>
              <w:widowControl/>
              <w:jc w:val="center"/>
              <w:textAlignment w:val="center"/>
              <w:rPr>
                <w:rFonts w:ascii="楷体_GB2312" w:hAnsi="黑体" w:eastAsia="楷体_GB2312" w:cs="Times New Roman"/>
                <w:b/>
                <w:color w:val="000000"/>
                <w:sz w:val="28"/>
                <w:szCs w:val="28"/>
              </w:rPr>
            </w:pPr>
            <w:r>
              <w:rPr>
                <w:rFonts w:hint="eastAsia" w:ascii="楷体_GB2312" w:hAnsi="黑体" w:eastAsia="楷体_GB2312"/>
                <w:b/>
                <w:color w:val="000000"/>
                <w:sz w:val="28"/>
                <w:szCs w:val="32"/>
                <w:lang w:bidi="ar"/>
              </w:rPr>
              <w:t>专栏</w:t>
            </w:r>
            <w:r>
              <w:rPr>
                <w:rFonts w:ascii="楷体_GB2312" w:hAnsi="黑体" w:eastAsia="楷体_GB2312"/>
                <w:b/>
                <w:color w:val="000000"/>
                <w:sz w:val="28"/>
                <w:szCs w:val="32"/>
                <w:lang w:bidi="ar"/>
              </w:rPr>
              <w:t>1</w:t>
            </w:r>
            <w:r>
              <w:rPr>
                <w:rFonts w:hint="eastAsia" w:ascii="楷体_GB2312" w:hAnsi="黑体" w:eastAsia="楷体_GB2312"/>
                <w:b/>
                <w:color w:val="000000"/>
                <w:sz w:val="28"/>
                <w:szCs w:val="32"/>
                <w:lang w:val="en-US" w:eastAsia="zh-CN" w:bidi="ar"/>
              </w:rPr>
              <w:t>3</w:t>
            </w:r>
            <w:r>
              <w:rPr>
                <w:rFonts w:hint="eastAsia" w:ascii="楷体_GB2312" w:hAnsi="黑体" w:eastAsia="楷体_GB2312"/>
                <w:b/>
                <w:color w:val="000000"/>
                <w:sz w:val="28"/>
                <w:szCs w:val="32"/>
                <w:lang w:bidi="ar"/>
              </w:rPr>
              <w:t>：数字政府基础重点工程</w:t>
            </w:r>
          </w:p>
        </w:tc>
      </w:tr>
      <w:tr w14:paraId="1F95D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0" w:type="dxa"/>
            <w:tcBorders>
              <w:top w:val="single" w:color="auto" w:sz="4" w:space="0"/>
              <w:left w:val="single" w:color="auto" w:sz="4" w:space="0"/>
              <w:bottom w:val="single" w:color="auto" w:sz="4" w:space="0"/>
              <w:right w:val="single" w:color="auto" w:sz="4" w:space="0"/>
            </w:tcBorders>
          </w:tcPr>
          <w:p w14:paraId="1AF5A07E">
            <w:pPr>
              <w:widowControl/>
              <w:spacing w:line="560" w:lineRule="atLeast"/>
              <w:ind w:firstLine="562" w:firstLineChars="200"/>
              <w:rPr>
                <w:rFonts w:ascii="仿宋_GB2312" w:eastAsia="仿宋_GB2312"/>
                <w:bCs/>
                <w:color w:val="000000"/>
                <w:sz w:val="28"/>
                <w:szCs w:val="28"/>
                <w:lang w:bidi="ar"/>
              </w:rPr>
            </w:pPr>
            <w:r>
              <w:rPr>
                <w:rFonts w:hint="eastAsia" w:ascii="仿宋_GB2312" w:eastAsia="仿宋_GB2312"/>
                <w:b/>
                <w:color w:val="000000"/>
                <w:sz w:val="28"/>
                <w:szCs w:val="28"/>
                <w:lang w:bidi="ar"/>
              </w:rPr>
              <w:t>“赣服通”兴国分厅5.0版。</w:t>
            </w:r>
            <w:r>
              <w:rPr>
                <w:rFonts w:hint="eastAsia" w:ascii="仿宋_GB2312" w:eastAsia="仿宋_GB2312"/>
                <w:bCs/>
                <w:color w:val="000000"/>
                <w:sz w:val="28"/>
                <w:szCs w:val="28"/>
                <w:lang w:bidi="ar"/>
              </w:rPr>
              <w:t>“赣服通”兴国分厅5.0版。完成“赣服通”兴国分厅5.0迭代升级，新增帮代办平台、数字资产平台、一件事专区、预约叫号平台、兴国赣服通“码”上办、“一触即达”智能导航导办、数字乡村专区等服务功能，为劳动者及市场主体提供多样化的政务服务体验。加强与省政务服务办对接，完成“赣服通”6.0版兴国特色应用场景建设。到2027年，赣服通查询办理率达</w:t>
            </w:r>
            <w:r>
              <w:rPr>
                <w:rFonts w:ascii="仿宋_GB2312" w:eastAsia="仿宋_GB2312"/>
                <w:bCs/>
                <w:color w:val="000000"/>
                <w:sz w:val="28"/>
                <w:szCs w:val="28"/>
                <w:lang w:bidi="ar"/>
              </w:rPr>
              <w:t>100%</w:t>
            </w:r>
            <w:r>
              <w:rPr>
                <w:rFonts w:hint="eastAsia" w:ascii="仿宋_GB2312" w:eastAsia="仿宋_GB2312"/>
                <w:bCs/>
                <w:color w:val="000000"/>
                <w:sz w:val="28"/>
                <w:szCs w:val="28"/>
                <w:lang w:bidi="ar"/>
              </w:rPr>
              <w:t>。</w:t>
            </w:r>
          </w:p>
          <w:p w14:paraId="3041E33E">
            <w:pPr>
              <w:widowControl/>
              <w:spacing w:line="560" w:lineRule="atLeast"/>
              <w:ind w:firstLine="562" w:firstLineChars="200"/>
              <w:rPr>
                <w:rFonts w:ascii="仿宋_GB2312" w:eastAsia="仿宋_GB2312"/>
                <w:bCs/>
                <w:color w:val="000000"/>
                <w:sz w:val="28"/>
                <w:szCs w:val="28"/>
                <w:lang w:bidi="ar"/>
              </w:rPr>
            </w:pPr>
            <w:r>
              <w:rPr>
                <w:rFonts w:hint="eastAsia" w:ascii="仿宋_GB2312" w:eastAsia="仿宋_GB2312"/>
                <w:b/>
                <w:color w:val="000000"/>
                <w:sz w:val="28"/>
                <w:szCs w:val="28"/>
                <w:lang w:bidi="ar"/>
              </w:rPr>
              <w:t>政务服务“一网通办”。</w:t>
            </w:r>
            <w:r>
              <w:rPr>
                <w:rFonts w:hint="eastAsia" w:ascii="仿宋_GB2312" w:eastAsia="仿宋_GB2312"/>
                <w:bCs/>
                <w:color w:val="000000"/>
                <w:sz w:val="28"/>
                <w:szCs w:val="28"/>
                <w:lang w:bidi="ar"/>
              </w:rPr>
              <w:t>承接市级“一网通办”改革基础，构建兴国县“一网通办”政务服务体系，打造“一件事一次办”、“AI智慧审批”等主题服务，建设审管互动平台、企业全生命服务周期平台、企业档案“一体化”管理平台等平台系统，持续推进流程简、效率高的政务服务工作。到2025年前，基本实现全县政务服务“一网通办”、“掌上办”，线上线下办理事项100%同步，赣政通高质量代办使用率达</w:t>
            </w:r>
            <w:r>
              <w:rPr>
                <w:rFonts w:ascii="仿宋_GB2312" w:eastAsia="仿宋_GB2312"/>
                <w:bCs/>
                <w:color w:val="000000"/>
                <w:sz w:val="28"/>
                <w:szCs w:val="28"/>
                <w:lang w:bidi="ar"/>
              </w:rPr>
              <w:t>100%</w:t>
            </w:r>
            <w:r>
              <w:rPr>
                <w:rFonts w:hint="eastAsia" w:ascii="仿宋_GB2312" w:eastAsia="仿宋_GB2312"/>
                <w:bCs/>
                <w:color w:val="000000"/>
                <w:sz w:val="28"/>
                <w:szCs w:val="28"/>
                <w:lang w:bidi="ar"/>
              </w:rPr>
              <w:t>。到2027年，力争将兴国县打造成为全省政务服务满意度新标杆。</w:t>
            </w:r>
          </w:p>
          <w:p w14:paraId="0C65764F">
            <w:pPr>
              <w:widowControl/>
              <w:spacing w:line="560" w:lineRule="atLeast"/>
              <w:ind w:firstLine="562" w:firstLineChars="200"/>
              <w:rPr>
                <w:rFonts w:ascii="仿宋_GB2312" w:eastAsia="仿宋_GB2312"/>
                <w:bCs/>
                <w:color w:val="000000"/>
                <w:sz w:val="28"/>
                <w:szCs w:val="28"/>
                <w:lang w:bidi="ar"/>
              </w:rPr>
            </w:pPr>
            <w:r>
              <w:rPr>
                <w:rFonts w:hint="eastAsia" w:ascii="仿宋_GB2312" w:eastAsia="仿宋_GB2312"/>
                <w:b/>
                <w:color w:val="000000"/>
                <w:sz w:val="28"/>
                <w:szCs w:val="28"/>
                <w:lang w:bidi="ar"/>
              </w:rPr>
              <w:t>政务信息资源体系</w:t>
            </w:r>
            <w:r>
              <w:rPr>
                <w:rFonts w:hint="eastAsia" w:ascii="仿宋_GB2312" w:eastAsia="仿宋_GB2312"/>
                <w:bCs/>
                <w:color w:val="000000"/>
                <w:sz w:val="28"/>
                <w:szCs w:val="28"/>
                <w:lang w:bidi="ar"/>
              </w:rPr>
              <w:t>。建设兴国政务信息资源体系，实现全县数据统一汇聚、治理、共享、开放，通过政务数据、城市数据和互联网等数据的汇聚、清洗和融合，建设统一权威的人口、法人、地理信息等基础数据库，为兴国县政务服务数字化建设提供大数据基础支撑。到</w:t>
            </w:r>
            <w:r>
              <w:rPr>
                <w:rFonts w:ascii="仿宋_GB2312" w:eastAsia="仿宋_GB2312"/>
                <w:bCs/>
                <w:color w:val="000000"/>
                <w:sz w:val="28"/>
                <w:szCs w:val="28"/>
                <w:lang w:bidi="ar"/>
              </w:rPr>
              <w:t>2025年，建成各领域基础政务数据库。到2027年，跨部门、跨层级、跨领域的数据共享共用新格局基本达成。</w:t>
            </w:r>
            <w:r>
              <w:rPr>
                <w:rFonts w:hint="eastAsia" w:ascii="仿宋_GB2312" w:eastAsia="仿宋_GB2312"/>
                <w:bCs/>
                <w:color w:val="000000"/>
                <w:sz w:val="28"/>
                <w:szCs w:val="28"/>
                <w:lang w:bidi="ar"/>
              </w:rPr>
              <w:t>本地数据目录挂接完成率达</w:t>
            </w:r>
            <w:r>
              <w:rPr>
                <w:rFonts w:hint="eastAsia" w:ascii="仿宋_GB2312" w:eastAsia="仿宋_GB2312"/>
                <w:bCs/>
                <w:color w:val="000000"/>
                <w:sz w:val="28"/>
                <w:szCs w:val="28"/>
                <w:highlight w:val="none"/>
                <w:lang w:eastAsia="zh-CN" w:bidi="ar"/>
              </w:rPr>
              <w:t>1</w:t>
            </w:r>
            <w:r>
              <w:rPr>
                <w:rFonts w:hint="eastAsia" w:ascii="仿宋_GB2312" w:eastAsia="仿宋_GB2312"/>
                <w:bCs/>
                <w:color w:val="000000"/>
                <w:sz w:val="28"/>
                <w:szCs w:val="28"/>
                <w:highlight w:val="none"/>
                <w:lang w:val="en-US" w:eastAsia="zh-CN" w:bidi="ar"/>
              </w:rPr>
              <w:t>00</w:t>
            </w:r>
            <w:r>
              <w:rPr>
                <w:rFonts w:ascii="仿宋_GB2312" w:eastAsia="仿宋_GB2312"/>
                <w:bCs/>
                <w:color w:val="000000"/>
                <w:sz w:val="28"/>
                <w:szCs w:val="28"/>
                <w:lang w:bidi="ar"/>
              </w:rPr>
              <w:t>%</w:t>
            </w:r>
            <w:r>
              <w:rPr>
                <w:rFonts w:hint="eastAsia" w:ascii="仿宋_GB2312" w:eastAsia="仿宋_GB2312"/>
                <w:bCs/>
                <w:color w:val="000000"/>
                <w:sz w:val="28"/>
                <w:szCs w:val="28"/>
                <w:lang w:bidi="ar"/>
              </w:rPr>
              <w:t>。</w:t>
            </w:r>
          </w:p>
          <w:p w14:paraId="118C4191">
            <w:pPr>
              <w:widowControl/>
              <w:spacing w:line="560" w:lineRule="atLeast"/>
              <w:ind w:firstLine="562" w:firstLineChars="200"/>
              <w:rPr>
                <w:rFonts w:ascii="仿宋_GB2312" w:eastAsia="仿宋_GB2312"/>
                <w:bCs/>
                <w:color w:val="000000"/>
                <w:sz w:val="28"/>
                <w:szCs w:val="28"/>
                <w:lang w:bidi="ar"/>
              </w:rPr>
            </w:pPr>
            <w:r>
              <w:rPr>
                <w:rFonts w:hint="eastAsia" w:ascii="仿宋_GB2312" w:eastAsia="仿宋_GB2312"/>
                <w:b/>
                <w:color w:val="000000"/>
                <w:sz w:val="28"/>
                <w:szCs w:val="28"/>
                <w:lang w:bidi="ar"/>
              </w:rPr>
              <w:t>“智慧监管”综合应用平台。</w:t>
            </w:r>
            <w:r>
              <w:rPr>
                <w:rFonts w:hint="eastAsia" w:ascii="仿宋_GB2312" w:eastAsia="仿宋_GB2312"/>
                <w:bCs/>
                <w:color w:val="000000"/>
                <w:sz w:val="28"/>
                <w:szCs w:val="28"/>
                <w:lang w:bidi="ar"/>
              </w:rPr>
              <w:t>全面推动“智慧监管”基层应用新模式，利用物联网、区块链、云计算等技术，打造平台企业全流程电子化登记、产品质量监督、特种设备监管、食品药品监管、知识产权保护、认证检验、信用风险分级等功能。到2025年，实现监管平台全功能初步投入使用。到2027年，全县基本形成协同治理、动态监测、实时预警、科学分析的智慧市场监管体系。</w:t>
            </w:r>
          </w:p>
          <w:p w14:paraId="29B7B00D">
            <w:pPr>
              <w:widowControl/>
              <w:spacing w:line="560" w:lineRule="atLeast"/>
              <w:ind w:firstLine="562" w:firstLineChars="200"/>
            </w:pPr>
            <w:r>
              <w:rPr>
                <w:rFonts w:hint="eastAsia" w:ascii="仿宋_GB2312" w:eastAsia="仿宋_GB2312"/>
                <w:b/>
                <w:bCs/>
                <w:color w:val="000000"/>
                <w:sz w:val="28"/>
                <w:szCs w:val="28"/>
                <w:lang w:bidi="ar"/>
              </w:rPr>
              <w:t>网格化管理服务中心。</w:t>
            </w:r>
            <w:r>
              <w:rPr>
                <w:rFonts w:hint="eastAsia" w:ascii="仿宋_GB2312" w:eastAsia="仿宋_GB2312"/>
                <w:bCs/>
                <w:color w:val="000000"/>
                <w:sz w:val="28"/>
                <w:szCs w:val="28"/>
                <w:lang w:bidi="ar"/>
              </w:rPr>
              <w:t>整合数字实况，打造全域（企业范围内）全科（党委、政府各项工作）网格化管理服务中心，实现“一网管全域”新型社会治理目标。</w:t>
            </w:r>
          </w:p>
        </w:tc>
      </w:tr>
    </w:tbl>
    <w:p w14:paraId="0E58634C">
      <w:pPr>
        <w:widowControl/>
        <w:shd w:val="clear" w:color="auto" w:fill="FFFFFF"/>
        <w:spacing w:line="520" w:lineRule="atLeast"/>
        <w:ind w:firstLine="617"/>
        <w:jc w:val="left"/>
        <w:outlineLvl w:val="1"/>
        <w:rPr>
          <w:rFonts w:ascii="楷体" w:hAnsi="楷体" w:eastAsia="楷体" w:cs="宋体"/>
          <w:b/>
          <w:bCs/>
          <w:color w:val="333333"/>
          <w:kern w:val="0"/>
          <w:sz w:val="32"/>
          <w:szCs w:val="32"/>
        </w:rPr>
      </w:pPr>
      <w:bookmarkStart w:id="169" w:name="_Toc6810"/>
      <w:bookmarkStart w:id="170" w:name="_Toc5526"/>
      <w:bookmarkStart w:id="171" w:name="_Toc8020"/>
      <w:bookmarkStart w:id="172" w:name="_Toc142986346"/>
      <w:bookmarkStart w:id="173" w:name="_Toc147740956"/>
      <w:bookmarkStart w:id="174" w:name="_Toc26980"/>
      <w:r>
        <w:rPr>
          <w:rFonts w:hint="eastAsia" w:ascii="楷体" w:hAnsi="楷体" w:eastAsia="楷体" w:cs="宋体"/>
          <w:b/>
          <w:bCs/>
          <w:color w:val="333333"/>
          <w:kern w:val="0"/>
          <w:sz w:val="32"/>
          <w:szCs w:val="32"/>
        </w:rPr>
        <w:t>（二）增强数字化社会治理能力</w:t>
      </w:r>
      <w:bookmarkEnd w:id="169"/>
      <w:bookmarkEnd w:id="170"/>
      <w:bookmarkEnd w:id="171"/>
      <w:bookmarkEnd w:id="172"/>
      <w:bookmarkEnd w:id="173"/>
      <w:bookmarkEnd w:id="174"/>
    </w:p>
    <w:p w14:paraId="170D199F">
      <w:pPr>
        <w:ind w:firstLine="643" w:firstLineChars="200"/>
        <w:rPr>
          <w:rFonts w:ascii="仿宋_GB2312" w:hAnsi="黑体" w:eastAsia="仿宋_GB2312"/>
          <w:sz w:val="32"/>
          <w:szCs w:val="32"/>
        </w:rPr>
      </w:pPr>
      <w:r>
        <w:rPr>
          <w:rFonts w:hint="eastAsia" w:ascii="仿宋_GB2312" w:hAnsi="黑体" w:eastAsia="仿宋_GB2312"/>
          <w:b/>
          <w:bCs/>
          <w:sz w:val="32"/>
          <w:szCs w:val="32"/>
        </w:rPr>
        <w:t>加快城市管理智能化建设。</w:t>
      </w:r>
      <w:r>
        <w:rPr>
          <w:rFonts w:hint="eastAsia" w:ascii="仿宋_GB2312" w:hAnsi="黑体" w:eastAsia="仿宋_GB2312"/>
          <w:sz w:val="32"/>
          <w:szCs w:val="32"/>
        </w:rPr>
        <w:t>持续完善智慧城管感知体系，结合物联网、人工智能、5</w:t>
      </w:r>
      <w:r>
        <w:rPr>
          <w:rFonts w:ascii="仿宋_GB2312" w:hAnsi="黑体" w:eastAsia="仿宋_GB2312"/>
          <w:sz w:val="32"/>
          <w:szCs w:val="32"/>
        </w:rPr>
        <w:t>G</w:t>
      </w:r>
      <w:r>
        <w:rPr>
          <w:rFonts w:hint="eastAsia" w:ascii="仿宋_GB2312" w:hAnsi="黑体" w:eastAsia="仿宋_GB2312"/>
          <w:sz w:val="32"/>
          <w:szCs w:val="32"/>
        </w:rPr>
        <w:t>技术部署智能感知设施，实现智能设备在市政公用、市容环卫、园林绿化、综合执法、公共交通等相关业务领域的全覆盖。构造“一网协同”的城市应急指挥管理系统，建立涵盖城市管理全行业、全范围的跨部门、跨行业的指挥协调体系，将城市管理精细化水平推向纵深，并进一步向各行政村延伸建设城市运行决策建议大数据体系，整合并共享人口、交通、城建等公共设施数据和公共基础服务数据，续建城市管理数据平台，形成综合性城市管理数据库。</w:t>
      </w:r>
    </w:p>
    <w:p w14:paraId="2F4F3045">
      <w:pPr>
        <w:ind w:firstLine="643" w:firstLineChars="200"/>
        <w:rPr>
          <w:rFonts w:ascii="仿宋_GB2312" w:hAnsi="黑体" w:eastAsia="仿宋_GB2312"/>
          <w:sz w:val="32"/>
          <w:szCs w:val="32"/>
        </w:rPr>
      </w:pPr>
      <w:r>
        <w:rPr>
          <w:rFonts w:hint="eastAsia" w:ascii="仿宋_GB2312" w:hAnsi="黑体" w:eastAsia="仿宋_GB2312"/>
          <w:b/>
          <w:bCs/>
          <w:sz w:val="32"/>
          <w:szCs w:val="32"/>
        </w:rPr>
        <w:t>布局公共交通信息化设施</w:t>
      </w:r>
      <w:r>
        <w:rPr>
          <w:rFonts w:hint="eastAsia" w:ascii="仿宋_GB2312" w:hAnsi="黑体" w:eastAsia="仿宋_GB2312"/>
          <w:sz w:val="32"/>
          <w:szCs w:val="32"/>
        </w:rPr>
        <w:t>。实施公路、铁路、桥梁、机场、港口、航道以及城市轨道、城市道路及交通信号灯等配套设施的智能化改造，部署基于</w:t>
      </w:r>
      <w:r>
        <w:rPr>
          <w:rFonts w:ascii="仿宋_GB2312" w:hAnsi="黑体" w:eastAsia="仿宋_GB2312"/>
          <w:sz w:val="32"/>
          <w:szCs w:val="32"/>
        </w:rPr>
        <w:t>5G、北斗卫星导航的车联网综合信息服务体系，建设交通视图库系统，优化升级云存储系统。依托“数治兴国”城市大脑，推进路网智能监测、人车路智能管控、路网应急指挥，提升交通运行效率和管理水平。加快部署智慧信号灯、智慧停车等交通智能化设施，稳步推进智慧公路交通基础设施建设。发展智慧化出行服务，推广交通诱导、无感支付、停车导引、线路规划、车辆调度等智慧应用场景，便利民众出行。</w:t>
      </w:r>
    </w:p>
    <w:p w14:paraId="54BEDF99">
      <w:pPr>
        <w:ind w:firstLine="643" w:firstLineChars="200"/>
        <w:rPr>
          <w:rFonts w:ascii="仿宋_GB2312" w:hAnsi="黑体" w:eastAsia="仿宋_GB2312"/>
          <w:sz w:val="32"/>
          <w:szCs w:val="32"/>
        </w:rPr>
      </w:pPr>
      <w:r>
        <w:rPr>
          <w:rFonts w:hint="eastAsia" w:ascii="仿宋_GB2312" w:hAnsi="黑体" w:eastAsia="仿宋_GB2312"/>
          <w:b/>
          <w:bCs/>
          <w:sz w:val="32"/>
          <w:szCs w:val="32"/>
        </w:rPr>
        <w:t>开展数字乡村治理试点示范。</w:t>
      </w:r>
      <w:r>
        <w:rPr>
          <w:rFonts w:hint="eastAsia" w:ascii="仿宋_GB2312" w:hAnsi="黑体" w:eastAsia="仿宋_GB2312"/>
          <w:sz w:val="32"/>
          <w:szCs w:val="32"/>
        </w:rPr>
        <w:t>完善乡村数字基础设施建设，加快农村宽带通信网、移动互联网、数字电视网和下一代互联网发展。强化5</w:t>
      </w:r>
      <w:r>
        <w:rPr>
          <w:rFonts w:ascii="仿宋_GB2312" w:hAnsi="黑体" w:eastAsia="仿宋_GB2312"/>
          <w:sz w:val="32"/>
          <w:szCs w:val="32"/>
        </w:rPr>
        <w:t>G</w:t>
      </w:r>
      <w:r>
        <w:rPr>
          <w:rFonts w:hint="eastAsia" w:ascii="仿宋_GB2312" w:hAnsi="黑体" w:eastAsia="仿宋_GB2312"/>
          <w:sz w:val="32"/>
          <w:szCs w:val="32"/>
        </w:rPr>
        <w:t>、物联网等数字技术在农业产业、农田水利、农村公共服务、村道监控等方面的应用。推进乡村人居环境整治，深入实施网格化乡村治理模式，依托“5</w:t>
      </w:r>
      <w:r>
        <w:rPr>
          <w:rFonts w:ascii="仿宋_GB2312" w:hAnsi="黑体" w:eastAsia="仿宋_GB2312"/>
          <w:sz w:val="32"/>
          <w:szCs w:val="32"/>
        </w:rPr>
        <w:t>G+</w:t>
      </w:r>
      <w:r>
        <w:rPr>
          <w:rFonts w:hint="eastAsia" w:ascii="仿宋_GB2312" w:hAnsi="黑体" w:eastAsia="仿宋_GB2312"/>
          <w:sz w:val="32"/>
          <w:szCs w:val="32"/>
        </w:rPr>
        <w:t>长效管护平台”健全城乡环卫一体化治理体系和环境卫生长效管护机制，开展垃圾分类试点，持续推进“厕所革命”，实施农村生活垃圾专项治理、农村生活污水治理、村容村貌提升等工程。开展数字化农业农村业务培训，制定适应数字农业农村发展要求的人才措施，向乡村干部、农技人员、新型农业经营主体宣传普及农业信息化技术，提高基层队伍的数字技术应用和治理水平。</w:t>
      </w:r>
    </w:p>
    <w:p w14:paraId="4B3E67BB">
      <w:pPr>
        <w:ind w:firstLine="643" w:firstLineChars="200"/>
        <w:rPr>
          <w:rFonts w:ascii="仿宋_GB2312" w:hAnsi="黑体" w:eastAsia="仿宋_GB2312"/>
          <w:sz w:val="32"/>
          <w:szCs w:val="32"/>
        </w:rPr>
      </w:pPr>
      <w:r>
        <w:rPr>
          <w:rFonts w:hint="eastAsia" w:ascii="仿宋_GB2312" w:hAnsi="黑体" w:eastAsia="仿宋_GB2312"/>
          <w:b/>
          <w:bCs/>
          <w:sz w:val="32"/>
          <w:szCs w:val="32"/>
        </w:rPr>
        <w:t>推进生态环境数字化治理。</w:t>
      </w:r>
      <w:r>
        <w:rPr>
          <w:rFonts w:hint="eastAsia" w:ascii="仿宋_GB2312" w:hAnsi="黑体" w:eastAsia="仿宋_GB2312"/>
          <w:sz w:val="32"/>
          <w:szCs w:val="32"/>
        </w:rPr>
        <w:t>建设信息化自然资源监测设施，构建天空地一体化监管平台，优化森林、湿地、水源地等重点生态保护地域的监测站网布设，建立生态破坏活动监测预警机制，形成布局合理、功能完善的生态监测网络，响应兴国“北部绿色生态休闲带”规划目标。积极推动生态环境数据采集与共享，依托“数治兴国”时空信息一张图项目，统筹管理全域全要素资源，整合地理信息数据与空间规划数据，建设全县统一的生态环境质量、污染源、生态保护、核与辐射安全、政务管理等基础数据库，实现全县各级生态环境数据互联互通和开放共享。推动工业及医疗危险废物的全过程监管与数字化处理，打造本地危废回收产业链，建立环境管理部门动态监管机制，提升企业危险废物处置水平。</w:t>
      </w:r>
    </w:p>
    <w:tbl>
      <w:tblPr>
        <w:tblStyle w:val="18"/>
        <w:tblW w:w="85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0"/>
      </w:tblGrid>
      <w:tr w14:paraId="68EF2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0" w:type="dxa"/>
            <w:tcBorders>
              <w:top w:val="single" w:color="auto" w:sz="4" w:space="0"/>
              <w:left w:val="single" w:color="auto" w:sz="4" w:space="0"/>
              <w:bottom w:val="single" w:color="auto" w:sz="4" w:space="0"/>
              <w:right w:val="single" w:color="auto" w:sz="4" w:space="0"/>
            </w:tcBorders>
          </w:tcPr>
          <w:p w14:paraId="43B13C74">
            <w:pPr>
              <w:widowControl/>
              <w:jc w:val="center"/>
              <w:textAlignment w:val="center"/>
              <w:rPr>
                <w:rFonts w:ascii="楷体_GB2312" w:hAnsi="黑体" w:eastAsia="楷体_GB2312" w:cs="Times New Roman"/>
                <w:b/>
                <w:color w:val="000000"/>
                <w:sz w:val="28"/>
                <w:szCs w:val="28"/>
              </w:rPr>
            </w:pPr>
            <w:r>
              <w:rPr>
                <w:rFonts w:hint="eastAsia" w:ascii="楷体_GB2312" w:hAnsi="黑体" w:eastAsia="楷体_GB2312"/>
                <w:b/>
                <w:color w:val="000000"/>
                <w:sz w:val="28"/>
                <w:szCs w:val="32"/>
                <w:lang w:bidi="ar"/>
              </w:rPr>
              <w:t>专栏</w:t>
            </w:r>
            <w:r>
              <w:rPr>
                <w:rFonts w:ascii="楷体_GB2312" w:hAnsi="黑体" w:eastAsia="楷体_GB2312"/>
                <w:b/>
                <w:color w:val="000000"/>
                <w:sz w:val="28"/>
                <w:szCs w:val="32"/>
                <w:lang w:bidi="ar"/>
              </w:rPr>
              <w:t>1</w:t>
            </w:r>
            <w:r>
              <w:rPr>
                <w:rFonts w:hint="eastAsia" w:ascii="楷体_GB2312" w:hAnsi="黑体" w:eastAsia="楷体_GB2312"/>
                <w:b/>
                <w:color w:val="000000"/>
                <w:sz w:val="28"/>
                <w:szCs w:val="32"/>
                <w:lang w:val="en-US" w:eastAsia="zh-CN" w:bidi="ar"/>
              </w:rPr>
              <w:t>4</w:t>
            </w:r>
            <w:r>
              <w:rPr>
                <w:rFonts w:hint="eastAsia" w:ascii="楷体_GB2312" w:hAnsi="黑体" w:eastAsia="楷体_GB2312"/>
                <w:b/>
                <w:color w:val="000000"/>
                <w:sz w:val="28"/>
                <w:szCs w:val="32"/>
                <w:lang w:bidi="ar"/>
              </w:rPr>
              <w:t>：数字社会治理场景重点工程</w:t>
            </w:r>
          </w:p>
        </w:tc>
      </w:tr>
      <w:tr w14:paraId="61D91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0" w:type="dxa"/>
            <w:tcBorders>
              <w:top w:val="single" w:color="auto" w:sz="4" w:space="0"/>
              <w:left w:val="single" w:color="auto" w:sz="4" w:space="0"/>
              <w:bottom w:val="single" w:color="auto" w:sz="4" w:space="0"/>
              <w:right w:val="single" w:color="auto" w:sz="4" w:space="0"/>
            </w:tcBorders>
          </w:tcPr>
          <w:p w14:paraId="1D7A5E33">
            <w:pPr>
              <w:ind w:firstLine="594"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28"/>
                <w:szCs w:val="28"/>
              </w:rPr>
              <w:t>“智慧城管”建设项目。</w:t>
            </w:r>
            <w:r>
              <w:rPr>
                <w:rFonts w:hint="eastAsia" w:ascii="仿宋_GB2312" w:hAnsi="仿宋_GB2312" w:eastAsia="仿宋_GB2312" w:cs="仿宋_GB2312"/>
                <w:spacing w:val="8"/>
                <w:sz w:val="28"/>
                <w:szCs w:val="28"/>
              </w:rPr>
              <w:t>运用物联网、大数据、人工智能、GIS等技术手段，以网格化管理为基础，汇聚全县城市管理服务数据资源，配套智能设施、应用体系及基础环境建设，支撑城管进行统筹协调、监督考核、监测感知、分析预警、综合评价等工作。主要建设内容包括城管基础设施、城管应用体系和组织机构体系，城管基础设施建设包括指挥中心配套设备、综合执法配套设备、市政公用配套设备和</w:t>
            </w:r>
            <w:r>
              <w:rPr>
                <w:rFonts w:ascii="仿宋_GB2312" w:hAnsi="仿宋_GB2312" w:eastAsia="仿宋_GB2312" w:cs="仿宋_GB2312"/>
                <w:spacing w:val="8"/>
                <w:sz w:val="28"/>
                <w:szCs w:val="28"/>
              </w:rPr>
              <w:t>AI视频监控系统配套设备；城管应用体系包括统一工作门户、公众服务系统、指挥协调系统、行业应用系统（综合执法系统、市政公用管理系统、市容环卫管理系统）和移动门户；组织机构体系建设包括组织机构管理设计、系统运行人员设置、管理制度建设和考核评价体系。</w:t>
            </w:r>
            <w:r>
              <w:rPr>
                <w:rFonts w:hint="eastAsia" w:ascii="仿宋_GB2312" w:hAnsi="仿宋_GB2312" w:eastAsia="仿宋_GB2312" w:cs="仿宋_GB2312"/>
                <w:spacing w:val="8"/>
                <w:sz w:val="28"/>
                <w:szCs w:val="28"/>
              </w:rPr>
              <w:t>到2025年，基本建成全覆盖、全方位、全自动的城市综合管理体系。到2027年，兴国县城市综合管理全面实现数字化，基本实现现代化，城市数字治理水平达到国内先进城市标准。</w:t>
            </w:r>
          </w:p>
          <w:p w14:paraId="570A5444">
            <w:pPr>
              <w:spacing w:before="101"/>
              <w:ind w:left="6" w:firstLine="594"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28"/>
                <w:szCs w:val="28"/>
              </w:rPr>
              <w:t>城市应急指挥管理系统。</w:t>
            </w:r>
            <w:r>
              <w:rPr>
                <w:rFonts w:hint="eastAsia" w:ascii="仿宋_GB2312" w:hAnsi="仿宋_GB2312" w:eastAsia="仿宋_GB2312" w:cs="仿宋_GB2312"/>
                <w:spacing w:val="8"/>
                <w:sz w:val="28"/>
                <w:szCs w:val="28"/>
              </w:rPr>
              <w:t>将5G技术与城市应急指挥管理处置流程相融合，构建全面覆盖、高效协同的城市应急立体指挥调度系统，以提升县政府和县应急管理局的融合业务能力，整合人员、终端、车辆、摄像头、记录仪等资源，提供一体化的融合通讯方式，支持更加丰富便捷的视频会商功能。应急指挥系统包括应急指挥平台音视频调度功能、会议会商、图上指挥、值班值守、事件追踪、预案管理、辅助决策等。到</w:t>
            </w:r>
            <w:r>
              <w:rPr>
                <w:rFonts w:ascii="仿宋_GB2312" w:hAnsi="仿宋_GB2312" w:eastAsia="仿宋_GB2312" w:cs="仿宋_GB2312"/>
                <w:spacing w:val="8"/>
                <w:sz w:val="28"/>
                <w:szCs w:val="28"/>
              </w:rPr>
              <w:t>2025年</w:t>
            </w:r>
            <w:r>
              <w:rPr>
                <w:rFonts w:hint="eastAsia" w:ascii="仿宋_GB2312" w:hAnsi="仿宋_GB2312" w:eastAsia="仿宋_GB2312" w:cs="仿宋_GB2312"/>
                <w:spacing w:val="8"/>
                <w:sz w:val="28"/>
                <w:szCs w:val="28"/>
              </w:rPr>
              <w:t>，</w:t>
            </w:r>
            <w:r>
              <w:rPr>
                <w:rFonts w:ascii="仿宋_GB2312" w:hAnsi="仿宋_GB2312" w:eastAsia="仿宋_GB2312" w:cs="仿宋_GB2312"/>
                <w:spacing w:val="8"/>
                <w:sz w:val="28"/>
                <w:szCs w:val="28"/>
              </w:rPr>
              <w:t>完成全县统一的城市</w:t>
            </w:r>
            <w:r>
              <w:rPr>
                <w:rFonts w:hint="eastAsia" w:ascii="仿宋_GB2312" w:hAnsi="仿宋_GB2312" w:eastAsia="仿宋_GB2312" w:cs="仿宋_GB2312"/>
                <w:spacing w:val="8"/>
                <w:sz w:val="28"/>
                <w:szCs w:val="28"/>
              </w:rPr>
              <w:t>应急</w:t>
            </w:r>
            <w:r>
              <w:rPr>
                <w:rFonts w:ascii="仿宋_GB2312" w:hAnsi="仿宋_GB2312" w:eastAsia="仿宋_GB2312" w:cs="仿宋_GB2312"/>
                <w:spacing w:val="8"/>
                <w:sz w:val="28"/>
                <w:szCs w:val="28"/>
              </w:rPr>
              <w:t>指挥管理平台建设</w:t>
            </w:r>
            <w:r>
              <w:rPr>
                <w:rFonts w:hint="eastAsia" w:ascii="仿宋_GB2312" w:hAnsi="仿宋_GB2312" w:eastAsia="仿宋_GB2312" w:cs="仿宋_GB2312"/>
                <w:spacing w:val="8"/>
                <w:sz w:val="28"/>
                <w:szCs w:val="28"/>
              </w:rPr>
              <w:t>，广泛应用于城市日常管理、重大活动保障、疫情防控、应急救援等场景。</w:t>
            </w:r>
          </w:p>
          <w:p w14:paraId="472A27F2">
            <w:pPr>
              <w:spacing w:before="101"/>
              <w:ind w:left="6" w:firstLine="594"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28"/>
                <w:szCs w:val="28"/>
              </w:rPr>
              <w:t>智慧交通。</w:t>
            </w:r>
            <w:r>
              <w:rPr>
                <w:rFonts w:hint="eastAsia" w:ascii="仿宋_GB2312" w:hAnsi="仿宋_GB2312" w:eastAsia="仿宋_GB2312" w:cs="仿宋_GB2312"/>
                <w:spacing w:val="8"/>
                <w:sz w:val="28"/>
                <w:szCs w:val="28"/>
              </w:rPr>
              <w:t>应用现代信息技术开展智慧交通体系建设，构建区域融合、城乡协同的智慧交通发展格局。完善出行信息服务和联网售票服务等功能，实现二级以上客运站视频联网监控全覆盖，统筹推进智慧交通城市大脑和交通大数据中心建设，加快交通视图库系统与公共交通行业管理信息系统建设。到2025年，完成重点区域内交通道路设备智能化升级。到2027年，对全行业营运车辆统一安装北斗卫星定位装置，达成车辆可联网可共享实时动态数据，全县实现客运智能化（</w:t>
            </w:r>
            <w:r>
              <w:rPr>
                <w:rFonts w:ascii="仿宋_GB2312" w:hAnsi="仿宋_GB2312" w:eastAsia="仿宋_GB2312" w:cs="仿宋_GB2312"/>
                <w:spacing w:val="8"/>
                <w:sz w:val="28"/>
                <w:szCs w:val="28"/>
              </w:rPr>
              <w:t>Mass）定制服务</w:t>
            </w:r>
            <w:r>
              <w:rPr>
                <w:rFonts w:hint="eastAsia" w:ascii="仿宋_GB2312" w:hAnsi="仿宋_GB2312" w:eastAsia="仿宋_GB2312" w:cs="仿宋_GB2312"/>
                <w:spacing w:val="8"/>
                <w:sz w:val="28"/>
                <w:szCs w:val="28"/>
              </w:rPr>
              <w:t>。</w:t>
            </w:r>
          </w:p>
          <w:p w14:paraId="0B6DBCD3">
            <w:pPr>
              <w:ind w:firstLine="594"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28"/>
                <w:szCs w:val="28"/>
              </w:rPr>
              <w:t>时空信息一张图。</w:t>
            </w:r>
            <w:r>
              <w:rPr>
                <w:rFonts w:hint="eastAsia" w:ascii="仿宋_GB2312" w:hAnsi="仿宋_GB2312" w:eastAsia="仿宋_GB2312" w:cs="仿宋_GB2312"/>
                <w:spacing w:val="8"/>
                <w:sz w:val="28"/>
                <w:szCs w:val="28"/>
              </w:rPr>
              <w:t>统筹建设“时空信息一张图”，为城管、应急、综治、生态环境、市场监管等部门提供快速、多元的二三维地理信息服务。具体包括数据层建设基础地理空间信息数据库，支撑层打造地理信息公共服务平台、基础地理信息数据库管理系统、空间服务引擎，为已建立的各类</w:t>
            </w:r>
            <w:r>
              <w:rPr>
                <w:rFonts w:ascii="仿宋_GB2312" w:hAnsi="仿宋_GB2312" w:eastAsia="仿宋_GB2312" w:cs="仿宋_GB2312"/>
                <w:spacing w:val="8"/>
                <w:sz w:val="28"/>
                <w:szCs w:val="28"/>
              </w:rPr>
              <w:t>GIS系统提供空间数据交换下载服务，为业务管理信息系统提供专题地图在线可视化服务，为地理表格数据提供专题图层生成服务。</w:t>
            </w:r>
          </w:p>
          <w:p w14:paraId="2D144620">
            <w:pPr>
              <w:ind w:firstLine="594"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28"/>
                <w:szCs w:val="28"/>
              </w:rPr>
              <w:t>农村人居环境整治。</w:t>
            </w:r>
            <w:r>
              <w:rPr>
                <w:rFonts w:hint="eastAsia" w:ascii="仿宋_GB2312" w:hAnsi="仿宋_GB2312" w:eastAsia="仿宋_GB2312" w:cs="仿宋_GB2312"/>
                <w:spacing w:val="8"/>
                <w:sz w:val="28"/>
                <w:szCs w:val="28"/>
              </w:rPr>
              <w:t>加快推进农村生活垃圾源头分类减量与利用，积极新建环保型焚烧炉、压缩式垃圾中转站，加强农村卫生厕所改厕质量监管与粪污无害化处理，改造提升农村道路污水管网，加强生活污水源头减量和尾水回收利用工作，逐步消除农村黑臭水体。到2025年，建设完成埠头乡垃圾综合利用处理厂项目，村容村貌整体治理水平提升，生活垃圾无害化处理的行政村比例达</w:t>
            </w:r>
            <w:r>
              <w:rPr>
                <w:rFonts w:ascii="仿宋_GB2312" w:hAnsi="仿宋_GB2312" w:eastAsia="仿宋_GB2312" w:cs="仿宋_GB2312"/>
                <w:spacing w:val="8"/>
                <w:sz w:val="28"/>
                <w:szCs w:val="28"/>
              </w:rPr>
              <w:t>100%</w:t>
            </w:r>
            <w:r>
              <w:rPr>
                <w:rFonts w:hint="eastAsia" w:ascii="仿宋_GB2312" w:hAnsi="仿宋_GB2312" w:eastAsia="仿宋_GB2312" w:cs="仿宋_GB2312"/>
                <w:spacing w:val="8"/>
                <w:sz w:val="28"/>
                <w:szCs w:val="28"/>
              </w:rPr>
              <w:t>，生活污水资源化利用率达</w:t>
            </w:r>
            <w:r>
              <w:rPr>
                <w:rFonts w:ascii="仿宋_GB2312" w:hAnsi="仿宋_GB2312" w:eastAsia="仿宋_GB2312" w:cs="仿宋_GB2312"/>
                <w:spacing w:val="8"/>
                <w:sz w:val="28"/>
                <w:szCs w:val="28"/>
              </w:rPr>
              <w:t>60%</w:t>
            </w:r>
            <w:r>
              <w:rPr>
                <w:rFonts w:hint="eastAsia" w:ascii="仿宋_GB2312" w:hAnsi="仿宋_GB2312" w:eastAsia="仿宋_GB2312" w:cs="仿宋_GB2312"/>
                <w:spacing w:val="8"/>
                <w:sz w:val="28"/>
                <w:szCs w:val="28"/>
              </w:rPr>
              <w:t>以上。到2027年，建设完成3个以上示范类“美丽乡镇”，达成村庄人居环境长效管护，实现人与自然和谐共生的愿景。</w:t>
            </w:r>
          </w:p>
          <w:p w14:paraId="03DB8156">
            <w:pPr>
              <w:ind w:firstLine="594"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28"/>
                <w:szCs w:val="28"/>
              </w:rPr>
              <w:t>智慧农路云平台。</w:t>
            </w:r>
            <w:r>
              <w:rPr>
                <w:rFonts w:hint="eastAsia" w:ascii="仿宋_GB2312" w:hAnsi="仿宋_GB2312" w:eastAsia="仿宋_GB2312" w:cs="仿宋_GB2312"/>
                <w:spacing w:val="8"/>
                <w:sz w:val="28"/>
                <w:szCs w:val="28"/>
              </w:rPr>
              <w:t>集成农村路网基础数据及道路、桥梁、隧道、涵洞、交通设施等基本要素，围绕农路建设、管理、养护、运营等进行全生命周期管理、分析与决策，覆盖市、县、镇、村四级，构建县、乡、村三级“路长制”管理模式，实现农路高质量建设、精细化管理、专业化养护、高水平运营。到2</w:t>
            </w:r>
            <w:r>
              <w:rPr>
                <w:rFonts w:ascii="仿宋_GB2312" w:hAnsi="仿宋_GB2312" w:eastAsia="仿宋_GB2312" w:cs="仿宋_GB2312"/>
                <w:spacing w:val="8"/>
                <w:sz w:val="28"/>
                <w:szCs w:val="28"/>
              </w:rPr>
              <w:t>027</w:t>
            </w:r>
            <w:r>
              <w:rPr>
                <w:rFonts w:hint="eastAsia" w:ascii="仿宋_GB2312" w:hAnsi="仿宋_GB2312" w:eastAsia="仿宋_GB2312" w:cs="仿宋_GB2312"/>
                <w:spacing w:val="8"/>
                <w:sz w:val="28"/>
                <w:szCs w:val="28"/>
              </w:rPr>
              <w:t>年，完成县道、乡道1</w:t>
            </w:r>
            <w:r>
              <w:rPr>
                <w:rFonts w:ascii="仿宋_GB2312" w:hAnsi="仿宋_GB2312" w:eastAsia="仿宋_GB2312" w:cs="仿宋_GB2312"/>
                <w:spacing w:val="8"/>
                <w:sz w:val="28"/>
                <w:szCs w:val="28"/>
              </w:rPr>
              <w:t>00%</w:t>
            </w:r>
            <w:r>
              <w:rPr>
                <w:rFonts w:hint="eastAsia" w:ascii="仿宋_GB2312" w:hAnsi="仿宋_GB2312" w:eastAsia="仿宋_GB2312" w:cs="仿宋_GB2312"/>
                <w:spacing w:val="8"/>
                <w:sz w:val="28"/>
                <w:szCs w:val="28"/>
              </w:rPr>
              <w:t>全面改造升级工程，并进一步向偏远村道延伸。</w:t>
            </w:r>
          </w:p>
          <w:p w14:paraId="4F063BA2">
            <w:pPr>
              <w:ind w:firstLine="594"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28"/>
                <w:szCs w:val="28"/>
              </w:rPr>
              <w:t>农村数字素养学习平台</w:t>
            </w:r>
            <w:r>
              <w:rPr>
                <w:rFonts w:hint="eastAsia" w:ascii="仿宋_GB2312" w:hAnsi="仿宋_GB2312" w:eastAsia="仿宋_GB2312" w:cs="仿宋_GB2312"/>
                <w:spacing w:val="8"/>
                <w:sz w:val="28"/>
                <w:szCs w:val="28"/>
              </w:rPr>
              <w:t>。建立智能化设计、个性化推荐的数字素养培育系统，包含数字素养水平测评、农业数字化技术课程等功能，为广大农民群体与农村干部提供线上培训服务。到2025年，初步培育起一支专业技能强且能熟练运用数字化终端设备的新型职业农民队伍。到2027年，力争弥合城乡数字鸿沟，将城乡居民数字素养水平差距缩小至10%以内，鼓励城镇青年投身乡村数字化建设。</w:t>
            </w:r>
          </w:p>
          <w:p w14:paraId="7A863950">
            <w:pPr>
              <w:ind w:firstLine="594" w:firstLineChars="200"/>
            </w:pPr>
            <w:r>
              <w:rPr>
                <w:rFonts w:hint="eastAsia" w:ascii="仿宋_GB2312" w:hAnsi="仿宋_GB2312" w:eastAsia="仿宋_GB2312" w:cs="仿宋_GB2312"/>
                <w:b/>
                <w:bCs/>
                <w:spacing w:val="8"/>
                <w:sz w:val="28"/>
                <w:szCs w:val="28"/>
              </w:rPr>
              <w:t>生态环境信息监测平台</w:t>
            </w:r>
            <w:r>
              <w:rPr>
                <w:rFonts w:hint="eastAsia" w:ascii="仿宋_GB2312" w:hAnsi="仿宋_GB2312" w:eastAsia="仿宋_GB2312" w:cs="仿宋_GB2312"/>
                <w:spacing w:val="8"/>
                <w:sz w:val="28"/>
                <w:szCs w:val="28"/>
              </w:rPr>
              <w:t>。整合全县生态环境资源，开展基于用户权限的“一张图”门户建设，打造可快速监测全县生态环境情况的数据共享平台，为自然资源开发、排污监督与环保执法提供数字化服务。到2025年底，全面掌握各级各类自然保护地管理和保护成效情况。到2027年，初步建立生态环境治理体系和治理能力现代化基础。</w:t>
            </w:r>
          </w:p>
        </w:tc>
      </w:tr>
    </w:tbl>
    <w:p w14:paraId="4ACFA8ED">
      <w:pPr>
        <w:widowControl/>
        <w:shd w:val="clear" w:color="auto" w:fill="FFFFFF"/>
        <w:spacing w:line="520" w:lineRule="atLeast"/>
        <w:ind w:firstLine="617"/>
        <w:jc w:val="left"/>
        <w:outlineLvl w:val="1"/>
        <w:rPr>
          <w:rFonts w:ascii="楷体" w:hAnsi="楷体" w:eastAsia="楷体" w:cs="宋体"/>
          <w:b/>
          <w:bCs/>
          <w:color w:val="333333"/>
          <w:kern w:val="0"/>
          <w:sz w:val="32"/>
          <w:szCs w:val="32"/>
        </w:rPr>
      </w:pPr>
      <w:bookmarkStart w:id="175" w:name="_Toc147740957"/>
      <w:bookmarkStart w:id="176" w:name="_Toc12617"/>
      <w:bookmarkStart w:id="177" w:name="_Toc15020"/>
      <w:bookmarkStart w:id="178" w:name="_Toc142986347"/>
      <w:bookmarkStart w:id="179" w:name="_Toc1169"/>
      <w:bookmarkStart w:id="180" w:name="_Toc21787"/>
      <w:r>
        <w:rPr>
          <w:rFonts w:hint="eastAsia" w:ascii="楷体" w:hAnsi="楷体" w:eastAsia="楷体" w:cs="宋体"/>
          <w:b/>
          <w:bCs/>
          <w:color w:val="333333"/>
          <w:kern w:val="0"/>
          <w:sz w:val="32"/>
          <w:szCs w:val="32"/>
        </w:rPr>
        <w:t>（三）构筑数字化安全保障体系</w:t>
      </w:r>
      <w:bookmarkEnd w:id="175"/>
      <w:bookmarkEnd w:id="176"/>
      <w:bookmarkEnd w:id="177"/>
      <w:bookmarkEnd w:id="178"/>
      <w:bookmarkEnd w:id="179"/>
      <w:bookmarkEnd w:id="180"/>
    </w:p>
    <w:p w14:paraId="5C86C494">
      <w:pPr>
        <w:ind w:firstLine="643" w:firstLineChars="200"/>
        <w:rPr>
          <w:rFonts w:ascii="仿宋_GB2312" w:hAnsi="黑体" w:eastAsia="仿宋_GB2312"/>
          <w:sz w:val="32"/>
          <w:szCs w:val="32"/>
        </w:rPr>
      </w:pPr>
      <w:r>
        <w:rPr>
          <w:rFonts w:hint="eastAsia" w:ascii="仿宋_GB2312" w:hAnsi="黑体" w:eastAsia="仿宋_GB2312"/>
          <w:b/>
          <w:bCs/>
          <w:sz w:val="32"/>
          <w:szCs w:val="32"/>
        </w:rPr>
        <w:t>夯实公共安全保障基础。</w:t>
      </w:r>
      <w:r>
        <w:rPr>
          <w:rFonts w:hint="eastAsia" w:ascii="仿宋_GB2312" w:hAnsi="黑体" w:eastAsia="仿宋_GB2312"/>
          <w:sz w:val="32"/>
          <w:szCs w:val="32"/>
        </w:rPr>
        <w:t>提升警卫安保科技水平，完善现场资料采集无人机、车载基站信号及人脸录入、实时图传装置等警务应用设施配备，实现活动安全管理的智能化与现代化。加强公共区域监控能力，持续加大对县城及农村“雪亮工程”、智慧安防小区、</w:t>
      </w:r>
      <w:r>
        <w:rPr>
          <w:rFonts w:hint="eastAsia" w:ascii="仿宋_GB2312" w:hAnsi="黑体" w:eastAsia="仿宋_GB2312"/>
          <w:color w:val="000000" w:themeColor="text1"/>
          <w:sz w:val="32"/>
          <w:szCs w:val="32"/>
          <w14:textFill>
            <w14:solidFill>
              <w14:schemeClr w14:val="tx1"/>
            </w14:solidFill>
          </w14:textFill>
        </w:rPr>
        <w:t>村级综治视联网</w:t>
      </w:r>
      <w:r>
        <w:rPr>
          <w:rFonts w:hint="eastAsia" w:ascii="仿宋_GB2312" w:hAnsi="黑体" w:eastAsia="仿宋_GB2312"/>
          <w:sz w:val="32"/>
          <w:szCs w:val="32"/>
        </w:rPr>
        <w:t>的智能化建设，合理布局县域视频监控点位，推动前端监控点查缺补漏与后端平台提档升级。提高公安指挥调度能力，完善</w:t>
      </w:r>
      <w:r>
        <w:rPr>
          <w:rFonts w:ascii="仿宋_GB2312" w:hAnsi="黑体" w:eastAsia="仿宋_GB2312"/>
          <w:sz w:val="32"/>
          <w:szCs w:val="32"/>
        </w:rPr>
        <w:t>350MPDT系统建设</w:t>
      </w:r>
      <w:r>
        <w:rPr>
          <w:rFonts w:hint="eastAsia" w:ascii="仿宋_GB2312" w:hAnsi="黑体" w:eastAsia="仿宋_GB2312"/>
          <w:sz w:val="32"/>
          <w:szCs w:val="32"/>
        </w:rPr>
        <w:t>，依托“三台合一”接处警系统、智慧指挥调度系统等管理平台，建立健全公共安全预警体系，打造兴国“智慧安防圈”，切实增强人民群众安全感。</w:t>
      </w:r>
    </w:p>
    <w:p w14:paraId="12E1B734">
      <w:pPr>
        <w:ind w:firstLine="643" w:firstLineChars="200"/>
        <w:rPr>
          <w:rFonts w:ascii="仿宋_GB2312" w:hAnsi="黑体" w:eastAsia="仿宋_GB2312"/>
          <w:sz w:val="32"/>
          <w:szCs w:val="32"/>
        </w:rPr>
      </w:pPr>
      <w:r>
        <w:rPr>
          <w:rFonts w:hint="eastAsia" w:ascii="仿宋_GB2312" w:hAnsi="黑体" w:eastAsia="仿宋_GB2312"/>
          <w:b/>
          <w:bCs/>
          <w:sz w:val="32"/>
          <w:szCs w:val="32"/>
        </w:rPr>
        <w:t>强化网络安全保障能力。</w:t>
      </w:r>
      <w:r>
        <w:rPr>
          <w:rFonts w:hint="eastAsia" w:ascii="仿宋_GB2312" w:hAnsi="黑体" w:eastAsia="仿宋_GB2312"/>
          <w:sz w:val="32"/>
          <w:szCs w:val="32"/>
        </w:rPr>
        <w:t>建立网络安全相关地方法规，全面贯彻落实《中华人民共和国网络安全法》，筑牢等级保护、应急管理、密码应用等各类网络安全管理制度。提升网络安全防范能力，定期开展网络安全检查，组织网络安全事件应急演练，加强云计算、大数据、物联网、工业互联网、人工智能等新领域风险防范。完善兴国县网络应急指挥中心建设，优化指挥中心舆情监测、应急处置、安全预警等功能，净化网络空间，开展网络领域常态化扫黑除恶。</w:t>
      </w:r>
    </w:p>
    <w:p w14:paraId="5D293C2D">
      <w:pPr>
        <w:ind w:firstLine="643" w:firstLineChars="200"/>
        <w:rPr>
          <w:rFonts w:ascii="仿宋_GB2312" w:hAnsi="黑体" w:eastAsia="仿宋_GB2312"/>
          <w:sz w:val="32"/>
          <w:szCs w:val="32"/>
        </w:rPr>
      </w:pPr>
      <w:r>
        <w:rPr>
          <w:rFonts w:hint="eastAsia" w:ascii="仿宋_GB2312" w:hAnsi="黑体" w:eastAsia="仿宋_GB2312"/>
          <w:b/>
          <w:bCs/>
          <w:sz w:val="32"/>
          <w:szCs w:val="32"/>
        </w:rPr>
        <w:t>健全数据安全保障体系。</w:t>
      </w:r>
      <w:r>
        <w:rPr>
          <w:rFonts w:hint="eastAsia" w:ascii="仿宋_GB2312" w:hAnsi="黑体" w:eastAsia="仿宋_GB2312"/>
          <w:sz w:val="32"/>
          <w:szCs w:val="32"/>
        </w:rPr>
        <w:t>构建数据安全管理制度，贯彻落实《中华人民共和国数据安全法》《江西省公共数据管理办法》，制定兴国县数据安全管理办法。落实重点领域数据安全保护责任，开展重点行业数据安全监督检查，督促涉及关键性基础信息系统的重点单位进行信息安全等级保护，加强对涉及国家利益、公共安全、商业秘密、个人隐私等重要信息的保护。发展本地数据安全产业，大力培育和引进一批数据安全服务商，引导兴国本地企业数字化平台应用数据安全保护技术，提升安全保障水平。</w:t>
      </w:r>
    </w:p>
    <w:tbl>
      <w:tblPr>
        <w:tblStyle w:val="18"/>
        <w:tblW w:w="85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0"/>
      </w:tblGrid>
      <w:tr w14:paraId="55D94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0" w:type="dxa"/>
            <w:tcBorders>
              <w:top w:val="single" w:color="auto" w:sz="4" w:space="0"/>
              <w:left w:val="single" w:color="auto" w:sz="4" w:space="0"/>
              <w:bottom w:val="single" w:color="auto" w:sz="4" w:space="0"/>
              <w:right w:val="single" w:color="auto" w:sz="4" w:space="0"/>
            </w:tcBorders>
          </w:tcPr>
          <w:p w14:paraId="2CEB26A1">
            <w:pPr>
              <w:widowControl/>
              <w:jc w:val="center"/>
              <w:textAlignment w:val="center"/>
              <w:rPr>
                <w:rFonts w:ascii="楷体_GB2312" w:hAnsi="黑体" w:eastAsia="楷体_GB2312" w:cs="Times New Roman"/>
                <w:b/>
                <w:color w:val="000000"/>
                <w:sz w:val="28"/>
                <w:szCs w:val="28"/>
              </w:rPr>
            </w:pPr>
            <w:r>
              <w:rPr>
                <w:rFonts w:hint="eastAsia" w:ascii="楷体_GB2312" w:hAnsi="黑体" w:eastAsia="楷体_GB2312"/>
                <w:b/>
                <w:color w:val="000000"/>
                <w:sz w:val="28"/>
                <w:szCs w:val="32"/>
                <w:lang w:bidi="ar"/>
              </w:rPr>
              <w:t>专栏</w:t>
            </w:r>
            <w:r>
              <w:rPr>
                <w:rFonts w:ascii="楷体_GB2312" w:hAnsi="黑体" w:eastAsia="楷体_GB2312"/>
                <w:b/>
                <w:color w:val="000000"/>
                <w:sz w:val="28"/>
                <w:szCs w:val="32"/>
                <w:lang w:bidi="ar"/>
              </w:rPr>
              <w:t>1</w:t>
            </w:r>
            <w:r>
              <w:rPr>
                <w:rFonts w:hint="eastAsia" w:ascii="楷体_GB2312" w:hAnsi="黑体" w:eastAsia="楷体_GB2312"/>
                <w:b/>
                <w:color w:val="000000"/>
                <w:sz w:val="28"/>
                <w:szCs w:val="32"/>
                <w:lang w:val="en-US" w:eastAsia="zh-CN" w:bidi="ar"/>
              </w:rPr>
              <w:t>5</w:t>
            </w:r>
            <w:r>
              <w:rPr>
                <w:rFonts w:hint="eastAsia" w:ascii="楷体_GB2312" w:hAnsi="黑体" w:eastAsia="楷体_GB2312"/>
                <w:b/>
                <w:color w:val="000000"/>
                <w:sz w:val="28"/>
                <w:szCs w:val="32"/>
                <w:lang w:bidi="ar"/>
              </w:rPr>
              <w:t>：数字化安全保障体系重点工程</w:t>
            </w:r>
          </w:p>
        </w:tc>
      </w:tr>
      <w:tr w14:paraId="093F5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0" w:type="dxa"/>
            <w:tcBorders>
              <w:top w:val="single" w:color="auto" w:sz="4" w:space="0"/>
              <w:left w:val="single" w:color="auto" w:sz="4" w:space="0"/>
              <w:bottom w:val="single" w:color="auto" w:sz="4" w:space="0"/>
              <w:right w:val="single" w:color="auto" w:sz="4" w:space="0"/>
            </w:tcBorders>
          </w:tcPr>
          <w:p w14:paraId="2D6CA183">
            <w:pPr>
              <w:ind w:firstLine="594"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28"/>
                <w:szCs w:val="28"/>
              </w:rPr>
              <w:t>“平安兴国”安防智治平台</w:t>
            </w:r>
            <w:r>
              <w:rPr>
                <w:rFonts w:hint="eastAsia" w:ascii="仿宋_GB2312" w:hAnsi="仿宋_GB2312" w:eastAsia="仿宋_GB2312" w:cs="仿宋_GB2312"/>
                <w:spacing w:val="8"/>
                <w:sz w:val="28"/>
                <w:szCs w:val="28"/>
              </w:rPr>
              <w:t>。利用大数据技术及信息化手段整合现有综治信息系统、“雪亮工程”</w:t>
            </w:r>
            <w:r>
              <w:rPr>
                <w:rFonts w:hint="eastAsia" w:ascii="仿宋_GB2312" w:hAnsi="仿宋_GB2312" w:eastAsia="仿宋_GB2312" w:cs="仿宋_GB2312"/>
                <w:color w:val="000000" w:themeColor="text1"/>
                <w:spacing w:val="8"/>
                <w:sz w:val="28"/>
                <w:szCs w:val="28"/>
                <w14:textFill>
                  <w14:solidFill>
                    <w14:schemeClr w14:val="tx1"/>
                  </w14:solidFill>
                </w14:textFill>
              </w:rPr>
              <w:t>、智慧安防小区、村级综治视联网、智慧护路等</w:t>
            </w:r>
            <w:r>
              <w:rPr>
                <w:rFonts w:hint="eastAsia" w:ascii="仿宋_GB2312" w:hAnsi="仿宋_GB2312" w:eastAsia="仿宋_GB2312" w:cs="仿宋_GB2312"/>
                <w:spacing w:val="8"/>
                <w:sz w:val="28"/>
                <w:szCs w:val="28"/>
              </w:rPr>
              <w:t>工程平台及公检法各业务系统的数据资源，实现全县政法体系数据开放共享，推动各业务部门联合治理，</w:t>
            </w:r>
            <w:r>
              <w:rPr>
                <w:rFonts w:hint="eastAsia" w:ascii="仿宋_GB2312" w:hAnsi="仿宋_GB2312" w:eastAsia="仿宋_GB2312" w:cs="仿宋_GB2312"/>
                <w:color w:val="000000" w:themeColor="text1"/>
                <w:spacing w:val="8"/>
                <w:sz w:val="28"/>
                <w:szCs w:val="28"/>
                <w14:textFill>
                  <w14:solidFill>
                    <w14:schemeClr w14:val="tx1"/>
                  </w14:solidFill>
                </w14:textFill>
              </w:rPr>
              <w:t>全面实现“纵向贯通、横向互联、共享共用、安全可靠”和“全域覆盖、全网共享、全时可用、全程可控”的目标，</w:t>
            </w:r>
            <w:r>
              <w:rPr>
                <w:rFonts w:hint="eastAsia" w:ascii="仿宋_GB2312" w:hAnsi="仿宋_GB2312" w:eastAsia="仿宋_GB2312" w:cs="仿宋_GB2312"/>
                <w:spacing w:val="8"/>
                <w:sz w:val="28"/>
                <w:szCs w:val="28"/>
              </w:rPr>
              <w:t>打造“平安兴国”一体化智慧治安防控体系。到2025年，实现政府单位、公共场所、居民小区等重点区域公共安全动态视频监控100%全覆盖。到2027年，全县数字化公共安全治理能力全面跃升，县级公检法各职能部门信息共享率100%。</w:t>
            </w:r>
          </w:p>
          <w:p w14:paraId="5F48EBDA">
            <w:pPr>
              <w:ind w:firstLine="594" w:firstLineChars="200"/>
              <w:rPr>
                <w:rFonts w:ascii="仿宋_GB2312" w:hAnsi="仿宋_GB2312" w:eastAsia="仿宋_GB2312" w:cs="仿宋_GB2312"/>
                <w:spacing w:val="8"/>
                <w:sz w:val="28"/>
                <w:szCs w:val="28"/>
              </w:rPr>
            </w:pPr>
            <w:r>
              <w:rPr>
                <w:rFonts w:hint="eastAsia" w:ascii="仿宋_GB2312" w:hAnsi="仿宋_GB2312" w:eastAsia="仿宋_GB2312" w:cs="仿宋_GB2312"/>
                <w:b/>
                <w:bCs/>
                <w:spacing w:val="8"/>
                <w:sz w:val="28"/>
                <w:szCs w:val="28"/>
              </w:rPr>
              <w:t>互联网专线安全服务。</w:t>
            </w:r>
            <w:r>
              <w:rPr>
                <w:rFonts w:hint="eastAsia" w:ascii="仿宋_GB2312" w:hAnsi="仿宋_GB2312" w:eastAsia="仿宋_GB2312" w:cs="仿宋_GB2312"/>
                <w:spacing w:val="8"/>
                <w:sz w:val="28"/>
                <w:szCs w:val="28"/>
              </w:rPr>
              <w:t>针对各领域网络安全防护需求，提供高危漏洞智能分析、深度联防、协调防御、安全态势预测、多维度监控预警、多终端一键防护等互联网一站式安全服务。到2025年，实现常态化网络安全检查及网络安全事件应急演练，建立网络漏洞预防机制，网络安全保障能力进一步增强。到2027年，形成网信、工信、公安等多部门联合共建的网络安全防线。</w:t>
            </w:r>
          </w:p>
          <w:p w14:paraId="045FFBA6">
            <w:pPr>
              <w:ind w:firstLine="594" w:firstLineChars="200"/>
              <w:rPr>
                <w:rFonts w:ascii="仿宋_GB2312" w:hAnsi="Times New Roman" w:eastAsia="仿宋_GB2312" w:cs="Times New Roman"/>
                <w:color w:val="000000"/>
                <w:sz w:val="24"/>
                <w:szCs w:val="24"/>
              </w:rPr>
            </w:pPr>
            <w:r>
              <w:rPr>
                <w:rFonts w:hint="eastAsia" w:ascii="仿宋_GB2312" w:hAnsi="仿宋_GB2312" w:eastAsia="仿宋_GB2312" w:cs="仿宋_GB2312"/>
                <w:b/>
                <w:bCs/>
                <w:spacing w:val="8"/>
                <w:sz w:val="28"/>
                <w:szCs w:val="28"/>
              </w:rPr>
              <w:t>公共数据保护与分类分级。</w:t>
            </w:r>
            <w:r>
              <w:rPr>
                <w:rFonts w:hint="eastAsia" w:ascii="仿宋_GB2312" w:hAnsi="仿宋_GB2312" w:eastAsia="仿宋_GB2312" w:cs="仿宋_GB2312"/>
                <w:spacing w:val="8"/>
                <w:sz w:val="28"/>
                <w:szCs w:val="28"/>
              </w:rPr>
              <w:t>建立兴国县公共数据目录清单，分部门、分层级、分区域建立数据加密制度，制度公共数据分类分级管理办法，规范数据采集标准，推动政府部门与企事业单位在涉密保护的前提下共享数据。到2025年，围绕数据分类、数据安全、数据共享全面建立起兴国县大数据标准化管理体系。到2027年，实现本地大数据全产业链培育成型，力争打造全省领先的数据产业基地。</w:t>
            </w:r>
          </w:p>
        </w:tc>
      </w:tr>
    </w:tbl>
    <w:p w14:paraId="6042BBA8">
      <w:pPr>
        <w:rPr>
          <w:rFonts w:ascii="仿宋_GB2312" w:hAnsi="黑体" w:eastAsia="仿宋_GB2312"/>
          <w:sz w:val="32"/>
          <w:szCs w:val="32"/>
        </w:rPr>
      </w:pPr>
    </w:p>
    <w:p w14:paraId="0A4FE8D9">
      <w:pPr>
        <w:pStyle w:val="24"/>
        <w:numPr>
          <w:ilvl w:val="0"/>
          <w:numId w:val="1"/>
        </w:numPr>
        <w:ind w:firstLineChars="0"/>
        <w:outlineLvl w:val="0"/>
        <w:rPr>
          <w:rFonts w:ascii="黑体" w:hAnsi="黑体" w:eastAsia="黑体"/>
          <w:sz w:val="32"/>
          <w:szCs w:val="32"/>
        </w:rPr>
      </w:pPr>
      <w:bookmarkStart w:id="181" w:name="_Toc147740958"/>
      <w:bookmarkStart w:id="182" w:name="_Toc142986348"/>
      <w:bookmarkStart w:id="183" w:name="_Toc11750"/>
      <w:bookmarkStart w:id="184" w:name="_Toc31472"/>
      <w:bookmarkStart w:id="185" w:name="_Toc13428"/>
      <w:bookmarkStart w:id="186" w:name="_Toc20769"/>
      <w:r>
        <w:rPr>
          <w:rFonts w:hint="eastAsia" w:ascii="黑体" w:hAnsi="黑体" w:eastAsia="黑体"/>
          <w:sz w:val="32"/>
          <w:szCs w:val="32"/>
        </w:rPr>
        <w:t>保障措施</w:t>
      </w:r>
      <w:bookmarkEnd w:id="181"/>
      <w:bookmarkEnd w:id="182"/>
      <w:bookmarkEnd w:id="183"/>
      <w:bookmarkEnd w:id="184"/>
      <w:bookmarkEnd w:id="185"/>
      <w:bookmarkEnd w:id="186"/>
    </w:p>
    <w:p w14:paraId="5A771837">
      <w:pPr>
        <w:spacing w:line="560" w:lineRule="exact"/>
        <w:ind w:firstLine="643" w:firstLineChars="200"/>
        <w:rPr>
          <w:rFonts w:ascii="仿宋_GB2312" w:hAnsi="仿宋_GB2312" w:eastAsia="仿宋_GB2312" w:cs="仿宋_GB2312"/>
          <w:color w:val="000000"/>
          <w:sz w:val="32"/>
        </w:rPr>
      </w:pPr>
      <w:bookmarkStart w:id="187" w:name="_Toc115191792"/>
      <w:bookmarkStart w:id="188" w:name="_Toc127172248"/>
      <w:bookmarkStart w:id="189" w:name="_Toc1330724832"/>
      <w:r>
        <w:rPr>
          <w:rFonts w:hint="eastAsia" w:ascii="仿宋_GB2312" w:hAnsi="仿宋_GB2312" w:eastAsia="仿宋_GB2312" w:cs="仿宋_GB2312"/>
          <w:b/>
          <w:bCs/>
          <w:sz w:val="32"/>
          <w:szCs w:val="40"/>
        </w:rPr>
        <w:t>（一）</w:t>
      </w:r>
      <w:r>
        <w:rPr>
          <w:rFonts w:ascii="仿宋_GB2312" w:hAnsi="仿宋_GB2312" w:eastAsia="仿宋_GB2312" w:cs="仿宋_GB2312"/>
          <w:b/>
          <w:bCs/>
          <w:sz w:val="32"/>
          <w:szCs w:val="40"/>
        </w:rPr>
        <w:t>加强</w:t>
      </w:r>
      <w:r>
        <w:rPr>
          <w:rFonts w:ascii="仿宋_GB2312" w:hAnsi="仿宋_GB2312" w:eastAsia="仿宋_GB2312" w:cs="仿宋_GB2312"/>
          <w:b/>
          <w:color w:val="000000"/>
          <w:sz w:val="32"/>
        </w:rPr>
        <w:t>组织领导</w:t>
      </w:r>
      <w:bookmarkEnd w:id="187"/>
      <w:bookmarkEnd w:id="188"/>
      <w:bookmarkEnd w:id="189"/>
      <w:r>
        <w:rPr>
          <w:rFonts w:hint="eastAsia" w:ascii="仿宋_GB2312" w:hAnsi="仿宋_GB2312" w:eastAsia="仿宋_GB2312" w:cs="仿宋_GB2312"/>
          <w:color w:val="000000"/>
          <w:sz w:val="32"/>
        </w:rPr>
        <w:t>。</w:t>
      </w:r>
      <w:r>
        <w:rPr>
          <w:rFonts w:hint="eastAsia" w:ascii="仿宋_GB2312" w:hAnsi="仿宋_GB2312" w:eastAsia="仿宋_GB2312" w:cs="仿宋_GB2312"/>
          <w:sz w:val="32"/>
          <w:szCs w:val="40"/>
        </w:rPr>
        <w:t>发挥兴国县发展</w:t>
      </w:r>
      <w:r>
        <w:rPr>
          <w:rFonts w:ascii="仿宋_GB2312" w:hAnsi="仿宋_GB2312" w:eastAsia="仿宋_GB2312" w:cs="仿宋_GB2312"/>
          <w:sz w:val="32"/>
          <w:szCs w:val="40"/>
        </w:rPr>
        <w:t>数字经济领导小组统筹协调作用，加强统筹领导和顶层谋划，做好重大决策、工作部署和监督检查。强化各部门的工作协调和政策联动，形成各部门整合联动、跨界整合、一体高效的工作合力。建立各镇（</w:t>
      </w:r>
      <w:r>
        <w:rPr>
          <w:rFonts w:hint="eastAsia" w:ascii="仿宋_GB2312" w:hAnsi="仿宋_GB2312" w:eastAsia="仿宋_GB2312" w:cs="仿宋_GB2312"/>
          <w:sz w:val="32"/>
          <w:szCs w:val="40"/>
        </w:rPr>
        <w:t>乡、</w:t>
      </w:r>
      <w:r>
        <w:rPr>
          <w:rFonts w:ascii="仿宋_GB2312" w:hAnsi="仿宋_GB2312" w:eastAsia="仿宋_GB2312" w:cs="仿宋_GB2312"/>
          <w:sz w:val="32"/>
          <w:szCs w:val="40"/>
        </w:rPr>
        <w:t>街道）、开发区的协同实施机制，完善考核机制，制定责任清单，做好任务分解，确保</w:t>
      </w:r>
      <w:r>
        <w:rPr>
          <w:rFonts w:hint="eastAsia" w:ascii="仿宋_GB2312" w:hAnsi="仿宋_GB2312" w:eastAsia="仿宋_GB2312" w:cs="仿宋_GB2312"/>
          <w:sz w:val="32"/>
          <w:szCs w:val="40"/>
        </w:rPr>
        <w:t>规划</w:t>
      </w:r>
      <w:r>
        <w:rPr>
          <w:rFonts w:ascii="仿宋_GB2312" w:hAnsi="仿宋_GB2312" w:eastAsia="仿宋_GB2312" w:cs="仿宋_GB2312"/>
          <w:sz w:val="32"/>
          <w:szCs w:val="40"/>
        </w:rPr>
        <w:t>目标全面落实。定期组织举办党政干部数字经济培训班，提升全区领导干部、工作人员数字素养，为合力推进数字经济发展提供组织保障支撑。</w:t>
      </w:r>
    </w:p>
    <w:p w14:paraId="0E2DA1F2">
      <w:pPr>
        <w:spacing w:line="560" w:lineRule="exact"/>
        <w:ind w:firstLine="643" w:firstLineChars="200"/>
        <w:rPr>
          <w:rFonts w:ascii="仿宋_GB2312" w:hAnsi="仿宋_GB2312" w:eastAsia="仿宋_GB2312" w:cs="仿宋_GB2312"/>
          <w:color w:val="000000"/>
          <w:sz w:val="32"/>
        </w:rPr>
      </w:pPr>
      <w:bookmarkStart w:id="190" w:name="_Toc115191793"/>
      <w:bookmarkStart w:id="191" w:name="_Toc127172249"/>
      <w:bookmarkStart w:id="192" w:name="_Toc1597551566"/>
      <w:r>
        <w:rPr>
          <w:rFonts w:hint="eastAsia" w:ascii="仿宋_GB2312" w:hAnsi="仿宋_GB2312" w:eastAsia="仿宋_GB2312" w:cs="仿宋_GB2312"/>
          <w:b/>
          <w:bCs/>
          <w:sz w:val="32"/>
          <w:szCs w:val="40"/>
        </w:rPr>
        <w:t>（二）加大</w:t>
      </w:r>
      <w:r>
        <w:rPr>
          <w:rFonts w:ascii="仿宋_GB2312" w:hAnsi="仿宋_GB2312" w:eastAsia="仿宋_GB2312" w:cs="仿宋_GB2312"/>
          <w:b/>
          <w:bCs/>
          <w:sz w:val="32"/>
          <w:szCs w:val="40"/>
        </w:rPr>
        <w:t>政策支持</w:t>
      </w:r>
      <w:bookmarkEnd w:id="190"/>
      <w:bookmarkEnd w:id="191"/>
      <w:bookmarkEnd w:id="192"/>
      <w:r>
        <w:rPr>
          <w:rFonts w:hint="eastAsia" w:ascii="仿宋_GB2312" w:hAnsi="仿宋_GB2312" w:eastAsia="仿宋_GB2312" w:cs="仿宋_GB2312"/>
          <w:b/>
          <w:bCs/>
          <w:sz w:val="32"/>
          <w:szCs w:val="40"/>
        </w:rPr>
        <w:t>。</w:t>
      </w:r>
      <w:r>
        <w:rPr>
          <w:rFonts w:ascii="仿宋_GB2312" w:hAnsi="仿宋_GB2312" w:eastAsia="仿宋_GB2312" w:cs="仿宋_GB2312"/>
          <w:sz w:val="32"/>
          <w:szCs w:val="40"/>
        </w:rPr>
        <w:t>加大财政资金对数字经济发展扶持力度，积极争取国家产业投资基金、政策性银行等专项资金</w:t>
      </w:r>
      <w:r>
        <w:rPr>
          <w:rFonts w:hint="eastAsia" w:ascii="仿宋_GB2312" w:hAnsi="仿宋_GB2312" w:eastAsia="仿宋_GB2312" w:cs="仿宋_GB2312"/>
          <w:sz w:val="32"/>
          <w:szCs w:val="40"/>
        </w:rPr>
        <w:t>，</w:t>
      </w:r>
      <w:r>
        <w:rPr>
          <w:rFonts w:ascii="仿宋_GB2312" w:hAnsi="仿宋_GB2312" w:eastAsia="仿宋_GB2312" w:cs="仿宋_GB2312"/>
          <w:sz w:val="32"/>
          <w:szCs w:val="40"/>
        </w:rPr>
        <w:t>统筹各类信息化建设资金并进一步探索公共财政资金与社会资本合作新模式，丰富拓展多层次投资体系。</w:t>
      </w:r>
      <w:r>
        <w:rPr>
          <w:rFonts w:hint="eastAsia" w:ascii="仿宋_GB2312" w:hAnsi="仿宋_GB2312" w:eastAsia="仿宋_GB2312" w:cs="仿宋_GB2312"/>
          <w:sz w:val="32"/>
          <w:szCs w:val="40"/>
        </w:rPr>
        <w:t>鼓励各委办局及企业积极争取各级政府奖补资金及国家、省、市级荣誉称号。</w:t>
      </w:r>
      <w:r>
        <w:rPr>
          <w:rFonts w:ascii="仿宋_GB2312" w:hAnsi="仿宋_GB2312" w:eastAsia="仿宋_GB2312" w:cs="仿宋_GB2312"/>
          <w:sz w:val="32"/>
          <w:szCs w:val="40"/>
        </w:rPr>
        <w:t>鼓励金融机构加大</w:t>
      </w:r>
      <w:r>
        <w:rPr>
          <w:rFonts w:hint="eastAsia" w:ascii="仿宋_GB2312" w:hAnsi="仿宋_GB2312" w:eastAsia="仿宋_GB2312" w:cs="仿宋_GB2312"/>
          <w:sz w:val="32"/>
          <w:szCs w:val="40"/>
        </w:rPr>
        <w:t>对数字经济相关领域信贷投放，推动“财园信贷通”等信贷服务，将资金引流到重大项目与重点平台建设</w:t>
      </w:r>
      <w:r>
        <w:rPr>
          <w:rFonts w:ascii="仿宋_GB2312" w:hAnsi="仿宋_GB2312" w:eastAsia="仿宋_GB2312" w:cs="仿宋_GB2312"/>
          <w:sz w:val="32"/>
          <w:szCs w:val="40"/>
        </w:rPr>
        <w:t>，切实提升金融服务</w:t>
      </w:r>
      <w:r>
        <w:rPr>
          <w:rFonts w:hint="eastAsia" w:ascii="仿宋_GB2312" w:hAnsi="仿宋_GB2312" w:eastAsia="仿宋_GB2312" w:cs="仿宋_GB2312"/>
          <w:sz w:val="32"/>
          <w:szCs w:val="40"/>
        </w:rPr>
        <w:t>数字经济</w:t>
      </w:r>
      <w:r>
        <w:rPr>
          <w:rFonts w:ascii="仿宋_GB2312" w:hAnsi="仿宋_GB2312" w:eastAsia="仿宋_GB2312" w:cs="仿宋_GB2312"/>
          <w:sz w:val="32"/>
          <w:szCs w:val="40"/>
        </w:rPr>
        <w:t>发展</w:t>
      </w:r>
      <w:r>
        <w:rPr>
          <w:rFonts w:hint="eastAsia" w:ascii="仿宋_GB2312" w:hAnsi="仿宋_GB2312" w:eastAsia="仿宋_GB2312" w:cs="仿宋_GB2312"/>
          <w:sz w:val="32"/>
          <w:szCs w:val="40"/>
        </w:rPr>
        <w:t>能级</w:t>
      </w:r>
      <w:r>
        <w:rPr>
          <w:rFonts w:ascii="仿宋_GB2312" w:hAnsi="仿宋_GB2312" w:eastAsia="仿宋_GB2312" w:cs="仿宋_GB2312"/>
          <w:sz w:val="32"/>
          <w:szCs w:val="40"/>
        </w:rPr>
        <w:t>。</w:t>
      </w:r>
    </w:p>
    <w:p w14:paraId="775E64F0">
      <w:pPr>
        <w:spacing w:line="560" w:lineRule="exact"/>
        <w:ind w:firstLine="643" w:firstLineChars="200"/>
        <w:rPr>
          <w:rFonts w:ascii="仿宋_GB2312" w:hAnsi="仿宋_GB2312" w:eastAsia="仿宋_GB2312" w:cs="仿宋_GB2312"/>
          <w:b/>
          <w:bCs/>
          <w:sz w:val="32"/>
          <w:szCs w:val="40"/>
        </w:rPr>
      </w:pPr>
      <w:bookmarkStart w:id="193" w:name="_Toc115191794"/>
      <w:bookmarkStart w:id="194" w:name="_Toc127172250"/>
      <w:bookmarkStart w:id="195" w:name="_Toc61131321"/>
      <w:r>
        <w:rPr>
          <w:rFonts w:hint="eastAsia" w:ascii="仿宋_GB2312" w:hAnsi="仿宋_GB2312" w:eastAsia="仿宋_GB2312" w:cs="仿宋_GB2312"/>
          <w:b/>
          <w:bCs/>
          <w:sz w:val="32"/>
          <w:szCs w:val="40"/>
        </w:rPr>
        <w:t>（三）优化发展环境</w:t>
      </w:r>
      <w:bookmarkEnd w:id="193"/>
      <w:bookmarkEnd w:id="194"/>
      <w:bookmarkEnd w:id="195"/>
      <w:r>
        <w:rPr>
          <w:rFonts w:hint="eastAsia" w:ascii="仿宋_GB2312" w:hAnsi="仿宋_GB2312" w:eastAsia="仿宋_GB2312" w:cs="仿宋_GB2312"/>
          <w:b/>
          <w:bCs/>
          <w:sz w:val="32"/>
          <w:szCs w:val="40"/>
        </w:rPr>
        <w:t>。</w:t>
      </w:r>
      <w:r>
        <w:rPr>
          <w:rFonts w:hint="eastAsia" w:ascii="仿宋_GB2312" w:hAnsi="仿宋_GB2312" w:eastAsia="仿宋_GB2312" w:cs="仿宋_GB2312"/>
          <w:sz w:val="32"/>
          <w:szCs w:val="40"/>
        </w:rPr>
        <w:t>围绕数字经济发展的全生命周期、全产业链条、全时空流转，营造包容普惠的数字经济创新发展环境，引进培育优质市场主体，激发创新活力。全面深化“放管服”，在新业态监管、灵活就业、社会保障、知识产权等领域制定与数字经济发展相适应的专项产业政策工具包。深入推进数字经济政务服务事项精细化梳理和审批流程优化改革，降低数字经济新业态企业设立门槛，力争消除发展壁垒。</w:t>
      </w:r>
    </w:p>
    <w:p w14:paraId="3A6B9E90">
      <w:pPr>
        <w:spacing w:line="560" w:lineRule="exact"/>
        <w:ind w:firstLine="643" w:firstLineChars="200"/>
      </w:pPr>
      <w:bookmarkStart w:id="196" w:name="_Toc936928781"/>
      <w:bookmarkStart w:id="197" w:name="_Toc115191795"/>
      <w:bookmarkStart w:id="198" w:name="_Toc127172251"/>
      <w:r>
        <w:rPr>
          <w:rFonts w:hint="eastAsia" w:ascii="仿宋_GB2312" w:hAnsi="仿宋_GB2312" w:eastAsia="仿宋_GB2312" w:cs="仿宋_GB2312"/>
          <w:b/>
          <w:bCs/>
          <w:sz w:val="32"/>
          <w:szCs w:val="40"/>
        </w:rPr>
        <w:t>（四）</w:t>
      </w:r>
      <w:r>
        <w:rPr>
          <w:rFonts w:ascii="仿宋_GB2312" w:hAnsi="仿宋_GB2312" w:eastAsia="仿宋_GB2312" w:cs="仿宋_GB2312"/>
          <w:b/>
          <w:bCs/>
          <w:sz w:val="32"/>
          <w:szCs w:val="40"/>
        </w:rPr>
        <w:t>提升</w:t>
      </w:r>
      <w:r>
        <w:rPr>
          <w:rFonts w:hint="eastAsia" w:ascii="仿宋_GB2312" w:hAnsi="仿宋_GB2312" w:eastAsia="仿宋_GB2312" w:cs="仿宋_GB2312"/>
          <w:b/>
          <w:bCs/>
          <w:sz w:val="32"/>
          <w:szCs w:val="40"/>
        </w:rPr>
        <w:t>人才</w:t>
      </w:r>
      <w:r>
        <w:rPr>
          <w:rFonts w:ascii="仿宋_GB2312" w:hAnsi="仿宋_GB2312" w:eastAsia="仿宋_GB2312" w:cs="仿宋_GB2312"/>
          <w:b/>
          <w:bCs/>
          <w:sz w:val="32"/>
          <w:szCs w:val="40"/>
        </w:rPr>
        <w:t>素养</w:t>
      </w:r>
      <w:bookmarkEnd w:id="196"/>
      <w:bookmarkEnd w:id="197"/>
      <w:bookmarkEnd w:id="198"/>
      <w:r>
        <w:rPr>
          <w:rFonts w:hint="eastAsia" w:ascii="仿宋_GB2312" w:hAnsi="仿宋_GB2312" w:eastAsia="仿宋_GB2312" w:cs="仿宋_GB2312"/>
          <w:b/>
          <w:bCs/>
          <w:sz w:val="32"/>
          <w:szCs w:val="40"/>
        </w:rPr>
        <w:t>。</w:t>
      </w:r>
      <w:r>
        <w:rPr>
          <w:rFonts w:ascii="仿宋_GB2312" w:hAnsi="仿宋_GB2312" w:eastAsia="仿宋_GB2312" w:cs="仿宋_GB2312"/>
          <w:sz w:val="32"/>
          <w:szCs w:val="40"/>
        </w:rPr>
        <w:t>完善</w:t>
      </w:r>
      <w:r>
        <w:rPr>
          <w:rFonts w:hint="eastAsia" w:ascii="仿宋_GB2312" w:hAnsi="仿宋_GB2312" w:eastAsia="仿宋_GB2312" w:cs="仿宋_GB2312"/>
          <w:sz w:val="32"/>
          <w:szCs w:val="40"/>
        </w:rPr>
        <w:t>“高层次特殊人才引进计划”等兴国县</w:t>
      </w:r>
      <w:r>
        <w:rPr>
          <w:rFonts w:ascii="仿宋_GB2312" w:hAnsi="仿宋_GB2312" w:eastAsia="仿宋_GB2312" w:cs="仿宋_GB2312"/>
          <w:sz w:val="32"/>
          <w:szCs w:val="40"/>
        </w:rPr>
        <w:t>数字经济人才体系,</w:t>
      </w:r>
      <w:r>
        <w:rPr>
          <w:rFonts w:hint="eastAsia" w:ascii="仿宋_GB2312" w:hAnsi="仿宋_GB2312" w:eastAsia="仿宋_GB2312" w:cs="仿宋_GB2312"/>
          <w:sz w:val="32"/>
          <w:szCs w:val="40"/>
        </w:rPr>
        <w:t>加强</w:t>
      </w:r>
      <w:r>
        <w:rPr>
          <w:rFonts w:ascii="仿宋_GB2312" w:hAnsi="仿宋_GB2312" w:eastAsia="仿宋_GB2312" w:cs="仿宋_GB2312"/>
          <w:sz w:val="32"/>
          <w:szCs w:val="40"/>
        </w:rPr>
        <w:t>引进和培养我</w:t>
      </w:r>
      <w:r>
        <w:rPr>
          <w:rFonts w:hint="eastAsia" w:ascii="仿宋_GB2312" w:hAnsi="仿宋_GB2312" w:eastAsia="仿宋_GB2312" w:cs="仿宋_GB2312"/>
          <w:sz w:val="32"/>
          <w:szCs w:val="40"/>
        </w:rPr>
        <w:t>县</w:t>
      </w:r>
      <w:r>
        <w:rPr>
          <w:rFonts w:ascii="仿宋_GB2312" w:hAnsi="仿宋_GB2312" w:eastAsia="仿宋_GB2312" w:cs="仿宋_GB2312"/>
          <w:sz w:val="32"/>
          <w:szCs w:val="40"/>
        </w:rPr>
        <w:t>所需各类数字经济人才。运用股权激励、双向兼职、联合聘用、技术入股等方式引才用才。支持用人单位引进数字技术领军人才、尖端人才、青年才俊,给予科技创新创业资助。针对数字经济领域的优秀高校毕业生或优质创业项目,在</w:t>
      </w:r>
      <w:r>
        <w:rPr>
          <w:rFonts w:hint="default" w:ascii="仿宋_GB2312" w:hAnsi="仿宋_GB2312" w:eastAsia="仿宋_GB2312" w:cs="仿宋_GB2312"/>
          <w:sz w:val="32"/>
          <w:szCs w:val="40"/>
        </w:rPr>
        <w:t>人才住房保障</w:t>
      </w:r>
      <w:r>
        <w:rPr>
          <w:rFonts w:ascii="仿宋_GB2312" w:hAnsi="仿宋_GB2312" w:eastAsia="仿宋_GB2312" w:cs="仿宋_GB2312"/>
          <w:sz w:val="32"/>
          <w:szCs w:val="40"/>
        </w:rPr>
        <w:t>、助学贷款代偿或创业补贴等方面,适当加大扶持力度。</w:t>
      </w:r>
    </w:p>
    <w:p w14:paraId="0BFE6A20">
      <w:pPr>
        <w:spacing w:line="560" w:lineRule="exact"/>
        <w:ind w:firstLine="643" w:firstLineChars="200"/>
        <w:rPr>
          <w:rFonts w:ascii="仿宋_GB2312" w:hAnsi="黑体" w:eastAsia="仿宋_GB2312"/>
          <w:sz w:val="32"/>
          <w:szCs w:val="32"/>
        </w:rPr>
      </w:pPr>
      <w:bookmarkStart w:id="199" w:name="_Toc127172252"/>
      <w:r>
        <w:rPr>
          <w:rFonts w:hint="eastAsia" w:ascii="仿宋_GB2312" w:hAnsi="仿宋_GB2312" w:eastAsia="仿宋_GB2312" w:cs="仿宋_GB2312"/>
          <w:b/>
          <w:bCs/>
          <w:sz w:val="32"/>
          <w:szCs w:val="40"/>
        </w:rPr>
        <w:t>（五）强化考核监督</w:t>
      </w:r>
      <w:bookmarkEnd w:id="199"/>
      <w:r>
        <w:rPr>
          <w:rFonts w:hint="eastAsia" w:ascii="仿宋_GB2312" w:hAnsi="仿宋_GB2312" w:eastAsia="仿宋_GB2312" w:cs="仿宋_GB2312"/>
          <w:b/>
          <w:bCs/>
          <w:sz w:val="32"/>
          <w:szCs w:val="40"/>
        </w:rPr>
        <w:t>。</w:t>
      </w:r>
      <w:r>
        <w:rPr>
          <w:rFonts w:hint="eastAsia" w:ascii="仿宋_GB2312" w:hAnsi="仿宋_GB2312" w:eastAsia="仿宋_GB2312" w:cs="仿宋_GB2312"/>
          <w:sz w:val="32"/>
          <w:szCs w:val="40"/>
        </w:rPr>
        <w:t>建立数字经济工作推进的考核评价体系，强化目标责任考核及动态跟踪督查，将重点工作任务纳入县各有关部门年度目标责任制考核内容。加大督促检查力度，建立情况通报制度，及时通报各有关单位工作落实情况，推动工作任务全面完成。</w:t>
      </w:r>
    </w:p>
    <w:sectPr>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7D75E4">
    <w:pPr>
      <w:spacing w:line="178" w:lineRule="auto"/>
      <w:ind w:left="4369"/>
      <w:rPr>
        <w:rFonts w:ascii="Calibri" w:hAnsi="Calibri" w:eastAsia="Calibri" w:cs="Calibri"/>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8FE9CF">
    <w:pPr>
      <w:spacing w:line="178" w:lineRule="auto"/>
      <w:ind w:left="4369"/>
      <w:rPr>
        <w:rFonts w:ascii="Calibri" w:hAnsi="Calibri" w:eastAsia="Calibri" w:cs="Calibri"/>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72CA16">
                          <w:pPr>
                            <w:pStyle w:val="1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772CA16">
                    <w:pPr>
                      <w:pStyle w:val="10"/>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3817F8">
    <w:pPr>
      <w:spacing w:line="218" w:lineRule="auto"/>
      <w:ind w:right="28"/>
      <w:jc w:val="right"/>
      <w:rPr>
        <w:rFonts w:ascii="宋体" w:hAnsi="宋体" w:cs="宋体"/>
        <w:sz w:val="18"/>
        <w:szCs w:val="18"/>
      </w:rPr>
    </w:pPr>
    <w:r>
      <mc:AlternateContent>
        <mc:Choice Requires="wps">
          <w:drawing>
            <wp:anchor distT="0" distB="0" distL="114300" distR="114300" simplePos="0" relativeHeight="251659264" behindDoc="0" locked="0" layoutInCell="0" allowOverlap="1">
              <wp:simplePos x="0" y="0"/>
              <wp:positionH relativeFrom="page">
                <wp:posOffset>1242060</wp:posOffset>
              </wp:positionH>
              <wp:positionV relativeFrom="page">
                <wp:posOffset>851535</wp:posOffset>
              </wp:positionV>
              <wp:extent cx="5257165" cy="9525"/>
              <wp:effectExtent l="0" t="0" r="0" b="0"/>
              <wp:wrapNone/>
              <wp:docPr id="1" name="任意多边形 1"/>
              <wp:cNvGraphicFramePr/>
              <a:graphic xmlns:a="http://schemas.openxmlformats.org/drawingml/2006/main">
                <a:graphicData uri="http://schemas.microsoft.com/office/word/2010/wordprocessingShape">
                  <wps:wsp>
                    <wps:cNvSpPr/>
                    <wps:spPr>
                      <a:xfrm>
                        <a:off x="0" y="0"/>
                        <a:ext cx="5257165" cy="9525"/>
                      </a:xfrm>
                      <a:custGeom>
                        <a:avLst/>
                        <a:gdLst/>
                        <a:ahLst/>
                        <a:cxnLst/>
                        <a:rect l="0" t="0" r="0" b="0"/>
                        <a:pathLst>
                          <a:path w="8279" h="15">
                            <a:moveTo>
                              <a:pt x="0" y="14"/>
                            </a:moveTo>
                            <a:lnTo>
                              <a:pt x="8278" y="14"/>
                            </a:lnTo>
                            <a:lnTo>
                              <a:pt x="8278" y="0"/>
                            </a:lnTo>
                            <a:lnTo>
                              <a:pt x="0" y="0"/>
                            </a:lnTo>
                            <a:lnTo>
                              <a:pt x="0" y="14"/>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97.8pt;margin-top:67.05pt;height:0.75pt;width:413.95pt;mso-position-horizontal-relative:page;mso-position-vertical-relative:page;z-index:251659264;mso-width-relative:page;mso-height-relative:page;" fillcolor="#000000" filled="t" stroked="f" coordsize="8279,15" o:allowincell="f" o:gfxdata="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eXPIo1gAAAAwBAAAP&#10;AAAAAAAAAAEAIAAAACIAAABkcnMvZG93bnJldi54bWxQSwECFAAUAAAACACHTuJAleBw2hoCAACd&#10;BAAADgAAAAAAAAABACAAAAAlAQAAZHJzL2Uyb0RvYy54bWxQSwUGAAAAAAYABgBZAQAAsQUAAAAA&#10;" path="m0,14l8278,14,8278,0,0,0,0,14xe">
              <v:fill on="t" focussize="0,0"/>
              <v:stroke on="f"/>
              <v:imagedata o:title=""/>
              <o:lock v:ext="edit" aspectratio="f"/>
            </v:shape>
          </w:pict>
        </mc:Fallback>
      </mc:AlternateContent>
    </w:r>
    <w:r>
      <w:rPr>
        <w:rFonts w:hint="eastAsia"/>
      </w:rPr>
      <w:t>兴国县数字经济发展规划（2023-2027年）</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7F23BC"/>
    <w:multiLevelType w:val="multilevel"/>
    <w:tmpl w:val="1A7F23BC"/>
    <w:lvl w:ilvl="0" w:tentative="0">
      <w:start w:val="1"/>
      <w:numFmt w:val="japaneseCounting"/>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5A320029"/>
    <w:multiLevelType w:val="multilevel"/>
    <w:tmpl w:val="5A320029"/>
    <w:lvl w:ilvl="0" w:tentative="0">
      <w:start w:val="1"/>
      <w:numFmt w:val="japaneseCounting"/>
      <w:lvlText w:val="（%1）"/>
      <w:lvlJc w:val="left"/>
      <w:pPr>
        <w:ind w:left="1080" w:hanging="108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JiYjRhMjJiYjA5OTlhODIxZjlmYzA1OTJhNzQyNmUifQ=="/>
  </w:docVars>
  <w:rsids>
    <w:rsidRoot w:val="001504A0"/>
    <w:rsid w:val="000049FA"/>
    <w:rsid w:val="000124A3"/>
    <w:rsid w:val="00026EC8"/>
    <w:rsid w:val="00091753"/>
    <w:rsid w:val="000969AD"/>
    <w:rsid w:val="00097179"/>
    <w:rsid w:val="000B6281"/>
    <w:rsid w:val="000E1C62"/>
    <w:rsid w:val="000E4238"/>
    <w:rsid w:val="000E7EE3"/>
    <w:rsid w:val="000F030F"/>
    <w:rsid w:val="000F58BC"/>
    <w:rsid w:val="000F77C6"/>
    <w:rsid w:val="000F7BC2"/>
    <w:rsid w:val="0010334A"/>
    <w:rsid w:val="00107914"/>
    <w:rsid w:val="0011133A"/>
    <w:rsid w:val="00113CE8"/>
    <w:rsid w:val="001212F7"/>
    <w:rsid w:val="00124A6D"/>
    <w:rsid w:val="001250D1"/>
    <w:rsid w:val="001266A3"/>
    <w:rsid w:val="001406C7"/>
    <w:rsid w:val="001408AF"/>
    <w:rsid w:val="00147801"/>
    <w:rsid w:val="00150082"/>
    <w:rsid w:val="001504A0"/>
    <w:rsid w:val="00151C22"/>
    <w:rsid w:val="00154AC6"/>
    <w:rsid w:val="00154E1A"/>
    <w:rsid w:val="00160BE9"/>
    <w:rsid w:val="00163B6A"/>
    <w:rsid w:val="001775E4"/>
    <w:rsid w:val="00186F93"/>
    <w:rsid w:val="001A2924"/>
    <w:rsid w:val="001A747D"/>
    <w:rsid w:val="001B00CD"/>
    <w:rsid w:val="001B3C84"/>
    <w:rsid w:val="001B75FF"/>
    <w:rsid w:val="001C048E"/>
    <w:rsid w:val="001C6B0E"/>
    <w:rsid w:val="001C7630"/>
    <w:rsid w:val="001E17F9"/>
    <w:rsid w:val="001E5F91"/>
    <w:rsid w:val="001E6762"/>
    <w:rsid w:val="001F0825"/>
    <w:rsid w:val="002058EB"/>
    <w:rsid w:val="00210038"/>
    <w:rsid w:val="00225440"/>
    <w:rsid w:val="0022660E"/>
    <w:rsid w:val="002311CC"/>
    <w:rsid w:val="00233009"/>
    <w:rsid w:val="0024097E"/>
    <w:rsid w:val="00245C43"/>
    <w:rsid w:val="002539CA"/>
    <w:rsid w:val="00260601"/>
    <w:rsid w:val="002707BF"/>
    <w:rsid w:val="00276625"/>
    <w:rsid w:val="00276E33"/>
    <w:rsid w:val="00287EC7"/>
    <w:rsid w:val="002918E7"/>
    <w:rsid w:val="002A0CE9"/>
    <w:rsid w:val="002A42EA"/>
    <w:rsid w:val="002B146C"/>
    <w:rsid w:val="002B7786"/>
    <w:rsid w:val="002D5AF3"/>
    <w:rsid w:val="002E01D2"/>
    <w:rsid w:val="002E219A"/>
    <w:rsid w:val="002F02DB"/>
    <w:rsid w:val="003109D4"/>
    <w:rsid w:val="00316092"/>
    <w:rsid w:val="00326061"/>
    <w:rsid w:val="0034402B"/>
    <w:rsid w:val="003550AC"/>
    <w:rsid w:val="00356D42"/>
    <w:rsid w:val="00366BF4"/>
    <w:rsid w:val="003673CD"/>
    <w:rsid w:val="00386CEE"/>
    <w:rsid w:val="00397EA3"/>
    <w:rsid w:val="003B211D"/>
    <w:rsid w:val="003B4028"/>
    <w:rsid w:val="003B5E18"/>
    <w:rsid w:val="003C02DB"/>
    <w:rsid w:val="003C0A99"/>
    <w:rsid w:val="003C7372"/>
    <w:rsid w:val="003D2829"/>
    <w:rsid w:val="003D5C4E"/>
    <w:rsid w:val="003E01ED"/>
    <w:rsid w:val="003E6422"/>
    <w:rsid w:val="003F431A"/>
    <w:rsid w:val="00403AC1"/>
    <w:rsid w:val="00406D63"/>
    <w:rsid w:val="004100DA"/>
    <w:rsid w:val="004253B0"/>
    <w:rsid w:val="00432B82"/>
    <w:rsid w:val="00437E0F"/>
    <w:rsid w:val="00444443"/>
    <w:rsid w:val="00456A25"/>
    <w:rsid w:val="004615F6"/>
    <w:rsid w:val="00490B50"/>
    <w:rsid w:val="00491E48"/>
    <w:rsid w:val="00492F6D"/>
    <w:rsid w:val="0049667B"/>
    <w:rsid w:val="00496E35"/>
    <w:rsid w:val="004B2909"/>
    <w:rsid w:val="004B3014"/>
    <w:rsid w:val="004B4647"/>
    <w:rsid w:val="004B68B4"/>
    <w:rsid w:val="004C54C2"/>
    <w:rsid w:val="004E098F"/>
    <w:rsid w:val="004E4252"/>
    <w:rsid w:val="004F58DC"/>
    <w:rsid w:val="00504471"/>
    <w:rsid w:val="005053D1"/>
    <w:rsid w:val="00525ED0"/>
    <w:rsid w:val="00531BF8"/>
    <w:rsid w:val="0056294D"/>
    <w:rsid w:val="00563274"/>
    <w:rsid w:val="00563A9A"/>
    <w:rsid w:val="00567287"/>
    <w:rsid w:val="00574539"/>
    <w:rsid w:val="00595DE6"/>
    <w:rsid w:val="005961B2"/>
    <w:rsid w:val="005A704F"/>
    <w:rsid w:val="005B67F1"/>
    <w:rsid w:val="005C0CA1"/>
    <w:rsid w:val="005C4FB6"/>
    <w:rsid w:val="005C598A"/>
    <w:rsid w:val="005D2F6B"/>
    <w:rsid w:val="005D52FF"/>
    <w:rsid w:val="00600654"/>
    <w:rsid w:val="00600D75"/>
    <w:rsid w:val="0062131C"/>
    <w:rsid w:val="00632D9D"/>
    <w:rsid w:val="006345C2"/>
    <w:rsid w:val="00636E88"/>
    <w:rsid w:val="00641E35"/>
    <w:rsid w:val="00650BB6"/>
    <w:rsid w:val="00651EC3"/>
    <w:rsid w:val="006561CC"/>
    <w:rsid w:val="00670FBA"/>
    <w:rsid w:val="00672811"/>
    <w:rsid w:val="006800AB"/>
    <w:rsid w:val="006848FF"/>
    <w:rsid w:val="006936FE"/>
    <w:rsid w:val="0069744B"/>
    <w:rsid w:val="006A6934"/>
    <w:rsid w:val="006C1708"/>
    <w:rsid w:val="006C46A5"/>
    <w:rsid w:val="006C55CE"/>
    <w:rsid w:val="006C65BA"/>
    <w:rsid w:val="006C79E2"/>
    <w:rsid w:val="006D5795"/>
    <w:rsid w:val="006D5F8B"/>
    <w:rsid w:val="006E16A0"/>
    <w:rsid w:val="006E26D7"/>
    <w:rsid w:val="007050E5"/>
    <w:rsid w:val="00705352"/>
    <w:rsid w:val="00715F21"/>
    <w:rsid w:val="0072587B"/>
    <w:rsid w:val="00726B97"/>
    <w:rsid w:val="00753F91"/>
    <w:rsid w:val="00764810"/>
    <w:rsid w:val="00776D0B"/>
    <w:rsid w:val="00780D57"/>
    <w:rsid w:val="00781FEF"/>
    <w:rsid w:val="007860D0"/>
    <w:rsid w:val="0079240F"/>
    <w:rsid w:val="007958E0"/>
    <w:rsid w:val="007A03C4"/>
    <w:rsid w:val="007A0CAE"/>
    <w:rsid w:val="007A18DF"/>
    <w:rsid w:val="007A3520"/>
    <w:rsid w:val="007A72B9"/>
    <w:rsid w:val="007B3381"/>
    <w:rsid w:val="007B52A1"/>
    <w:rsid w:val="007C1600"/>
    <w:rsid w:val="007E1EA8"/>
    <w:rsid w:val="007E213E"/>
    <w:rsid w:val="007E27E4"/>
    <w:rsid w:val="007E5CE7"/>
    <w:rsid w:val="007E73D4"/>
    <w:rsid w:val="00804201"/>
    <w:rsid w:val="008046D3"/>
    <w:rsid w:val="00824824"/>
    <w:rsid w:val="00831186"/>
    <w:rsid w:val="0085044D"/>
    <w:rsid w:val="008519DD"/>
    <w:rsid w:val="00872224"/>
    <w:rsid w:val="008850FE"/>
    <w:rsid w:val="00886C8C"/>
    <w:rsid w:val="008C049C"/>
    <w:rsid w:val="008D0D0E"/>
    <w:rsid w:val="008D544B"/>
    <w:rsid w:val="008D6FA0"/>
    <w:rsid w:val="008E0835"/>
    <w:rsid w:val="008E18E3"/>
    <w:rsid w:val="009012AF"/>
    <w:rsid w:val="009019B5"/>
    <w:rsid w:val="00901EF3"/>
    <w:rsid w:val="0092130F"/>
    <w:rsid w:val="009229BA"/>
    <w:rsid w:val="009349BE"/>
    <w:rsid w:val="00943260"/>
    <w:rsid w:val="00946C28"/>
    <w:rsid w:val="0095560C"/>
    <w:rsid w:val="009576CF"/>
    <w:rsid w:val="00960C47"/>
    <w:rsid w:val="0096306E"/>
    <w:rsid w:val="00970BFF"/>
    <w:rsid w:val="00975D66"/>
    <w:rsid w:val="0098388D"/>
    <w:rsid w:val="00997D30"/>
    <w:rsid w:val="009A38D2"/>
    <w:rsid w:val="009C01ED"/>
    <w:rsid w:val="009C779F"/>
    <w:rsid w:val="009C7FC6"/>
    <w:rsid w:val="009D0A8B"/>
    <w:rsid w:val="009E0D33"/>
    <w:rsid w:val="009E3AB0"/>
    <w:rsid w:val="009F0D4C"/>
    <w:rsid w:val="009F6056"/>
    <w:rsid w:val="009F7610"/>
    <w:rsid w:val="00A01707"/>
    <w:rsid w:val="00A0601F"/>
    <w:rsid w:val="00A15795"/>
    <w:rsid w:val="00A255AF"/>
    <w:rsid w:val="00A36025"/>
    <w:rsid w:val="00A42231"/>
    <w:rsid w:val="00A70887"/>
    <w:rsid w:val="00A70E9A"/>
    <w:rsid w:val="00A75343"/>
    <w:rsid w:val="00A81D22"/>
    <w:rsid w:val="00AA0690"/>
    <w:rsid w:val="00AA2E75"/>
    <w:rsid w:val="00AB3F2C"/>
    <w:rsid w:val="00AB76D7"/>
    <w:rsid w:val="00AD1E7E"/>
    <w:rsid w:val="00AD555B"/>
    <w:rsid w:val="00AE5913"/>
    <w:rsid w:val="00AE6B43"/>
    <w:rsid w:val="00AF05D4"/>
    <w:rsid w:val="00AF4CAE"/>
    <w:rsid w:val="00AF5010"/>
    <w:rsid w:val="00AF690D"/>
    <w:rsid w:val="00B146F8"/>
    <w:rsid w:val="00B20DF2"/>
    <w:rsid w:val="00B270FB"/>
    <w:rsid w:val="00B73AF7"/>
    <w:rsid w:val="00B742D6"/>
    <w:rsid w:val="00B7576B"/>
    <w:rsid w:val="00B76C7C"/>
    <w:rsid w:val="00B80AD3"/>
    <w:rsid w:val="00B80C25"/>
    <w:rsid w:val="00B83C03"/>
    <w:rsid w:val="00B876E4"/>
    <w:rsid w:val="00B96357"/>
    <w:rsid w:val="00BA044F"/>
    <w:rsid w:val="00BA2A72"/>
    <w:rsid w:val="00BB00F0"/>
    <w:rsid w:val="00BB643A"/>
    <w:rsid w:val="00BC1EEB"/>
    <w:rsid w:val="00BC2BF2"/>
    <w:rsid w:val="00BC34B1"/>
    <w:rsid w:val="00BC4425"/>
    <w:rsid w:val="00BC7949"/>
    <w:rsid w:val="00BE08D2"/>
    <w:rsid w:val="00BE5405"/>
    <w:rsid w:val="00BE7917"/>
    <w:rsid w:val="00BF0E19"/>
    <w:rsid w:val="00BF177A"/>
    <w:rsid w:val="00BF1B68"/>
    <w:rsid w:val="00BF2FCC"/>
    <w:rsid w:val="00BF5028"/>
    <w:rsid w:val="00C020BD"/>
    <w:rsid w:val="00C053A8"/>
    <w:rsid w:val="00C17659"/>
    <w:rsid w:val="00C230C9"/>
    <w:rsid w:val="00C249A2"/>
    <w:rsid w:val="00C27FB9"/>
    <w:rsid w:val="00C33493"/>
    <w:rsid w:val="00C35E35"/>
    <w:rsid w:val="00C455DE"/>
    <w:rsid w:val="00C574C3"/>
    <w:rsid w:val="00C57663"/>
    <w:rsid w:val="00CA0C3B"/>
    <w:rsid w:val="00CA321D"/>
    <w:rsid w:val="00CA55DC"/>
    <w:rsid w:val="00CA708A"/>
    <w:rsid w:val="00CB6C88"/>
    <w:rsid w:val="00CB7EBA"/>
    <w:rsid w:val="00CC7EC9"/>
    <w:rsid w:val="00CD0F11"/>
    <w:rsid w:val="00CD676C"/>
    <w:rsid w:val="00CF2CE5"/>
    <w:rsid w:val="00CF778A"/>
    <w:rsid w:val="00D01DB1"/>
    <w:rsid w:val="00D037E6"/>
    <w:rsid w:val="00D05800"/>
    <w:rsid w:val="00D126C2"/>
    <w:rsid w:val="00D2320C"/>
    <w:rsid w:val="00D32863"/>
    <w:rsid w:val="00D3300A"/>
    <w:rsid w:val="00D5604E"/>
    <w:rsid w:val="00D72800"/>
    <w:rsid w:val="00D743B5"/>
    <w:rsid w:val="00D82AB9"/>
    <w:rsid w:val="00D96971"/>
    <w:rsid w:val="00DB1832"/>
    <w:rsid w:val="00DB1AD2"/>
    <w:rsid w:val="00DB555D"/>
    <w:rsid w:val="00DC4F5F"/>
    <w:rsid w:val="00DC6CF2"/>
    <w:rsid w:val="00DD2914"/>
    <w:rsid w:val="00DD4367"/>
    <w:rsid w:val="00DD4A1E"/>
    <w:rsid w:val="00DD5109"/>
    <w:rsid w:val="00DD7973"/>
    <w:rsid w:val="00DE421C"/>
    <w:rsid w:val="00DE76AD"/>
    <w:rsid w:val="00DF4289"/>
    <w:rsid w:val="00DF70E9"/>
    <w:rsid w:val="00E14CAA"/>
    <w:rsid w:val="00E16680"/>
    <w:rsid w:val="00E22724"/>
    <w:rsid w:val="00E24718"/>
    <w:rsid w:val="00E304E1"/>
    <w:rsid w:val="00E3083F"/>
    <w:rsid w:val="00E516A1"/>
    <w:rsid w:val="00E52827"/>
    <w:rsid w:val="00E5507A"/>
    <w:rsid w:val="00E578C6"/>
    <w:rsid w:val="00E729A7"/>
    <w:rsid w:val="00E80C3D"/>
    <w:rsid w:val="00E9072E"/>
    <w:rsid w:val="00E92927"/>
    <w:rsid w:val="00E92CE4"/>
    <w:rsid w:val="00EA4035"/>
    <w:rsid w:val="00EC29D6"/>
    <w:rsid w:val="00EC2EED"/>
    <w:rsid w:val="00EC31BC"/>
    <w:rsid w:val="00EC5585"/>
    <w:rsid w:val="00EE3B6D"/>
    <w:rsid w:val="00EF7E2A"/>
    <w:rsid w:val="00F04C6E"/>
    <w:rsid w:val="00F05477"/>
    <w:rsid w:val="00F132FC"/>
    <w:rsid w:val="00F211EF"/>
    <w:rsid w:val="00F230CB"/>
    <w:rsid w:val="00F266D3"/>
    <w:rsid w:val="00F473CB"/>
    <w:rsid w:val="00F71D2F"/>
    <w:rsid w:val="00F72CA9"/>
    <w:rsid w:val="00F73D26"/>
    <w:rsid w:val="00F82C54"/>
    <w:rsid w:val="00FA7A4E"/>
    <w:rsid w:val="00FB2277"/>
    <w:rsid w:val="00FB57E7"/>
    <w:rsid w:val="00FB5C43"/>
    <w:rsid w:val="00FB7F28"/>
    <w:rsid w:val="00FD5616"/>
    <w:rsid w:val="00FE5858"/>
    <w:rsid w:val="00FE5C0D"/>
    <w:rsid w:val="00FE7B94"/>
    <w:rsid w:val="01017684"/>
    <w:rsid w:val="010303E5"/>
    <w:rsid w:val="010D427B"/>
    <w:rsid w:val="0126390F"/>
    <w:rsid w:val="01400F47"/>
    <w:rsid w:val="01402151"/>
    <w:rsid w:val="015679D0"/>
    <w:rsid w:val="0159301C"/>
    <w:rsid w:val="015C2B0C"/>
    <w:rsid w:val="0167398B"/>
    <w:rsid w:val="018A79CF"/>
    <w:rsid w:val="01913DF5"/>
    <w:rsid w:val="01916C5A"/>
    <w:rsid w:val="019C4253"/>
    <w:rsid w:val="01A3073B"/>
    <w:rsid w:val="01AA3877"/>
    <w:rsid w:val="01AB5D74"/>
    <w:rsid w:val="01B52761"/>
    <w:rsid w:val="01B91FC3"/>
    <w:rsid w:val="01B944CC"/>
    <w:rsid w:val="01BC6169"/>
    <w:rsid w:val="01BD17FD"/>
    <w:rsid w:val="01C81F50"/>
    <w:rsid w:val="01CE3A0A"/>
    <w:rsid w:val="01D0024F"/>
    <w:rsid w:val="01D31020"/>
    <w:rsid w:val="01E274B5"/>
    <w:rsid w:val="01F82835"/>
    <w:rsid w:val="01FA47FF"/>
    <w:rsid w:val="020F7B7E"/>
    <w:rsid w:val="02111D2B"/>
    <w:rsid w:val="0216715F"/>
    <w:rsid w:val="02167F06"/>
    <w:rsid w:val="02190F03"/>
    <w:rsid w:val="021A6C4F"/>
    <w:rsid w:val="02217FDE"/>
    <w:rsid w:val="022C24DE"/>
    <w:rsid w:val="0236335D"/>
    <w:rsid w:val="024617F2"/>
    <w:rsid w:val="0247556A"/>
    <w:rsid w:val="024E3EFF"/>
    <w:rsid w:val="025F0B06"/>
    <w:rsid w:val="0264611C"/>
    <w:rsid w:val="02656E2D"/>
    <w:rsid w:val="026954E1"/>
    <w:rsid w:val="0270686F"/>
    <w:rsid w:val="02753E85"/>
    <w:rsid w:val="027619AC"/>
    <w:rsid w:val="029E1C8A"/>
    <w:rsid w:val="02A209F3"/>
    <w:rsid w:val="02A824AD"/>
    <w:rsid w:val="02AB3D4B"/>
    <w:rsid w:val="02B77694"/>
    <w:rsid w:val="02B80F6E"/>
    <w:rsid w:val="02C1356F"/>
    <w:rsid w:val="02C72207"/>
    <w:rsid w:val="02C80459"/>
    <w:rsid w:val="02CB7F49"/>
    <w:rsid w:val="02D52B76"/>
    <w:rsid w:val="02DE5ECF"/>
    <w:rsid w:val="02ED7EC0"/>
    <w:rsid w:val="0305373E"/>
    <w:rsid w:val="031E62CB"/>
    <w:rsid w:val="03236818"/>
    <w:rsid w:val="032B09E8"/>
    <w:rsid w:val="032B6C3A"/>
    <w:rsid w:val="033C49A3"/>
    <w:rsid w:val="034321D6"/>
    <w:rsid w:val="03435D32"/>
    <w:rsid w:val="03443858"/>
    <w:rsid w:val="03463A74"/>
    <w:rsid w:val="035D5757"/>
    <w:rsid w:val="03667C72"/>
    <w:rsid w:val="036D7252"/>
    <w:rsid w:val="03725513"/>
    <w:rsid w:val="0374413D"/>
    <w:rsid w:val="037B371D"/>
    <w:rsid w:val="037E6D6A"/>
    <w:rsid w:val="03870314"/>
    <w:rsid w:val="03964C18"/>
    <w:rsid w:val="0399412E"/>
    <w:rsid w:val="03A2514E"/>
    <w:rsid w:val="03B46C2F"/>
    <w:rsid w:val="03B94246"/>
    <w:rsid w:val="03BB1D6C"/>
    <w:rsid w:val="03BD5AE4"/>
    <w:rsid w:val="03C41E52"/>
    <w:rsid w:val="03C70711"/>
    <w:rsid w:val="03CE1E00"/>
    <w:rsid w:val="03D72F81"/>
    <w:rsid w:val="03DB240E"/>
    <w:rsid w:val="03DD1CE2"/>
    <w:rsid w:val="03EC1006"/>
    <w:rsid w:val="04021749"/>
    <w:rsid w:val="04025811"/>
    <w:rsid w:val="04025BED"/>
    <w:rsid w:val="040C74C7"/>
    <w:rsid w:val="040E6340"/>
    <w:rsid w:val="04113263"/>
    <w:rsid w:val="04212517"/>
    <w:rsid w:val="042C10E4"/>
    <w:rsid w:val="042E69E2"/>
    <w:rsid w:val="04331082"/>
    <w:rsid w:val="04363AE8"/>
    <w:rsid w:val="044157AE"/>
    <w:rsid w:val="04446205"/>
    <w:rsid w:val="044A3E16"/>
    <w:rsid w:val="044E0E40"/>
    <w:rsid w:val="044E498E"/>
    <w:rsid w:val="04510922"/>
    <w:rsid w:val="046B508B"/>
    <w:rsid w:val="046C750A"/>
    <w:rsid w:val="046C75BE"/>
    <w:rsid w:val="04702B56"/>
    <w:rsid w:val="0482288A"/>
    <w:rsid w:val="048B3E34"/>
    <w:rsid w:val="048B6B94"/>
    <w:rsid w:val="049820AD"/>
    <w:rsid w:val="04A46CA4"/>
    <w:rsid w:val="04AB1DE0"/>
    <w:rsid w:val="04AF7112"/>
    <w:rsid w:val="04C66C1A"/>
    <w:rsid w:val="04CD61FB"/>
    <w:rsid w:val="04D330E5"/>
    <w:rsid w:val="04DF2BB8"/>
    <w:rsid w:val="04F25C61"/>
    <w:rsid w:val="05092FAB"/>
    <w:rsid w:val="05110FD7"/>
    <w:rsid w:val="052851DF"/>
    <w:rsid w:val="052D23AB"/>
    <w:rsid w:val="052E47BF"/>
    <w:rsid w:val="053B7608"/>
    <w:rsid w:val="053D4773"/>
    <w:rsid w:val="054A36F5"/>
    <w:rsid w:val="054B711F"/>
    <w:rsid w:val="05595B1E"/>
    <w:rsid w:val="055A55B4"/>
    <w:rsid w:val="056A4BED"/>
    <w:rsid w:val="05730C69"/>
    <w:rsid w:val="057E74F5"/>
    <w:rsid w:val="05850883"/>
    <w:rsid w:val="0599432F"/>
    <w:rsid w:val="05A33723"/>
    <w:rsid w:val="05A52CD4"/>
    <w:rsid w:val="05A83728"/>
    <w:rsid w:val="05B21379"/>
    <w:rsid w:val="05B41169"/>
    <w:rsid w:val="05BB24F7"/>
    <w:rsid w:val="05C375FE"/>
    <w:rsid w:val="05CC05A3"/>
    <w:rsid w:val="05CD222A"/>
    <w:rsid w:val="05D01D7F"/>
    <w:rsid w:val="05D13AC9"/>
    <w:rsid w:val="05D610DF"/>
    <w:rsid w:val="05DB4947"/>
    <w:rsid w:val="05E03D0C"/>
    <w:rsid w:val="05E11832"/>
    <w:rsid w:val="05E530D0"/>
    <w:rsid w:val="05E80E12"/>
    <w:rsid w:val="05EA06E6"/>
    <w:rsid w:val="05EC445F"/>
    <w:rsid w:val="05ED3628"/>
    <w:rsid w:val="05F872A7"/>
    <w:rsid w:val="05F96B7B"/>
    <w:rsid w:val="060C2D53"/>
    <w:rsid w:val="060F639F"/>
    <w:rsid w:val="061340E1"/>
    <w:rsid w:val="0614142C"/>
    <w:rsid w:val="06197813"/>
    <w:rsid w:val="0620235A"/>
    <w:rsid w:val="062067FE"/>
    <w:rsid w:val="06257970"/>
    <w:rsid w:val="062D445F"/>
    <w:rsid w:val="06355981"/>
    <w:rsid w:val="0639341C"/>
    <w:rsid w:val="06415F8F"/>
    <w:rsid w:val="064250C7"/>
    <w:rsid w:val="06562220"/>
    <w:rsid w:val="065830E1"/>
    <w:rsid w:val="06740D75"/>
    <w:rsid w:val="067B57E2"/>
    <w:rsid w:val="06856661"/>
    <w:rsid w:val="068B011B"/>
    <w:rsid w:val="068B503A"/>
    <w:rsid w:val="068E5516"/>
    <w:rsid w:val="06952D48"/>
    <w:rsid w:val="069B740A"/>
    <w:rsid w:val="069D39AB"/>
    <w:rsid w:val="069F5F0E"/>
    <w:rsid w:val="06A05249"/>
    <w:rsid w:val="06A25465"/>
    <w:rsid w:val="06C278B5"/>
    <w:rsid w:val="06D373CC"/>
    <w:rsid w:val="06D66EBD"/>
    <w:rsid w:val="06D7510F"/>
    <w:rsid w:val="06DB29FA"/>
    <w:rsid w:val="06ED4932"/>
    <w:rsid w:val="06F86E33"/>
    <w:rsid w:val="06FE1AEE"/>
    <w:rsid w:val="070103DE"/>
    <w:rsid w:val="07017693"/>
    <w:rsid w:val="070B795F"/>
    <w:rsid w:val="071719AF"/>
    <w:rsid w:val="071F767B"/>
    <w:rsid w:val="07247C28"/>
    <w:rsid w:val="072B545A"/>
    <w:rsid w:val="072D11D3"/>
    <w:rsid w:val="07442078"/>
    <w:rsid w:val="07464042"/>
    <w:rsid w:val="07506C6F"/>
    <w:rsid w:val="07524795"/>
    <w:rsid w:val="075C1AB8"/>
    <w:rsid w:val="076170CE"/>
    <w:rsid w:val="07635C4A"/>
    <w:rsid w:val="076369A2"/>
    <w:rsid w:val="0774295E"/>
    <w:rsid w:val="07832BA1"/>
    <w:rsid w:val="07863FFF"/>
    <w:rsid w:val="0789639D"/>
    <w:rsid w:val="078B7CA7"/>
    <w:rsid w:val="078D3A1F"/>
    <w:rsid w:val="07927288"/>
    <w:rsid w:val="079B7AD3"/>
    <w:rsid w:val="07A70F85"/>
    <w:rsid w:val="07AA45D1"/>
    <w:rsid w:val="07AC659B"/>
    <w:rsid w:val="07B45450"/>
    <w:rsid w:val="07D653C6"/>
    <w:rsid w:val="07DE24CD"/>
    <w:rsid w:val="07E04497"/>
    <w:rsid w:val="07E21FBD"/>
    <w:rsid w:val="07E61381"/>
    <w:rsid w:val="07EA5437"/>
    <w:rsid w:val="07EC4BEA"/>
    <w:rsid w:val="07F52985"/>
    <w:rsid w:val="07F920A1"/>
    <w:rsid w:val="08007A3F"/>
    <w:rsid w:val="08055CAB"/>
    <w:rsid w:val="081B102B"/>
    <w:rsid w:val="08205941"/>
    <w:rsid w:val="082A5712"/>
    <w:rsid w:val="08330C86"/>
    <w:rsid w:val="0837398B"/>
    <w:rsid w:val="08421A12"/>
    <w:rsid w:val="08444A26"/>
    <w:rsid w:val="084762C4"/>
    <w:rsid w:val="084F1BA9"/>
    <w:rsid w:val="085D7896"/>
    <w:rsid w:val="08640C24"/>
    <w:rsid w:val="08702584"/>
    <w:rsid w:val="08746860"/>
    <w:rsid w:val="08762705"/>
    <w:rsid w:val="087846CF"/>
    <w:rsid w:val="088E5CA1"/>
    <w:rsid w:val="089808CE"/>
    <w:rsid w:val="08A2799E"/>
    <w:rsid w:val="08A6123D"/>
    <w:rsid w:val="08A94889"/>
    <w:rsid w:val="08C571E9"/>
    <w:rsid w:val="08D15B8E"/>
    <w:rsid w:val="08D37B58"/>
    <w:rsid w:val="08D4742C"/>
    <w:rsid w:val="08D54A57"/>
    <w:rsid w:val="08D631A4"/>
    <w:rsid w:val="08E753B1"/>
    <w:rsid w:val="08EC3869"/>
    <w:rsid w:val="08F16230"/>
    <w:rsid w:val="090C3286"/>
    <w:rsid w:val="091A12E3"/>
    <w:rsid w:val="09265ED9"/>
    <w:rsid w:val="092D370C"/>
    <w:rsid w:val="09300B06"/>
    <w:rsid w:val="09336431"/>
    <w:rsid w:val="093920B1"/>
    <w:rsid w:val="093C56FD"/>
    <w:rsid w:val="094E3682"/>
    <w:rsid w:val="0954285B"/>
    <w:rsid w:val="09565B9A"/>
    <w:rsid w:val="0978425B"/>
    <w:rsid w:val="097C60B7"/>
    <w:rsid w:val="098D7D07"/>
    <w:rsid w:val="099472E7"/>
    <w:rsid w:val="09A531A2"/>
    <w:rsid w:val="09AA0640"/>
    <w:rsid w:val="09AB63DF"/>
    <w:rsid w:val="09BA4874"/>
    <w:rsid w:val="09D43B87"/>
    <w:rsid w:val="09D973F0"/>
    <w:rsid w:val="09E3201C"/>
    <w:rsid w:val="09E737D8"/>
    <w:rsid w:val="09E825FB"/>
    <w:rsid w:val="09EA33AB"/>
    <w:rsid w:val="09EA5159"/>
    <w:rsid w:val="09EA6F07"/>
    <w:rsid w:val="09EB2C7F"/>
    <w:rsid w:val="09F064E7"/>
    <w:rsid w:val="09F42283"/>
    <w:rsid w:val="09F45FD8"/>
    <w:rsid w:val="09FE29B2"/>
    <w:rsid w:val="0A026946"/>
    <w:rsid w:val="0A040B79"/>
    <w:rsid w:val="0A1252B9"/>
    <w:rsid w:val="0A1C5118"/>
    <w:rsid w:val="0A213A2A"/>
    <w:rsid w:val="0A2C751F"/>
    <w:rsid w:val="0A4800D1"/>
    <w:rsid w:val="0A4C1970"/>
    <w:rsid w:val="0A516F86"/>
    <w:rsid w:val="0A6842D0"/>
    <w:rsid w:val="0A79207A"/>
    <w:rsid w:val="0A8B6D96"/>
    <w:rsid w:val="0A8F4A5A"/>
    <w:rsid w:val="0A9926DB"/>
    <w:rsid w:val="0AA74DF8"/>
    <w:rsid w:val="0AAD0E5D"/>
    <w:rsid w:val="0ABA2D7D"/>
    <w:rsid w:val="0ABB4D47"/>
    <w:rsid w:val="0AC260D6"/>
    <w:rsid w:val="0AE20526"/>
    <w:rsid w:val="0AE44DD0"/>
    <w:rsid w:val="0B06640F"/>
    <w:rsid w:val="0B0A5387"/>
    <w:rsid w:val="0B0E46D0"/>
    <w:rsid w:val="0B1E0C4F"/>
    <w:rsid w:val="0B1F7084"/>
    <w:rsid w:val="0B380146"/>
    <w:rsid w:val="0B4463B8"/>
    <w:rsid w:val="0B446AEB"/>
    <w:rsid w:val="0B464611"/>
    <w:rsid w:val="0B494101"/>
    <w:rsid w:val="0B552AA6"/>
    <w:rsid w:val="0B582596"/>
    <w:rsid w:val="0B6158EF"/>
    <w:rsid w:val="0B896BF3"/>
    <w:rsid w:val="0B93537C"/>
    <w:rsid w:val="0BA47589"/>
    <w:rsid w:val="0BAB72B9"/>
    <w:rsid w:val="0BBD42C7"/>
    <w:rsid w:val="0BC32105"/>
    <w:rsid w:val="0BD16C8D"/>
    <w:rsid w:val="0BD22349"/>
    <w:rsid w:val="0BD47E6F"/>
    <w:rsid w:val="0BE43E2A"/>
    <w:rsid w:val="0C002E78"/>
    <w:rsid w:val="0C0544CC"/>
    <w:rsid w:val="0C05627A"/>
    <w:rsid w:val="0C136C25"/>
    <w:rsid w:val="0C160487"/>
    <w:rsid w:val="0C193513"/>
    <w:rsid w:val="0C1977CA"/>
    <w:rsid w:val="0C201306"/>
    <w:rsid w:val="0C2A5CE1"/>
    <w:rsid w:val="0C2C5C40"/>
    <w:rsid w:val="0C3B1C9C"/>
    <w:rsid w:val="0C3F14E5"/>
    <w:rsid w:val="0C476893"/>
    <w:rsid w:val="0C4C174B"/>
    <w:rsid w:val="0C4F1BEB"/>
    <w:rsid w:val="0C57284E"/>
    <w:rsid w:val="0C5B40EC"/>
    <w:rsid w:val="0C62191E"/>
    <w:rsid w:val="0C6457E9"/>
    <w:rsid w:val="0C727688"/>
    <w:rsid w:val="0C792F95"/>
    <w:rsid w:val="0C882A07"/>
    <w:rsid w:val="0C985340"/>
    <w:rsid w:val="0CA737D5"/>
    <w:rsid w:val="0CAF4438"/>
    <w:rsid w:val="0CB02A4E"/>
    <w:rsid w:val="0CB832EC"/>
    <w:rsid w:val="0CC021A1"/>
    <w:rsid w:val="0CC51EAD"/>
    <w:rsid w:val="0CD619C5"/>
    <w:rsid w:val="0CDA7707"/>
    <w:rsid w:val="0CEE2AA0"/>
    <w:rsid w:val="0CF70FF0"/>
    <w:rsid w:val="0CFA1B57"/>
    <w:rsid w:val="0CFB25DD"/>
    <w:rsid w:val="0D093F37"/>
    <w:rsid w:val="0D0F4ED6"/>
    <w:rsid w:val="0D215336"/>
    <w:rsid w:val="0D50052B"/>
    <w:rsid w:val="0D500855"/>
    <w:rsid w:val="0D51729D"/>
    <w:rsid w:val="0D554FDF"/>
    <w:rsid w:val="0D596A04"/>
    <w:rsid w:val="0D5A43A4"/>
    <w:rsid w:val="0D5D5C42"/>
    <w:rsid w:val="0D5F19BA"/>
    <w:rsid w:val="0D612945"/>
    <w:rsid w:val="0D6245F7"/>
    <w:rsid w:val="0D646FD0"/>
    <w:rsid w:val="0D7A4A46"/>
    <w:rsid w:val="0D8439D4"/>
    <w:rsid w:val="0D904269"/>
    <w:rsid w:val="0D9D1A98"/>
    <w:rsid w:val="0D9F44AC"/>
    <w:rsid w:val="0DA77262"/>
    <w:rsid w:val="0DB55A7E"/>
    <w:rsid w:val="0DB60772"/>
    <w:rsid w:val="0DD40678"/>
    <w:rsid w:val="0DD979BE"/>
    <w:rsid w:val="0DE87C01"/>
    <w:rsid w:val="0DF72D4B"/>
    <w:rsid w:val="0E0236FD"/>
    <w:rsid w:val="0E0802A4"/>
    <w:rsid w:val="0E083E00"/>
    <w:rsid w:val="0E1B7FD7"/>
    <w:rsid w:val="0E1C5AFD"/>
    <w:rsid w:val="0E252C04"/>
    <w:rsid w:val="0E2B5D40"/>
    <w:rsid w:val="0E342E47"/>
    <w:rsid w:val="0E344BF5"/>
    <w:rsid w:val="0E3B1E24"/>
    <w:rsid w:val="0E436153"/>
    <w:rsid w:val="0E5376F8"/>
    <w:rsid w:val="0E54039D"/>
    <w:rsid w:val="0E554B34"/>
    <w:rsid w:val="0E567261"/>
    <w:rsid w:val="0E6C1F07"/>
    <w:rsid w:val="0E7771D7"/>
    <w:rsid w:val="0E7814B0"/>
    <w:rsid w:val="0E792F4F"/>
    <w:rsid w:val="0E7C574F"/>
    <w:rsid w:val="0E820056"/>
    <w:rsid w:val="0E8518F4"/>
    <w:rsid w:val="0E87566C"/>
    <w:rsid w:val="0E8F62CF"/>
    <w:rsid w:val="0E9E6512"/>
    <w:rsid w:val="0EA93835"/>
    <w:rsid w:val="0EAC1011"/>
    <w:rsid w:val="0EB14497"/>
    <w:rsid w:val="0EB9334C"/>
    <w:rsid w:val="0EB9738B"/>
    <w:rsid w:val="0EBB3568"/>
    <w:rsid w:val="0EC248F6"/>
    <w:rsid w:val="0ED62150"/>
    <w:rsid w:val="0ED85EC8"/>
    <w:rsid w:val="0EE478F4"/>
    <w:rsid w:val="0EE91E83"/>
    <w:rsid w:val="0EED1247"/>
    <w:rsid w:val="0EEE7499"/>
    <w:rsid w:val="0EF425D6"/>
    <w:rsid w:val="0EF645A0"/>
    <w:rsid w:val="0F114F36"/>
    <w:rsid w:val="0F135524"/>
    <w:rsid w:val="0F2033CB"/>
    <w:rsid w:val="0F213035"/>
    <w:rsid w:val="0F26545B"/>
    <w:rsid w:val="0F2B249C"/>
    <w:rsid w:val="0F2F1860"/>
    <w:rsid w:val="0F341052"/>
    <w:rsid w:val="0F355AD0"/>
    <w:rsid w:val="0F386966"/>
    <w:rsid w:val="0F386CEF"/>
    <w:rsid w:val="0F3A09C9"/>
    <w:rsid w:val="0F3A448D"/>
    <w:rsid w:val="0F4C0664"/>
    <w:rsid w:val="0F525388"/>
    <w:rsid w:val="0F601A19"/>
    <w:rsid w:val="0F6239E3"/>
    <w:rsid w:val="0F6C6610"/>
    <w:rsid w:val="0F706100"/>
    <w:rsid w:val="0F751969"/>
    <w:rsid w:val="0F835701"/>
    <w:rsid w:val="0F8751F8"/>
    <w:rsid w:val="0F8A6A96"/>
    <w:rsid w:val="0F8C6CB2"/>
    <w:rsid w:val="0F954AE1"/>
    <w:rsid w:val="0FB0474F"/>
    <w:rsid w:val="0FB81855"/>
    <w:rsid w:val="0FBD50BE"/>
    <w:rsid w:val="0FCA42ED"/>
    <w:rsid w:val="0FCC6B67"/>
    <w:rsid w:val="0FCC70AF"/>
    <w:rsid w:val="0FD52407"/>
    <w:rsid w:val="0FDA17CC"/>
    <w:rsid w:val="0FEB1C2B"/>
    <w:rsid w:val="0FF24D67"/>
    <w:rsid w:val="10014FAA"/>
    <w:rsid w:val="10047F17"/>
    <w:rsid w:val="100625C1"/>
    <w:rsid w:val="10120F66"/>
    <w:rsid w:val="10207A4B"/>
    <w:rsid w:val="10267118"/>
    <w:rsid w:val="102C6932"/>
    <w:rsid w:val="10305890"/>
    <w:rsid w:val="1032785A"/>
    <w:rsid w:val="103D2D3A"/>
    <w:rsid w:val="103E1D5B"/>
    <w:rsid w:val="103E61FE"/>
    <w:rsid w:val="10437371"/>
    <w:rsid w:val="10501A8E"/>
    <w:rsid w:val="10505F32"/>
    <w:rsid w:val="10563548"/>
    <w:rsid w:val="105C329C"/>
    <w:rsid w:val="107514F4"/>
    <w:rsid w:val="107C4E2A"/>
    <w:rsid w:val="10831E63"/>
    <w:rsid w:val="108856CC"/>
    <w:rsid w:val="10944070"/>
    <w:rsid w:val="10947BCD"/>
    <w:rsid w:val="10B27729"/>
    <w:rsid w:val="10B85FB1"/>
    <w:rsid w:val="10CD1330"/>
    <w:rsid w:val="10D61603"/>
    <w:rsid w:val="10D821AF"/>
    <w:rsid w:val="10E36DA6"/>
    <w:rsid w:val="10ED552F"/>
    <w:rsid w:val="10F1501F"/>
    <w:rsid w:val="10FD1C16"/>
    <w:rsid w:val="110E5BD1"/>
    <w:rsid w:val="11166833"/>
    <w:rsid w:val="11254CC9"/>
    <w:rsid w:val="11323006"/>
    <w:rsid w:val="113E5D8A"/>
    <w:rsid w:val="11457119"/>
    <w:rsid w:val="114A2981"/>
    <w:rsid w:val="115A7674"/>
    <w:rsid w:val="11603F53"/>
    <w:rsid w:val="116A4DD1"/>
    <w:rsid w:val="116B3023"/>
    <w:rsid w:val="11777DC4"/>
    <w:rsid w:val="11785740"/>
    <w:rsid w:val="117D2D56"/>
    <w:rsid w:val="119C0B35"/>
    <w:rsid w:val="11A93B4C"/>
    <w:rsid w:val="11AB1672"/>
    <w:rsid w:val="11BA3663"/>
    <w:rsid w:val="11DD55A3"/>
    <w:rsid w:val="11DF131B"/>
    <w:rsid w:val="1202500A"/>
    <w:rsid w:val="12031D86"/>
    <w:rsid w:val="120A31E6"/>
    <w:rsid w:val="120E2820"/>
    <w:rsid w:val="122338FE"/>
    <w:rsid w:val="122A4C8C"/>
    <w:rsid w:val="124F46F3"/>
    <w:rsid w:val="12535865"/>
    <w:rsid w:val="12577104"/>
    <w:rsid w:val="125A4E46"/>
    <w:rsid w:val="125C6E10"/>
    <w:rsid w:val="125E66E4"/>
    <w:rsid w:val="127252C6"/>
    <w:rsid w:val="12762995"/>
    <w:rsid w:val="12765E44"/>
    <w:rsid w:val="127777A6"/>
    <w:rsid w:val="127948A5"/>
    <w:rsid w:val="127B54E8"/>
    <w:rsid w:val="127E6D86"/>
    <w:rsid w:val="12842EDA"/>
    <w:rsid w:val="12897A26"/>
    <w:rsid w:val="129D5E80"/>
    <w:rsid w:val="129E349B"/>
    <w:rsid w:val="12A82965"/>
    <w:rsid w:val="12B26A30"/>
    <w:rsid w:val="12B31436"/>
    <w:rsid w:val="12B427A8"/>
    <w:rsid w:val="12CF26D1"/>
    <w:rsid w:val="12D634FB"/>
    <w:rsid w:val="12D90460"/>
    <w:rsid w:val="12DA08F3"/>
    <w:rsid w:val="12E017EF"/>
    <w:rsid w:val="12EE0384"/>
    <w:rsid w:val="12FC5EFD"/>
    <w:rsid w:val="13021765"/>
    <w:rsid w:val="13141499"/>
    <w:rsid w:val="13165211"/>
    <w:rsid w:val="13196AAF"/>
    <w:rsid w:val="13203999"/>
    <w:rsid w:val="13234AE7"/>
    <w:rsid w:val="1326594F"/>
    <w:rsid w:val="13336CBB"/>
    <w:rsid w:val="133F603A"/>
    <w:rsid w:val="13420001"/>
    <w:rsid w:val="134929C3"/>
    <w:rsid w:val="135074D9"/>
    <w:rsid w:val="135A334F"/>
    <w:rsid w:val="135B47CD"/>
    <w:rsid w:val="13646C99"/>
    <w:rsid w:val="13662E40"/>
    <w:rsid w:val="136715C8"/>
    <w:rsid w:val="13767A5D"/>
    <w:rsid w:val="137837D5"/>
    <w:rsid w:val="137D703E"/>
    <w:rsid w:val="138228A6"/>
    <w:rsid w:val="138F0B1F"/>
    <w:rsid w:val="1396735C"/>
    <w:rsid w:val="13971B77"/>
    <w:rsid w:val="139879D4"/>
    <w:rsid w:val="139F5206"/>
    <w:rsid w:val="13A22600"/>
    <w:rsid w:val="13A23F30"/>
    <w:rsid w:val="13AE2B25"/>
    <w:rsid w:val="13C7475D"/>
    <w:rsid w:val="13D053C0"/>
    <w:rsid w:val="13D824C6"/>
    <w:rsid w:val="13E64BE3"/>
    <w:rsid w:val="13E97C98"/>
    <w:rsid w:val="13EB044B"/>
    <w:rsid w:val="13EB3FA7"/>
    <w:rsid w:val="13F53078"/>
    <w:rsid w:val="13F54E26"/>
    <w:rsid w:val="13F76DF0"/>
    <w:rsid w:val="140137CB"/>
    <w:rsid w:val="1407614B"/>
    <w:rsid w:val="140D768E"/>
    <w:rsid w:val="141A2ADF"/>
    <w:rsid w:val="14221993"/>
    <w:rsid w:val="14223741"/>
    <w:rsid w:val="14333BA0"/>
    <w:rsid w:val="1433594E"/>
    <w:rsid w:val="14396787"/>
    <w:rsid w:val="14496F20"/>
    <w:rsid w:val="14502E1F"/>
    <w:rsid w:val="14503F60"/>
    <w:rsid w:val="14515DD5"/>
    <w:rsid w:val="146124BC"/>
    <w:rsid w:val="14755F67"/>
    <w:rsid w:val="14771CDF"/>
    <w:rsid w:val="14832432"/>
    <w:rsid w:val="148B7538"/>
    <w:rsid w:val="14942891"/>
    <w:rsid w:val="149476E0"/>
    <w:rsid w:val="14A52172"/>
    <w:rsid w:val="14A5684C"/>
    <w:rsid w:val="14A625C4"/>
    <w:rsid w:val="14B720DC"/>
    <w:rsid w:val="14CF1B1B"/>
    <w:rsid w:val="14DD4B1E"/>
    <w:rsid w:val="14F25809"/>
    <w:rsid w:val="150712B5"/>
    <w:rsid w:val="150A66AF"/>
    <w:rsid w:val="150B2427"/>
    <w:rsid w:val="152139F9"/>
    <w:rsid w:val="152B4878"/>
    <w:rsid w:val="15311E8E"/>
    <w:rsid w:val="153A0A64"/>
    <w:rsid w:val="153F6FC2"/>
    <w:rsid w:val="1551776E"/>
    <w:rsid w:val="15581A1D"/>
    <w:rsid w:val="156A1844"/>
    <w:rsid w:val="15757437"/>
    <w:rsid w:val="157601E9"/>
    <w:rsid w:val="157E505B"/>
    <w:rsid w:val="158226E9"/>
    <w:rsid w:val="158F12AA"/>
    <w:rsid w:val="1596125A"/>
    <w:rsid w:val="15962639"/>
    <w:rsid w:val="159D5775"/>
    <w:rsid w:val="15A85EC8"/>
    <w:rsid w:val="15A87E7A"/>
    <w:rsid w:val="15AE7982"/>
    <w:rsid w:val="15AF7257"/>
    <w:rsid w:val="15B8435D"/>
    <w:rsid w:val="15B91E83"/>
    <w:rsid w:val="15BA6327"/>
    <w:rsid w:val="15C471A6"/>
    <w:rsid w:val="15CA22E2"/>
    <w:rsid w:val="15CE3B81"/>
    <w:rsid w:val="15D54412"/>
    <w:rsid w:val="15D867AD"/>
    <w:rsid w:val="15DD5B72"/>
    <w:rsid w:val="15DE18EA"/>
    <w:rsid w:val="15DF7B3C"/>
    <w:rsid w:val="15E52C78"/>
    <w:rsid w:val="15EC2259"/>
    <w:rsid w:val="15EF3AF7"/>
    <w:rsid w:val="15F8406B"/>
    <w:rsid w:val="15F92806"/>
    <w:rsid w:val="16105F47"/>
    <w:rsid w:val="16165379"/>
    <w:rsid w:val="161A6DC6"/>
    <w:rsid w:val="16237845"/>
    <w:rsid w:val="163F057B"/>
    <w:rsid w:val="16470429"/>
    <w:rsid w:val="164C2CF7"/>
    <w:rsid w:val="16585B40"/>
    <w:rsid w:val="165B6426"/>
    <w:rsid w:val="16642A79"/>
    <w:rsid w:val="16691AFB"/>
    <w:rsid w:val="166D339A"/>
    <w:rsid w:val="166E258D"/>
    <w:rsid w:val="16774218"/>
    <w:rsid w:val="167A7865"/>
    <w:rsid w:val="167F30CD"/>
    <w:rsid w:val="16826719"/>
    <w:rsid w:val="16866209"/>
    <w:rsid w:val="16917DF9"/>
    <w:rsid w:val="169C5A2D"/>
    <w:rsid w:val="16A6065A"/>
    <w:rsid w:val="16B26FFE"/>
    <w:rsid w:val="16D056D6"/>
    <w:rsid w:val="16D927DD"/>
    <w:rsid w:val="16E318AE"/>
    <w:rsid w:val="16EB2510"/>
    <w:rsid w:val="16EB42BE"/>
    <w:rsid w:val="16F969DB"/>
    <w:rsid w:val="170F61FF"/>
    <w:rsid w:val="171B1048"/>
    <w:rsid w:val="171B1443"/>
    <w:rsid w:val="171F1269"/>
    <w:rsid w:val="1732013F"/>
    <w:rsid w:val="17375756"/>
    <w:rsid w:val="173B13E7"/>
    <w:rsid w:val="17410382"/>
    <w:rsid w:val="174279CC"/>
    <w:rsid w:val="17481711"/>
    <w:rsid w:val="174D4F79"/>
    <w:rsid w:val="1752258F"/>
    <w:rsid w:val="17554800"/>
    <w:rsid w:val="17575DF8"/>
    <w:rsid w:val="175C6F6A"/>
    <w:rsid w:val="17690C84"/>
    <w:rsid w:val="176A5B2B"/>
    <w:rsid w:val="176D5A98"/>
    <w:rsid w:val="176F3141"/>
    <w:rsid w:val="17797B1C"/>
    <w:rsid w:val="177E4F9D"/>
    <w:rsid w:val="178063D9"/>
    <w:rsid w:val="17914E66"/>
    <w:rsid w:val="17946704"/>
    <w:rsid w:val="179761F4"/>
    <w:rsid w:val="17A137BB"/>
    <w:rsid w:val="17A95617"/>
    <w:rsid w:val="17B172B6"/>
    <w:rsid w:val="17B374D2"/>
    <w:rsid w:val="17C05240"/>
    <w:rsid w:val="17C074F9"/>
    <w:rsid w:val="17D86F39"/>
    <w:rsid w:val="17E01981"/>
    <w:rsid w:val="17E51656"/>
    <w:rsid w:val="17E551B2"/>
    <w:rsid w:val="17EC0950"/>
    <w:rsid w:val="17EC6739"/>
    <w:rsid w:val="17F378CF"/>
    <w:rsid w:val="17F65611"/>
    <w:rsid w:val="17F97E97"/>
    <w:rsid w:val="180C6BE2"/>
    <w:rsid w:val="18100480"/>
    <w:rsid w:val="18137F71"/>
    <w:rsid w:val="1816180F"/>
    <w:rsid w:val="18194E5B"/>
    <w:rsid w:val="181C0AC4"/>
    <w:rsid w:val="18245CDA"/>
    <w:rsid w:val="18335F1D"/>
    <w:rsid w:val="18445C6F"/>
    <w:rsid w:val="184822A0"/>
    <w:rsid w:val="18552337"/>
    <w:rsid w:val="18583BD5"/>
    <w:rsid w:val="18876269"/>
    <w:rsid w:val="1890336F"/>
    <w:rsid w:val="189270E7"/>
    <w:rsid w:val="18934C0E"/>
    <w:rsid w:val="18952734"/>
    <w:rsid w:val="189A5F9C"/>
    <w:rsid w:val="18A230A3"/>
    <w:rsid w:val="18A62B93"/>
    <w:rsid w:val="18AD3F21"/>
    <w:rsid w:val="18B0756E"/>
    <w:rsid w:val="18B43502"/>
    <w:rsid w:val="18BB6E52"/>
    <w:rsid w:val="18C15C1F"/>
    <w:rsid w:val="18D06180"/>
    <w:rsid w:val="18D53478"/>
    <w:rsid w:val="18D56FD4"/>
    <w:rsid w:val="18DC65B5"/>
    <w:rsid w:val="18E45469"/>
    <w:rsid w:val="18F04261"/>
    <w:rsid w:val="18F63219"/>
    <w:rsid w:val="18FA2EDF"/>
    <w:rsid w:val="19001EC7"/>
    <w:rsid w:val="1901601B"/>
    <w:rsid w:val="19061883"/>
    <w:rsid w:val="190A1374"/>
    <w:rsid w:val="190F698A"/>
    <w:rsid w:val="19167E2A"/>
    <w:rsid w:val="191F64A1"/>
    <w:rsid w:val="19202945"/>
    <w:rsid w:val="19204790"/>
    <w:rsid w:val="19212219"/>
    <w:rsid w:val="19287A4C"/>
    <w:rsid w:val="19306900"/>
    <w:rsid w:val="19362169"/>
    <w:rsid w:val="193E2DCB"/>
    <w:rsid w:val="194523AC"/>
    <w:rsid w:val="19481E9C"/>
    <w:rsid w:val="19575C3B"/>
    <w:rsid w:val="19597C05"/>
    <w:rsid w:val="195C14A3"/>
    <w:rsid w:val="1968609A"/>
    <w:rsid w:val="196F11D7"/>
    <w:rsid w:val="19762565"/>
    <w:rsid w:val="19864B80"/>
    <w:rsid w:val="199155F1"/>
    <w:rsid w:val="1991777E"/>
    <w:rsid w:val="199D433D"/>
    <w:rsid w:val="19A05834"/>
    <w:rsid w:val="19AA3B33"/>
    <w:rsid w:val="19AA66B3"/>
    <w:rsid w:val="19AD587F"/>
    <w:rsid w:val="19B27315"/>
    <w:rsid w:val="19D11E91"/>
    <w:rsid w:val="19D16F1B"/>
    <w:rsid w:val="19D86DBA"/>
    <w:rsid w:val="19DB4ABE"/>
    <w:rsid w:val="19E41BC5"/>
    <w:rsid w:val="19E420CD"/>
    <w:rsid w:val="19E56F3B"/>
    <w:rsid w:val="19EF056A"/>
    <w:rsid w:val="19FB2C6F"/>
    <w:rsid w:val="19FE2B4E"/>
    <w:rsid w:val="1A07140F"/>
    <w:rsid w:val="1A0933D9"/>
    <w:rsid w:val="1A0D716D"/>
    <w:rsid w:val="1A13022B"/>
    <w:rsid w:val="1A147FD0"/>
    <w:rsid w:val="1A197394"/>
    <w:rsid w:val="1A2F6BB8"/>
    <w:rsid w:val="1A5B79AD"/>
    <w:rsid w:val="1A6C5716"/>
    <w:rsid w:val="1A7C55D5"/>
    <w:rsid w:val="1A8213DE"/>
    <w:rsid w:val="1A8E38DF"/>
    <w:rsid w:val="1A98475D"/>
    <w:rsid w:val="1AA032BF"/>
    <w:rsid w:val="1AAC0209"/>
    <w:rsid w:val="1AAD645B"/>
    <w:rsid w:val="1ABC669E"/>
    <w:rsid w:val="1ABE79FB"/>
    <w:rsid w:val="1ABF7F3C"/>
    <w:rsid w:val="1AC75042"/>
    <w:rsid w:val="1AD87250"/>
    <w:rsid w:val="1AD94EBD"/>
    <w:rsid w:val="1ADA6B24"/>
    <w:rsid w:val="1AE06137"/>
    <w:rsid w:val="1AE479A2"/>
    <w:rsid w:val="1AFA16BC"/>
    <w:rsid w:val="1B03607B"/>
    <w:rsid w:val="1B122762"/>
    <w:rsid w:val="1B13504C"/>
    <w:rsid w:val="1B356450"/>
    <w:rsid w:val="1B3B5E61"/>
    <w:rsid w:val="1B4A38B5"/>
    <w:rsid w:val="1B55264E"/>
    <w:rsid w:val="1B5A7C65"/>
    <w:rsid w:val="1B6603B7"/>
    <w:rsid w:val="1B676A58"/>
    <w:rsid w:val="1B6D7998"/>
    <w:rsid w:val="1B721452"/>
    <w:rsid w:val="1B742AD4"/>
    <w:rsid w:val="1B79633D"/>
    <w:rsid w:val="1B860889"/>
    <w:rsid w:val="1B8C7C0C"/>
    <w:rsid w:val="1B9117F5"/>
    <w:rsid w:val="1B9C202B"/>
    <w:rsid w:val="1BB05AD7"/>
    <w:rsid w:val="1BB43819"/>
    <w:rsid w:val="1BC31CAE"/>
    <w:rsid w:val="1BE0460E"/>
    <w:rsid w:val="1BE656A4"/>
    <w:rsid w:val="1BF12377"/>
    <w:rsid w:val="1BFE6842"/>
    <w:rsid w:val="1C0227D6"/>
    <w:rsid w:val="1C0C71B1"/>
    <w:rsid w:val="1C0F0A4F"/>
    <w:rsid w:val="1C1B3898"/>
    <w:rsid w:val="1C224C26"/>
    <w:rsid w:val="1C2F2E9F"/>
    <w:rsid w:val="1C33473D"/>
    <w:rsid w:val="1C3861F8"/>
    <w:rsid w:val="1C3B7A96"/>
    <w:rsid w:val="1C4E5A1B"/>
    <w:rsid w:val="1C5277F9"/>
    <w:rsid w:val="1C5973FF"/>
    <w:rsid w:val="1C5B6A68"/>
    <w:rsid w:val="1C654B13"/>
    <w:rsid w:val="1C676ADD"/>
    <w:rsid w:val="1C8651B5"/>
    <w:rsid w:val="1C872CDB"/>
    <w:rsid w:val="1C8F6289"/>
    <w:rsid w:val="1C9F0025"/>
    <w:rsid w:val="1C9F6277"/>
    <w:rsid w:val="1CB54E7E"/>
    <w:rsid w:val="1CC76252"/>
    <w:rsid w:val="1CDA72AF"/>
    <w:rsid w:val="1CDD28FB"/>
    <w:rsid w:val="1CEB6DC6"/>
    <w:rsid w:val="1CEF7861"/>
    <w:rsid w:val="1CF2284B"/>
    <w:rsid w:val="1D090CE6"/>
    <w:rsid w:val="1D1A76CF"/>
    <w:rsid w:val="1D207523"/>
    <w:rsid w:val="1D22457C"/>
    <w:rsid w:val="1D293D92"/>
    <w:rsid w:val="1D305121"/>
    <w:rsid w:val="1D547061"/>
    <w:rsid w:val="1D5F1562"/>
    <w:rsid w:val="1D66713A"/>
    <w:rsid w:val="1D69307D"/>
    <w:rsid w:val="1D6D1ED1"/>
    <w:rsid w:val="1D792C6C"/>
    <w:rsid w:val="1D7C3EC2"/>
    <w:rsid w:val="1D807432"/>
    <w:rsid w:val="1D870FE7"/>
    <w:rsid w:val="1D882867"/>
    <w:rsid w:val="1D8B2357"/>
    <w:rsid w:val="1D8C6292"/>
    <w:rsid w:val="1D8D4321"/>
    <w:rsid w:val="1D9531D6"/>
    <w:rsid w:val="1D9B2F98"/>
    <w:rsid w:val="1DA86FA8"/>
    <w:rsid w:val="1DB16262"/>
    <w:rsid w:val="1DB56EF7"/>
    <w:rsid w:val="1DC1221D"/>
    <w:rsid w:val="1DC56516"/>
    <w:rsid w:val="1DD37CB0"/>
    <w:rsid w:val="1DD86B6A"/>
    <w:rsid w:val="1DD9668B"/>
    <w:rsid w:val="1DDB48FA"/>
    <w:rsid w:val="1DDE2DCF"/>
    <w:rsid w:val="1DF06353"/>
    <w:rsid w:val="1DF63C75"/>
    <w:rsid w:val="1DF8418D"/>
    <w:rsid w:val="1E05210A"/>
    <w:rsid w:val="1E0771BC"/>
    <w:rsid w:val="1E097454"/>
    <w:rsid w:val="1E162569"/>
    <w:rsid w:val="1E2A4A74"/>
    <w:rsid w:val="1E305547"/>
    <w:rsid w:val="1E311151"/>
    <w:rsid w:val="1E3429EF"/>
    <w:rsid w:val="1E432C32"/>
    <w:rsid w:val="1E4F5A7B"/>
    <w:rsid w:val="1E5135A1"/>
    <w:rsid w:val="1E580DC1"/>
    <w:rsid w:val="1E592455"/>
    <w:rsid w:val="1E594203"/>
    <w:rsid w:val="1E5D3CF4"/>
    <w:rsid w:val="1E5E7A6C"/>
    <w:rsid w:val="1E65704C"/>
    <w:rsid w:val="1E721445"/>
    <w:rsid w:val="1E77796A"/>
    <w:rsid w:val="1E890F8D"/>
    <w:rsid w:val="1E8A6AB3"/>
    <w:rsid w:val="1E9811D0"/>
    <w:rsid w:val="1EAE3776"/>
    <w:rsid w:val="1EB3050C"/>
    <w:rsid w:val="1EB37962"/>
    <w:rsid w:val="1EDA3EAE"/>
    <w:rsid w:val="1EDD4E34"/>
    <w:rsid w:val="1EE7180F"/>
    <w:rsid w:val="1EEB221A"/>
    <w:rsid w:val="1EEC32CA"/>
    <w:rsid w:val="1F037238"/>
    <w:rsid w:val="1F040613"/>
    <w:rsid w:val="1F070103"/>
    <w:rsid w:val="1F122D30"/>
    <w:rsid w:val="1F130856"/>
    <w:rsid w:val="1F15637C"/>
    <w:rsid w:val="1F1E3A4B"/>
    <w:rsid w:val="1F30765A"/>
    <w:rsid w:val="1F372797"/>
    <w:rsid w:val="1F394761"/>
    <w:rsid w:val="1F3D6EEB"/>
    <w:rsid w:val="1F635CD3"/>
    <w:rsid w:val="1F645556"/>
    <w:rsid w:val="1F664E2A"/>
    <w:rsid w:val="1F686DF4"/>
    <w:rsid w:val="1F7312F5"/>
    <w:rsid w:val="1F770DE5"/>
    <w:rsid w:val="1F7A08D5"/>
    <w:rsid w:val="1F7A2B3D"/>
    <w:rsid w:val="1F8B426D"/>
    <w:rsid w:val="1F903C55"/>
    <w:rsid w:val="1F90634B"/>
    <w:rsid w:val="1F923E71"/>
    <w:rsid w:val="1F982DAF"/>
    <w:rsid w:val="1F9D6372"/>
    <w:rsid w:val="1FB57B5F"/>
    <w:rsid w:val="1FBE0ADC"/>
    <w:rsid w:val="1FBE4C66"/>
    <w:rsid w:val="1FC61D6D"/>
    <w:rsid w:val="1FD06747"/>
    <w:rsid w:val="1FD224BF"/>
    <w:rsid w:val="1FD46237"/>
    <w:rsid w:val="1FDC333E"/>
    <w:rsid w:val="1FDE0E64"/>
    <w:rsid w:val="1FE26B1A"/>
    <w:rsid w:val="1FF71F26"/>
    <w:rsid w:val="200D1749"/>
    <w:rsid w:val="200E5B2C"/>
    <w:rsid w:val="201C591C"/>
    <w:rsid w:val="203211B0"/>
    <w:rsid w:val="203521EF"/>
    <w:rsid w:val="203F19F6"/>
    <w:rsid w:val="20442B2C"/>
    <w:rsid w:val="20457135"/>
    <w:rsid w:val="20534118"/>
    <w:rsid w:val="205B26C9"/>
    <w:rsid w:val="20601879"/>
    <w:rsid w:val="206550E2"/>
    <w:rsid w:val="20803CC9"/>
    <w:rsid w:val="208D608B"/>
    <w:rsid w:val="209440A5"/>
    <w:rsid w:val="20B322F1"/>
    <w:rsid w:val="20B3409F"/>
    <w:rsid w:val="20BF0C96"/>
    <w:rsid w:val="20C94425"/>
    <w:rsid w:val="20CA3197"/>
    <w:rsid w:val="20CB7022"/>
    <w:rsid w:val="20D14525"/>
    <w:rsid w:val="20D61B3B"/>
    <w:rsid w:val="20DB53A4"/>
    <w:rsid w:val="21025026"/>
    <w:rsid w:val="21054E3C"/>
    <w:rsid w:val="210F504D"/>
    <w:rsid w:val="21230F39"/>
    <w:rsid w:val="21284B64"/>
    <w:rsid w:val="212A1E87"/>
    <w:rsid w:val="212C5BFF"/>
    <w:rsid w:val="21444C6A"/>
    <w:rsid w:val="214B42D7"/>
    <w:rsid w:val="215533A8"/>
    <w:rsid w:val="21667363"/>
    <w:rsid w:val="21690C01"/>
    <w:rsid w:val="21694B6A"/>
    <w:rsid w:val="21734785"/>
    <w:rsid w:val="217355DC"/>
    <w:rsid w:val="21957C48"/>
    <w:rsid w:val="21A25EC1"/>
    <w:rsid w:val="21A32365"/>
    <w:rsid w:val="21AA2676"/>
    <w:rsid w:val="21AD7A74"/>
    <w:rsid w:val="21B207FA"/>
    <w:rsid w:val="21BC3427"/>
    <w:rsid w:val="21BC51D5"/>
    <w:rsid w:val="21C032D7"/>
    <w:rsid w:val="21C26DC4"/>
    <w:rsid w:val="21CF7580"/>
    <w:rsid w:val="21D544E9"/>
    <w:rsid w:val="21D56297"/>
    <w:rsid w:val="21DE339D"/>
    <w:rsid w:val="21ED3F31"/>
    <w:rsid w:val="2205092A"/>
    <w:rsid w:val="220646A2"/>
    <w:rsid w:val="22077054"/>
    <w:rsid w:val="220B1A78"/>
    <w:rsid w:val="22161544"/>
    <w:rsid w:val="221B32F3"/>
    <w:rsid w:val="221D3CD5"/>
    <w:rsid w:val="222334A6"/>
    <w:rsid w:val="223628EE"/>
    <w:rsid w:val="22362CB2"/>
    <w:rsid w:val="22485351"/>
    <w:rsid w:val="22574EFE"/>
    <w:rsid w:val="225E628C"/>
    <w:rsid w:val="226118D9"/>
    <w:rsid w:val="226F2247"/>
    <w:rsid w:val="22723AE6"/>
    <w:rsid w:val="227930C6"/>
    <w:rsid w:val="22853819"/>
    <w:rsid w:val="22857CBD"/>
    <w:rsid w:val="22885BF9"/>
    <w:rsid w:val="228F28EA"/>
    <w:rsid w:val="22914F59"/>
    <w:rsid w:val="22963C78"/>
    <w:rsid w:val="229A31E3"/>
    <w:rsid w:val="229D0A25"/>
    <w:rsid w:val="22A00A9F"/>
    <w:rsid w:val="22B45EAC"/>
    <w:rsid w:val="22B97967"/>
    <w:rsid w:val="22BD1205"/>
    <w:rsid w:val="22C015C6"/>
    <w:rsid w:val="22C73E32"/>
    <w:rsid w:val="22E9024C"/>
    <w:rsid w:val="22EC03E0"/>
    <w:rsid w:val="22F64197"/>
    <w:rsid w:val="22F866E1"/>
    <w:rsid w:val="23046E34"/>
    <w:rsid w:val="231B23CF"/>
    <w:rsid w:val="231B5F2B"/>
    <w:rsid w:val="231F22D2"/>
    <w:rsid w:val="2322550C"/>
    <w:rsid w:val="23233C10"/>
    <w:rsid w:val="232A404B"/>
    <w:rsid w:val="232D3CFA"/>
    <w:rsid w:val="23356FED"/>
    <w:rsid w:val="23476D20"/>
    <w:rsid w:val="23492A98"/>
    <w:rsid w:val="234E4553"/>
    <w:rsid w:val="235D7B13"/>
    <w:rsid w:val="23786BBE"/>
    <w:rsid w:val="238241FC"/>
    <w:rsid w:val="23825FAA"/>
    <w:rsid w:val="23867849"/>
    <w:rsid w:val="238A4A63"/>
    <w:rsid w:val="238C0BD7"/>
    <w:rsid w:val="238F0CD0"/>
    <w:rsid w:val="23957A8C"/>
    <w:rsid w:val="23A979DB"/>
    <w:rsid w:val="23B26C7F"/>
    <w:rsid w:val="23B4085A"/>
    <w:rsid w:val="23CD4F5D"/>
    <w:rsid w:val="23CF2680"/>
    <w:rsid w:val="23D04F68"/>
    <w:rsid w:val="23D20CE0"/>
    <w:rsid w:val="23DF164F"/>
    <w:rsid w:val="23E66539"/>
    <w:rsid w:val="23F0560A"/>
    <w:rsid w:val="24055C52"/>
    <w:rsid w:val="2406098A"/>
    <w:rsid w:val="24101808"/>
    <w:rsid w:val="241A61E3"/>
    <w:rsid w:val="241C01AD"/>
    <w:rsid w:val="24263CBA"/>
    <w:rsid w:val="24285418"/>
    <w:rsid w:val="242E5F6A"/>
    <w:rsid w:val="24355030"/>
    <w:rsid w:val="243F3E9B"/>
    <w:rsid w:val="245A0267"/>
    <w:rsid w:val="245F009A"/>
    <w:rsid w:val="24630CDF"/>
    <w:rsid w:val="246B4C91"/>
    <w:rsid w:val="24717E32"/>
    <w:rsid w:val="249441E7"/>
    <w:rsid w:val="249D12EE"/>
    <w:rsid w:val="24B44889"/>
    <w:rsid w:val="24BC0D58"/>
    <w:rsid w:val="24C20D54"/>
    <w:rsid w:val="24D665AE"/>
    <w:rsid w:val="24DD2148"/>
    <w:rsid w:val="24E02ED4"/>
    <w:rsid w:val="24EA2059"/>
    <w:rsid w:val="24F276CC"/>
    <w:rsid w:val="24F84776"/>
    <w:rsid w:val="25096983"/>
    <w:rsid w:val="251175E6"/>
    <w:rsid w:val="251573C2"/>
    <w:rsid w:val="25185725"/>
    <w:rsid w:val="25315EDA"/>
    <w:rsid w:val="25317C88"/>
    <w:rsid w:val="2533755C"/>
    <w:rsid w:val="25445C0D"/>
    <w:rsid w:val="25453733"/>
    <w:rsid w:val="25496D80"/>
    <w:rsid w:val="254E25E8"/>
    <w:rsid w:val="255045B2"/>
    <w:rsid w:val="255B466D"/>
    <w:rsid w:val="255B51F0"/>
    <w:rsid w:val="255D10B6"/>
    <w:rsid w:val="256911D0"/>
    <w:rsid w:val="256C2FEB"/>
    <w:rsid w:val="257F09F3"/>
    <w:rsid w:val="25A21C31"/>
    <w:rsid w:val="25A641D2"/>
    <w:rsid w:val="25B12B77"/>
    <w:rsid w:val="25C1100C"/>
    <w:rsid w:val="25C17FDD"/>
    <w:rsid w:val="25C428AA"/>
    <w:rsid w:val="25C603D0"/>
    <w:rsid w:val="25D10350"/>
    <w:rsid w:val="25DC4098"/>
    <w:rsid w:val="25E023B3"/>
    <w:rsid w:val="25FF342A"/>
    <w:rsid w:val="260929B3"/>
    <w:rsid w:val="260D24A3"/>
    <w:rsid w:val="260F6838"/>
    <w:rsid w:val="26103D41"/>
    <w:rsid w:val="26115BA3"/>
    <w:rsid w:val="261878D4"/>
    <w:rsid w:val="26213859"/>
    <w:rsid w:val="263537A8"/>
    <w:rsid w:val="26372B43"/>
    <w:rsid w:val="263B7010"/>
    <w:rsid w:val="264834DB"/>
    <w:rsid w:val="265956E8"/>
    <w:rsid w:val="265A320F"/>
    <w:rsid w:val="265D7EFE"/>
    <w:rsid w:val="265F7B65"/>
    <w:rsid w:val="2661634B"/>
    <w:rsid w:val="266B71CA"/>
    <w:rsid w:val="266F6CBA"/>
    <w:rsid w:val="267A740D"/>
    <w:rsid w:val="267E6EFD"/>
    <w:rsid w:val="268100BF"/>
    <w:rsid w:val="2694227D"/>
    <w:rsid w:val="26A1499A"/>
    <w:rsid w:val="26AF1BEB"/>
    <w:rsid w:val="26B24DF9"/>
    <w:rsid w:val="26C40874"/>
    <w:rsid w:val="26CA2142"/>
    <w:rsid w:val="26E256DE"/>
    <w:rsid w:val="26E52AD8"/>
    <w:rsid w:val="26ED5E31"/>
    <w:rsid w:val="26ED7BDF"/>
    <w:rsid w:val="26EE4083"/>
    <w:rsid w:val="26EF3957"/>
    <w:rsid w:val="26F176CF"/>
    <w:rsid w:val="26F947D6"/>
    <w:rsid w:val="271B0BF0"/>
    <w:rsid w:val="272A0E33"/>
    <w:rsid w:val="27315D1D"/>
    <w:rsid w:val="27361586"/>
    <w:rsid w:val="273B094A"/>
    <w:rsid w:val="2742617D"/>
    <w:rsid w:val="274C0DA9"/>
    <w:rsid w:val="27677991"/>
    <w:rsid w:val="27922F76"/>
    <w:rsid w:val="27952750"/>
    <w:rsid w:val="27A9380F"/>
    <w:rsid w:val="27B23302"/>
    <w:rsid w:val="27B506FD"/>
    <w:rsid w:val="27B92C6D"/>
    <w:rsid w:val="27DA63B5"/>
    <w:rsid w:val="27DF39CB"/>
    <w:rsid w:val="27E40FE2"/>
    <w:rsid w:val="27E92A9C"/>
    <w:rsid w:val="27ED3738"/>
    <w:rsid w:val="27ED433A"/>
    <w:rsid w:val="27F05BD9"/>
    <w:rsid w:val="27FD02F5"/>
    <w:rsid w:val="27FF5F77"/>
    <w:rsid w:val="280B47C0"/>
    <w:rsid w:val="280B656E"/>
    <w:rsid w:val="281A7247"/>
    <w:rsid w:val="28333331"/>
    <w:rsid w:val="28461C9C"/>
    <w:rsid w:val="28463A4A"/>
    <w:rsid w:val="284C4266"/>
    <w:rsid w:val="284D302B"/>
    <w:rsid w:val="28514C1F"/>
    <w:rsid w:val="28561465"/>
    <w:rsid w:val="28665E9B"/>
    <w:rsid w:val="286F7C9A"/>
    <w:rsid w:val="28700AC7"/>
    <w:rsid w:val="2874680A"/>
    <w:rsid w:val="287C746C"/>
    <w:rsid w:val="287F0D0A"/>
    <w:rsid w:val="288D78CB"/>
    <w:rsid w:val="289E4744"/>
    <w:rsid w:val="28B409B4"/>
    <w:rsid w:val="28BE1833"/>
    <w:rsid w:val="28D01566"/>
    <w:rsid w:val="28D41600"/>
    <w:rsid w:val="28D64960"/>
    <w:rsid w:val="28D9041B"/>
    <w:rsid w:val="28E53263"/>
    <w:rsid w:val="28E868B0"/>
    <w:rsid w:val="28FD4A6E"/>
    <w:rsid w:val="29032A64"/>
    <w:rsid w:val="29170B88"/>
    <w:rsid w:val="29192F0D"/>
    <w:rsid w:val="292A0397"/>
    <w:rsid w:val="292C2C40"/>
    <w:rsid w:val="292F376A"/>
    <w:rsid w:val="29341AF5"/>
    <w:rsid w:val="293D4E4D"/>
    <w:rsid w:val="29480D4F"/>
    <w:rsid w:val="294A57BC"/>
    <w:rsid w:val="294C5091"/>
    <w:rsid w:val="296D5007"/>
    <w:rsid w:val="297D19A3"/>
    <w:rsid w:val="297E7214"/>
    <w:rsid w:val="298962E5"/>
    <w:rsid w:val="299A404E"/>
    <w:rsid w:val="299B7DC6"/>
    <w:rsid w:val="29A827C3"/>
    <w:rsid w:val="29A94291"/>
    <w:rsid w:val="29A9603F"/>
    <w:rsid w:val="29B36EBE"/>
    <w:rsid w:val="29B570DA"/>
    <w:rsid w:val="29BE7E45"/>
    <w:rsid w:val="29C15A7E"/>
    <w:rsid w:val="29C54E43"/>
    <w:rsid w:val="29E40114"/>
    <w:rsid w:val="29E8288F"/>
    <w:rsid w:val="29E92C64"/>
    <w:rsid w:val="29F666F3"/>
    <w:rsid w:val="2A094D30"/>
    <w:rsid w:val="2A0C2A72"/>
    <w:rsid w:val="2A1A0CEB"/>
    <w:rsid w:val="2A1D31FF"/>
    <w:rsid w:val="2A1F09F7"/>
    <w:rsid w:val="2A257690"/>
    <w:rsid w:val="2A2658E2"/>
    <w:rsid w:val="2A2A2E73"/>
    <w:rsid w:val="2A2C0A1E"/>
    <w:rsid w:val="2A2C4823"/>
    <w:rsid w:val="2A36189D"/>
    <w:rsid w:val="2A3C3357"/>
    <w:rsid w:val="2A411D8E"/>
    <w:rsid w:val="2A506E02"/>
    <w:rsid w:val="2A511AEE"/>
    <w:rsid w:val="2A582EA2"/>
    <w:rsid w:val="2A6B4B39"/>
    <w:rsid w:val="2A720B27"/>
    <w:rsid w:val="2A731D2F"/>
    <w:rsid w:val="2A750012"/>
    <w:rsid w:val="2A842608"/>
    <w:rsid w:val="2A922F77"/>
    <w:rsid w:val="2AA26847"/>
    <w:rsid w:val="2AA333D6"/>
    <w:rsid w:val="2AA8279A"/>
    <w:rsid w:val="2AB4113F"/>
    <w:rsid w:val="2AD155D0"/>
    <w:rsid w:val="2AD43590"/>
    <w:rsid w:val="2AD74E2E"/>
    <w:rsid w:val="2ADF3CE2"/>
    <w:rsid w:val="2AE00186"/>
    <w:rsid w:val="2AEA2DB3"/>
    <w:rsid w:val="2B02634F"/>
    <w:rsid w:val="2B0458B1"/>
    <w:rsid w:val="2B08148B"/>
    <w:rsid w:val="2B0A5203"/>
    <w:rsid w:val="2B0D4CF3"/>
    <w:rsid w:val="2B0D72D9"/>
    <w:rsid w:val="2B110340"/>
    <w:rsid w:val="2B1240B8"/>
    <w:rsid w:val="2B125E66"/>
    <w:rsid w:val="2B164E19"/>
    <w:rsid w:val="2B2E75CF"/>
    <w:rsid w:val="2B3E4141"/>
    <w:rsid w:val="2B534B18"/>
    <w:rsid w:val="2B65068C"/>
    <w:rsid w:val="2B6568DD"/>
    <w:rsid w:val="2B6A7A50"/>
    <w:rsid w:val="2B726905"/>
    <w:rsid w:val="2B7B7EAF"/>
    <w:rsid w:val="2B976230"/>
    <w:rsid w:val="2BA07916"/>
    <w:rsid w:val="2BAE3DE1"/>
    <w:rsid w:val="2BB90BAA"/>
    <w:rsid w:val="2BBB64FD"/>
    <w:rsid w:val="2BBE1B4A"/>
    <w:rsid w:val="2BD575BF"/>
    <w:rsid w:val="2BD80E5D"/>
    <w:rsid w:val="2BDA2E28"/>
    <w:rsid w:val="2BF51A0F"/>
    <w:rsid w:val="2C057779"/>
    <w:rsid w:val="2C077995"/>
    <w:rsid w:val="2C2241A1"/>
    <w:rsid w:val="2C2916B9"/>
    <w:rsid w:val="2C2C73FB"/>
    <w:rsid w:val="2C2E6CCF"/>
    <w:rsid w:val="2C2F3808"/>
    <w:rsid w:val="2C363767"/>
    <w:rsid w:val="2C3818FC"/>
    <w:rsid w:val="2C3B13EC"/>
    <w:rsid w:val="2C42659E"/>
    <w:rsid w:val="2C471B3F"/>
    <w:rsid w:val="2C4E7372"/>
    <w:rsid w:val="2C5030EA"/>
    <w:rsid w:val="2C646A00"/>
    <w:rsid w:val="2C6C4E68"/>
    <w:rsid w:val="2C795659"/>
    <w:rsid w:val="2C804E09"/>
    <w:rsid w:val="2C9A4365"/>
    <w:rsid w:val="2C9E4E1F"/>
    <w:rsid w:val="2CA451E4"/>
    <w:rsid w:val="2CA64AB8"/>
    <w:rsid w:val="2CAE7E10"/>
    <w:rsid w:val="2CB03B88"/>
    <w:rsid w:val="2CB05936"/>
    <w:rsid w:val="2CB573F1"/>
    <w:rsid w:val="2CBC42DB"/>
    <w:rsid w:val="2CBE1DCE"/>
    <w:rsid w:val="2CC43190"/>
    <w:rsid w:val="2CC648A7"/>
    <w:rsid w:val="2CC969F8"/>
    <w:rsid w:val="2CE455E0"/>
    <w:rsid w:val="2CF41CC7"/>
    <w:rsid w:val="2CF577ED"/>
    <w:rsid w:val="2CF77A09"/>
    <w:rsid w:val="2CFD367A"/>
    <w:rsid w:val="2CFE00C2"/>
    <w:rsid w:val="2D03015C"/>
    <w:rsid w:val="2D053ED4"/>
    <w:rsid w:val="2D07749B"/>
    <w:rsid w:val="2D0855E2"/>
    <w:rsid w:val="2D087877"/>
    <w:rsid w:val="2D177764"/>
    <w:rsid w:val="2D1944EE"/>
    <w:rsid w:val="2D1A7254"/>
    <w:rsid w:val="2D1E6D44"/>
    <w:rsid w:val="2D2101FF"/>
    <w:rsid w:val="2D265BF9"/>
    <w:rsid w:val="2D3B78F6"/>
    <w:rsid w:val="2D4F514F"/>
    <w:rsid w:val="2D52241C"/>
    <w:rsid w:val="2D5E734A"/>
    <w:rsid w:val="2D6F75A0"/>
    <w:rsid w:val="2D9214E0"/>
    <w:rsid w:val="2D9841F5"/>
    <w:rsid w:val="2D9A3135"/>
    <w:rsid w:val="2DA12AFE"/>
    <w:rsid w:val="2DA60AE7"/>
    <w:rsid w:val="2DC93154"/>
    <w:rsid w:val="2DD65871"/>
    <w:rsid w:val="2DDD09AD"/>
    <w:rsid w:val="2DDD275B"/>
    <w:rsid w:val="2DE85A95"/>
    <w:rsid w:val="2DEF248E"/>
    <w:rsid w:val="2DF1175B"/>
    <w:rsid w:val="2DF734CE"/>
    <w:rsid w:val="2DF9330D"/>
    <w:rsid w:val="2DFD2DFD"/>
    <w:rsid w:val="2E0217E2"/>
    <w:rsid w:val="2E0221C2"/>
    <w:rsid w:val="2E080A74"/>
    <w:rsid w:val="2E0E00AB"/>
    <w:rsid w:val="2E1168A9"/>
    <w:rsid w:val="2E163EBF"/>
    <w:rsid w:val="2E2D67F4"/>
    <w:rsid w:val="2E2E745B"/>
    <w:rsid w:val="2E3600BD"/>
    <w:rsid w:val="2E505623"/>
    <w:rsid w:val="2E5B05C7"/>
    <w:rsid w:val="2E5C5D76"/>
    <w:rsid w:val="2E5F7614"/>
    <w:rsid w:val="2E685673"/>
    <w:rsid w:val="2E6D17FD"/>
    <w:rsid w:val="2E6D4AF8"/>
    <w:rsid w:val="2E740382"/>
    <w:rsid w:val="2E8157DC"/>
    <w:rsid w:val="2E8452CD"/>
    <w:rsid w:val="2E8E614B"/>
    <w:rsid w:val="2E913546"/>
    <w:rsid w:val="2E982B26"/>
    <w:rsid w:val="2EBC05C2"/>
    <w:rsid w:val="2EC27BA3"/>
    <w:rsid w:val="2EC35C05"/>
    <w:rsid w:val="2EC6771B"/>
    <w:rsid w:val="2EC92CDF"/>
    <w:rsid w:val="2EE93382"/>
    <w:rsid w:val="2EEA15D4"/>
    <w:rsid w:val="2EF44200"/>
    <w:rsid w:val="2EFA558F"/>
    <w:rsid w:val="2EFE0BDB"/>
    <w:rsid w:val="2F0F2DE8"/>
    <w:rsid w:val="2F115F90"/>
    <w:rsid w:val="2F155773"/>
    <w:rsid w:val="2F213320"/>
    <w:rsid w:val="2F2443BA"/>
    <w:rsid w:val="2F255A3C"/>
    <w:rsid w:val="2F265519"/>
    <w:rsid w:val="2F436F36"/>
    <w:rsid w:val="2F45680A"/>
    <w:rsid w:val="2F5702EB"/>
    <w:rsid w:val="2F5C3712"/>
    <w:rsid w:val="2F5E167A"/>
    <w:rsid w:val="2F656EAC"/>
    <w:rsid w:val="2F68074A"/>
    <w:rsid w:val="2F6924EC"/>
    <w:rsid w:val="2F6F3887"/>
    <w:rsid w:val="2F714771"/>
    <w:rsid w:val="2F75142D"/>
    <w:rsid w:val="2F7B66D0"/>
    <w:rsid w:val="2F991FA5"/>
    <w:rsid w:val="2F9A42F1"/>
    <w:rsid w:val="2F9A7B21"/>
    <w:rsid w:val="2F9B26EF"/>
    <w:rsid w:val="2FA15353"/>
    <w:rsid w:val="2FA774C5"/>
    <w:rsid w:val="2FB41BE1"/>
    <w:rsid w:val="2FC41F00"/>
    <w:rsid w:val="2FC55B9D"/>
    <w:rsid w:val="2FD162F0"/>
    <w:rsid w:val="2FDB2CCA"/>
    <w:rsid w:val="2FEC137B"/>
    <w:rsid w:val="2FF16992"/>
    <w:rsid w:val="2FFA3A98"/>
    <w:rsid w:val="30006BD5"/>
    <w:rsid w:val="30105E96"/>
    <w:rsid w:val="302D729E"/>
    <w:rsid w:val="30314FE0"/>
    <w:rsid w:val="30354B88"/>
    <w:rsid w:val="303B7C0D"/>
    <w:rsid w:val="30420F9B"/>
    <w:rsid w:val="304271ED"/>
    <w:rsid w:val="30442F65"/>
    <w:rsid w:val="30444D13"/>
    <w:rsid w:val="304623A9"/>
    <w:rsid w:val="30471E1A"/>
    <w:rsid w:val="305D382D"/>
    <w:rsid w:val="30703D5A"/>
    <w:rsid w:val="30760C45"/>
    <w:rsid w:val="30874C00"/>
    <w:rsid w:val="308C2216"/>
    <w:rsid w:val="308C66BA"/>
    <w:rsid w:val="30907F59"/>
    <w:rsid w:val="309C01A1"/>
    <w:rsid w:val="309F019C"/>
    <w:rsid w:val="30A532D8"/>
    <w:rsid w:val="30B04157"/>
    <w:rsid w:val="30B21F41"/>
    <w:rsid w:val="30D616E4"/>
    <w:rsid w:val="30EE4C7F"/>
    <w:rsid w:val="30EF7582"/>
    <w:rsid w:val="30FA3624"/>
    <w:rsid w:val="3102072B"/>
    <w:rsid w:val="31072960"/>
    <w:rsid w:val="311741D6"/>
    <w:rsid w:val="311961A0"/>
    <w:rsid w:val="31224929"/>
    <w:rsid w:val="3128199E"/>
    <w:rsid w:val="312D065F"/>
    <w:rsid w:val="31320ABD"/>
    <w:rsid w:val="314B20D2"/>
    <w:rsid w:val="314D409C"/>
    <w:rsid w:val="31527E83"/>
    <w:rsid w:val="315471D8"/>
    <w:rsid w:val="31607C0D"/>
    <w:rsid w:val="316136A3"/>
    <w:rsid w:val="316513E5"/>
    <w:rsid w:val="316D6506"/>
    <w:rsid w:val="316F4012"/>
    <w:rsid w:val="31A33CBC"/>
    <w:rsid w:val="31A41E31"/>
    <w:rsid w:val="31B554AE"/>
    <w:rsid w:val="31BB2DB3"/>
    <w:rsid w:val="31C11EA4"/>
    <w:rsid w:val="31CF2D03"/>
    <w:rsid w:val="31CF685F"/>
    <w:rsid w:val="31DC0F7C"/>
    <w:rsid w:val="31E340B8"/>
    <w:rsid w:val="31E4443E"/>
    <w:rsid w:val="31EA0540"/>
    <w:rsid w:val="31F86FE9"/>
    <w:rsid w:val="3207249C"/>
    <w:rsid w:val="32096215"/>
    <w:rsid w:val="320A3D3B"/>
    <w:rsid w:val="320C360F"/>
    <w:rsid w:val="320F75A3"/>
    <w:rsid w:val="32384404"/>
    <w:rsid w:val="324E0D9A"/>
    <w:rsid w:val="325356E2"/>
    <w:rsid w:val="325A081E"/>
    <w:rsid w:val="325B7835"/>
    <w:rsid w:val="325F6BC4"/>
    <w:rsid w:val="326276D3"/>
    <w:rsid w:val="32696CB3"/>
    <w:rsid w:val="3273368E"/>
    <w:rsid w:val="327A2C6E"/>
    <w:rsid w:val="327F2033"/>
    <w:rsid w:val="329830F5"/>
    <w:rsid w:val="329D070B"/>
    <w:rsid w:val="32B048E2"/>
    <w:rsid w:val="32B12408"/>
    <w:rsid w:val="32B337B8"/>
    <w:rsid w:val="32BA1E09"/>
    <w:rsid w:val="32C75788"/>
    <w:rsid w:val="32D81743"/>
    <w:rsid w:val="32DC7485"/>
    <w:rsid w:val="32EE0F67"/>
    <w:rsid w:val="32EE540A"/>
    <w:rsid w:val="32F742BF"/>
    <w:rsid w:val="32FF3C2E"/>
    <w:rsid w:val="32FF4F22"/>
    <w:rsid w:val="3304078A"/>
    <w:rsid w:val="330442D3"/>
    <w:rsid w:val="33062754"/>
    <w:rsid w:val="332E3A59"/>
    <w:rsid w:val="333170A5"/>
    <w:rsid w:val="333A0650"/>
    <w:rsid w:val="334868C9"/>
    <w:rsid w:val="33501C21"/>
    <w:rsid w:val="335A65FC"/>
    <w:rsid w:val="33615BDC"/>
    <w:rsid w:val="33887655"/>
    <w:rsid w:val="338C365C"/>
    <w:rsid w:val="33920A53"/>
    <w:rsid w:val="33925D96"/>
    <w:rsid w:val="339A4C4A"/>
    <w:rsid w:val="339B7340"/>
    <w:rsid w:val="33A361F5"/>
    <w:rsid w:val="33AE06F6"/>
    <w:rsid w:val="33CB7921"/>
    <w:rsid w:val="33CF6FEA"/>
    <w:rsid w:val="33D44600"/>
    <w:rsid w:val="33D75E9F"/>
    <w:rsid w:val="33DC34B5"/>
    <w:rsid w:val="33E04D53"/>
    <w:rsid w:val="33F56325"/>
    <w:rsid w:val="33F61D99"/>
    <w:rsid w:val="34164C19"/>
    <w:rsid w:val="34164E95"/>
    <w:rsid w:val="342A0711"/>
    <w:rsid w:val="343B01DB"/>
    <w:rsid w:val="343E5F05"/>
    <w:rsid w:val="34510E4C"/>
    <w:rsid w:val="34545741"/>
    <w:rsid w:val="34580D8D"/>
    <w:rsid w:val="345B262C"/>
    <w:rsid w:val="34670FD0"/>
    <w:rsid w:val="346E05B1"/>
    <w:rsid w:val="34735BC7"/>
    <w:rsid w:val="34802092"/>
    <w:rsid w:val="34833930"/>
    <w:rsid w:val="348E2A01"/>
    <w:rsid w:val="348F2D2C"/>
    <w:rsid w:val="34986D3E"/>
    <w:rsid w:val="349B511E"/>
    <w:rsid w:val="34A044E2"/>
    <w:rsid w:val="34A55F9D"/>
    <w:rsid w:val="34B05393"/>
    <w:rsid w:val="34B13D24"/>
    <w:rsid w:val="34B95F54"/>
    <w:rsid w:val="34C95767"/>
    <w:rsid w:val="34CA77B1"/>
    <w:rsid w:val="34D67F04"/>
    <w:rsid w:val="34DA79F4"/>
    <w:rsid w:val="34E02B31"/>
    <w:rsid w:val="34F571F2"/>
    <w:rsid w:val="34FA0097"/>
    <w:rsid w:val="34FD7B87"/>
    <w:rsid w:val="3518051D"/>
    <w:rsid w:val="351975ED"/>
    <w:rsid w:val="35242677"/>
    <w:rsid w:val="352F7B20"/>
    <w:rsid w:val="353778BF"/>
    <w:rsid w:val="353B0B1D"/>
    <w:rsid w:val="35417A73"/>
    <w:rsid w:val="35447564"/>
    <w:rsid w:val="354632DC"/>
    <w:rsid w:val="35527ED3"/>
    <w:rsid w:val="35773495"/>
    <w:rsid w:val="357B04CB"/>
    <w:rsid w:val="3581353B"/>
    <w:rsid w:val="35894FBA"/>
    <w:rsid w:val="358F75AB"/>
    <w:rsid w:val="359B10C1"/>
    <w:rsid w:val="359C114E"/>
    <w:rsid w:val="35A16764"/>
    <w:rsid w:val="35A818A1"/>
    <w:rsid w:val="35B446E9"/>
    <w:rsid w:val="35BA15D4"/>
    <w:rsid w:val="35BA7826"/>
    <w:rsid w:val="35BE31A4"/>
    <w:rsid w:val="35D96D2C"/>
    <w:rsid w:val="35DA1C76"/>
    <w:rsid w:val="35E30B2B"/>
    <w:rsid w:val="35EB5C31"/>
    <w:rsid w:val="35EE40D5"/>
    <w:rsid w:val="35FE3BB6"/>
    <w:rsid w:val="3600792F"/>
    <w:rsid w:val="3623039D"/>
    <w:rsid w:val="36272711"/>
    <w:rsid w:val="362A0508"/>
    <w:rsid w:val="362F3D70"/>
    <w:rsid w:val="36307945"/>
    <w:rsid w:val="36341386"/>
    <w:rsid w:val="363B2715"/>
    <w:rsid w:val="36407D2B"/>
    <w:rsid w:val="3651018A"/>
    <w:rsid w:val="36541A28"/>
    <w:rsid w:val="36580FD3"/>
    <w:rsid w:val="36581519"/>
    <w:rsid w:val="36637EBD"/>
    <w:rsid w:val="366C4FC4"/>
    <w:rsid w:val="36737C9D"/>
    <w:rsid w:val="368A21FF"/>
    <w:rsid w:val="36940077"/>
    <w:rsid w:val="36962041"/>
    <w:rsid w:val="36BC6F7C"/>
    <w:rsid w:val="36CA7931"/>
    <w:rsid w:val="36D93CDC"/>
    <w:rsid w:val="36DE12F2"/>
    <w:rsid w:val="36EF03F7"/>
    <w:rsid w:val="36F17277"/>
    <w:rsid w:val="36F22C5B"/>
    <w:rsid w:val="36F53213"/>
    <w:rsid w:val="36FA1069"/>
    <w:rsid w:val="37054AD1"/>
    <w:rsid w:val="37076A9B"/>
    <w:rsid w:val="37114AE6"/>
    <w:rsid w:val="371170EF"/>
    <w:rsid w:val="37197DF1"/>
    <w:rsid w:val="372155C6"/>
    <w:rsid w:val="3724764D"/>
    <w:rsid w:val="3727621C"/>
    <w:rsid w:val="372B2789"/>
    <w:rsid w:val="372E2279"/>
    <w:rsid w:val="373A0C1E"/>
    <w:rsid w:val="373D426B"/>
    <w:rsid w:val="373E70E4"/>
    <w:rsid w:val="37410504"/>
    <w:rsid w:val="37487DB5"/>
    <w:rsid w:val="374B4BD9"/>
    <w:rsid w:val="374E2300"/>
    <w:rsid w:val="37615DBB"/>
    <w:rsid w:val="376D0FF4"/>
    <w:rsid w:val="37712166"/>
    <w:rsid w:val="37745AC1"/>
    <w:rsid w:val="37750231"/>
    <w:rsid w:val="37751C56"/>
    <w:rsid w:val="377A54BF"/>
    <w:rsid w:val="377D4444"/>
    <w:rsid w:val="377F0D27"/>
    <w:rsid w:val="377F4883"/>
    <w:rsid w:val="3798060A"/>
    <w:rsid w:val="37984BEA"/>
    <w:rsid w:val="37B7226F"/>
    <w:rsid w:val="37C130EE"/>
    <w:rsid w:val="37D108C1"/>
    <w:rsid w:val="37E82428"/>
    <w:rsid w:val="37EC0A77"/>
    <w:rsid w:val="37FE39FA"/>
    <w:rsid w:val="380B25BB"/>
    <w:rsid w:val="381E5E4A"/>
    <w:rsid w:val="3821593A"/>
    <w:rsid w:val="383B4C4E"/>
    <w:rsid w:val="383E473E"/>
    <w:rsid w:val="38400EDD"/>
    <w:rsid w:val="38415FDC"/>
    <w:rsid w:val="3847606F"/>
    <w:rsid w:val="384B0C09"/>
    <w:rsid w:val="3850554B"/>
    <w:rsid w:val="385176F1"/>
    <w:rsid w:val="385950D4"/>
    <w:rsid w:val="385E26EA"/>
    <w:rsid w:val="385E6B8E"/>
    <w:rsid w:val="386C187C"/>
    <w:rsid w:val="386F710C"/>
    <w:rsid w:val="38710670"/>
    <w:rsid w:val="38762A6B"/>
    <w:rsid w:val="38763ED8"/>
    <w:rsid w:val="3882287D"/>
    <w:rsid w:val="38886488"/>
    <w:rsid w:val="38912AC0"/>
    <w:rsid w:val="38926838"/>
    <w:rsid w:val="38BC3364"/>
    <w:rsid w:val="38C20B2E"/>
    <w:rsid w:val="38C21505"/>
    <w:rsid w:val="38D539D2"/>
    <w:rsid w:val="38EE7F12"/>
    <w:rsid w:val="38F11583"/>
    <w:rsid w:val="390239BE"/>
    <w:rsid w:val="39184F8F"/>
    <w:rsid w:val="39227BBC"/>
    <w:rsid w:val="392A6A70"/>
    <w:rsid w:val="39445D84"/>
    <w:rsid w:val="39557F91"/>
    <w:rsid w:val="39574BC0"/>
    <w:rsid w:val="395F671A"/>
    <w:rsid w:val="396C0E37"/>
    <w:rsid w:val="396C52DB"/>
    <w:rsid w:val="39783C80"/>
    <w:rsid w:val="397B287A"/>
    <w:rsid w:val="397F0B6A"/>
    <w:rsid w:val="39A22AAB"/>
    <w:rsid w:val="39AE31FE"/>
    <w:rsid w:val="39B0341A"/>
    <w:rsid w:val="39B5458C"/>
    <w:rsid w:val="39C4792F"/>
    <w:rsid w:val="39C72511"/>
    <w:rsid w:val="39CB7AAE"/>
    <w:rsid w:val="39E11825"/>
    <w:rsid w:val="39EB4452"/>
    <w:rsid w:val="39ED01CA"/>
    <w:rsid w:val="3A015A23"/>
    <w:rsid w:val="3A1A6AE5"/>
    <w:rsid w:val="3A1C0AAF"/>
    <w:rsid w:val="3A1E4827"/>
    <w:rsid w:val="3A217E73"/>
    <w:rsid w:val="3A227A5C"/>
    <w:rsid w:val="3A231E3E"/>
    <w:rsid w:val="3A231E5D"/>
    <w:rsid w:val="3A241712"/>
    <w:rsid w:val="3A30455A"/>
    <w:rsid w:val="3A3E6C77"/>
    <w:rsid w:val="3A410516"/>
    <w:rsid w:val="3A414072"/>
    <w:rsid w:val="3A4142F3"/>
    <w:rsid w:val="3A4A73CA"/>
    <w:rsid w:val="3A4F678F"/>
    <w:rsid w:val="3A5363B9"/>
    <w:rsid w:val="3A59760D"/>
    <w:rsid w:val="3A5E4C24"/>
    <w:rsid w:val="3A612966"/>
    <w:rsid w:val="3A654204"/>
    <w:rsid w:val="3A721D04"/>
    <w:rsid w:val="3A7C1D7A"/>
    <w:rsid w:val="3A7E7074"/>
    <w:rsid w:val="3A9248CD"/>
    <w:rsid w:val="3A9B5E78"/>
    <w:rsid w:val="3AA80595"/>
    <w:rsid w:val="3AA80951"/>
    <w:rsid w:val="3AAB768C"/>
    <w:rsid w:val="3AB44F97"/>
    <w:rsid w:val="3ABE56C2"/>
    <w:rsid w:val="3AC37000"/>
    <w:rsid w:val="3AD82C28"/>
    <w:rsid w:val="3ADC3D9A"/>
    <w:rsid w:val="3ADE7B13"/>
    <w:rsid w:val="3AE36292"/>
    <w:rsid w:val="3AEF1D20"/>
    <w:rsid w:val="3AF66579"/>
    <w:rsid w:val="3B007D15"/>
    <w:rsid w:val="3B027CA5"/>
    <w:rsid w:val="3B0752BB"/>
    <w:rsid w:val="3B0C0B24"/>
    <w:rsid w:val="3B0D363F"/>
    <w:rsid w:val="3B337E5E"/>
    <w:rsid w:val="3B351E28"/>
    <w:rsid w:val="3B392F9B"/>
    <w:rsid w:val="3B393AF7"/>
    <w:rsid w:val="3B3E6A81"/>
    <w:rsid w:val="3B405F2E"/>
    <w:rsid w:val="3B464036"/>
    <w:rsid w:val="3B491E82"/>
    <w:rsid w:val="3B4C7172"/>
    <w:rsid w:val="3B5878C5"/>
    <w:rsid w:val="3B647D9A"/>
    <w:rsid w:val="3B742225"/>
    <w:rsid w:val="3B8C0978"/>
    <w:rsid w:val="3B8D0D41"/>
    <w:rsid w:val="3B9D177C"/>
    <w:rsid w:val="3B9F54F4"/>
    <w:rsid w:val="3BA174BE"/>
    <w:rsid w:val="3BB014AF"/>
    <w:rsid w:val="3BB05953"/>
    <w:rsid w:val="3BCE402B"/>
    <w:rsid w:val="3BD258C9"/>
    <w:rsid w:val="3BD35234"/>
    <w:rsid w:val="3BD72EE0"/>
    <w:rsid w:val="3BDA477E"/>
    <w:rsid w:val="3BEE647B"/>
    <w:rsid w:val="3BF07AFD"/>
    <w:rsid w:val="3BF20229"/>
    <w:rsid w:val="3BFE5E2E"/>
    <w:rsid w:val="3BFE66BE"/>
    <w:rsid w:val="3C073099"/>
    <w:rsid w:val="3C12216A"/>
    <w:rsid w:val="3C1852A6"/>
    <w:rsid w:val="3C211DA1"/>
    <w:rsid w:val="3C237FD7"/>
    <w:rsid w:val="3C261771"/>
    <w:rsid w:val="3C2E6878"/>
    <w:rsid w:val="3C314039"/>
    <w:rsid w:val="3C3A346E"/>
    <w:rsid w:val="3C4A1903"/>
    <w:rsid w:val="3C4E1B93"/>
    <w:rsid w:val="3C5C5193"/>
    <w:rsid w:val="3C5F4C83"/>
    <w:rsid w:val="3C5F6A31"/>
    <w:rsid w:val="3C65673D"/>
    <w:rsid w:val="3C695929"/>
    <w:rsid w:val="3C6F136A"/>
    <w:rsid w:val="3C6F43E1"/>
    <w:rsid w:val="3C8446EA"/>
    <w:rsid w:val="3C8A3A32"/>
    <w:rsid w:val="3C8F1A03"/>
    <w:rsid w:val="3C974763"/>
    <w:rsid w:val="3CA2018A"/>
    <w:rsid w:val="3CA60B04"/>
    <w:rsid w:val="3CAA4150"/>
    <w:rsid w:val="3CAD59EE"/>
    <w:rsid w:val="3CB46D7D"/>
    <w:rsid w:val="3CCA034E"/>
    <w:rsid w:val="3CD95ADA"/>
    <w:rsid w:val="3CED228F"/>
    <w:rsid w:val="3CED6733"/>
    <w:rsid w:val="3CEF4259"/>
    <w:rsid w:val="3CF259D2"/>
    <w:rsid w:val="3CFB73D7"/>
    <w:rsid w:val="3D0D46DF"/>
    <w:rsid w:val="3D1B6DFC"/>
    <w:rsid w:val="3D284559"/>
    <w:rsid w:val="3D2A34E3"/>
    <w:rsid w:val="3D3D6D72"/>
    <w:rsid w:val="3D4E5423"/>
    <w:rsid w:val="3D5E3F5A"/>
    <w:rsid w:val="3D65451B"/>
    <w:rsid w:val="3D6A1B31"/>
    <w:rsid w:val="3D7E4729"/>
    <w:rsid w:val="3D851ED1"/>
    <w:rsid w:val="3D8775D5"/>
    <w:rsid w:val="3D881113"/>
    <w:rsid w:val="3DA54918"/>
    <w:rsid w:val="3DAE5EC2"/>
    <w:rsid w:val="3DBF643A"/>
    <w:rsid w:val="3DC2196D"/>
    <w:rsid w:val="3DCE0312"/>
    <w:rsid w:val="3DD60F75"/>
    <w:rsid w:val="3DD75419"/>
    <w:rsid w:val="3DDB658B"/>
    <w:rsid w:val="3DDD2303"/>
    <w:rsid w:val="3DF00289"/>
    <w:rsid w:val="3E021D6A"/>
    <w:rsid w:val="3E081AA2"/>
    <w:rsid w:val="3E112948"/>
    <w:rsid w:val="3E155F41"/>
    <w:rsid w:val="3E18333B"/>
    <w:rsid w:val="3E1F1FE5"/>
    <w:rsid w:val="3E3D3671"/>
    <w:rsid w:val="3E5325C6"/>
    <w:rsid w:val="3E5F71BC"/>
    <w:rsid w:val="3E682515"/>
    <w:rsid w:val="3E6D71B5"/>
    <w:rsid w:val="3E6E73FF"/>
    <w:rsid w:val="3E712378"/>
    <w:rsid w:val="3E730D7F"/>
    <w:rsid w:val="3E846C23"/>
    <w:rsid w:val="3E876EF5"/>
    <w:rsid w:val="3E932FFB"/>
    <w:rsid w:val="3E99447C"/>
    <w:rsid w:val="3E9C5D1B"/>
    <w:rsid w:val="3EA352FB"/>
    <w:rsid w:val="3EB47508"/>
    <w:rsid w:val="3EB70DA6"/>
    <w:rsid w:val="3EB72B54"/>
    <w:rsid w:val="3EB76FF8"/>
    <w:rsid w:val="3EB94B1E"/>
    <w:rsid w:val="3EC60FE9"/>
    <w:rsid w:val="3ECA10B0"/>
    <w:rsid w:val="3ED2798E"/>
    <w:rsid w:val="3EDB5211"/>
    <w:rsid w:val="3EDF3E59"/>
    <w:rsid w:val="3EEF2D03"/>
    <w:rsid w:val="3EFB0C93"/>
    <w:rsid w:val="3EFF7E8D"/>
    <w:rsid w:val="3F051B12"/>
    <w:rsid w:val="3F057D64"/>
    <w:rsid w:val="3F116709"/>
    <w:rsid w:val="3F163357"/>
    <w:rsid w:val="3F165F94"/>
    <w:rsid w:val="3F1E08A6"/>
    <w:rsid w:val="3F375A43"/>
    <w:rsid w:val="3F3A66A0"/>
    <w:rsid w:val="3F4D34B9"/>
    <w:rsid w:val="3F4F0FDF"/>
    <w:rsid w:val="3F5465F5"/>
    <w:rsid w:val="3F6525B0"/>
    <w:rsid w:val="3F676329"/>
    <w:rsid w:val="3F731171"/>
    <w:rsid w:val="3F7A2500"/>
    <w:rsid w:val="3F7D3D9E"/>
    <w:rsid w:val="3F852C53"/>
    <w:rsid w:val="3F9133A5"/>
    <w:rsid w:val="3F95733A"/>
    <w:rsid w:val="3F980BD8"/>
    <w:rsid w:val="3F987B1A"/>
    <w:rsid w:val="3FA255B3"/>
    <w:rsid w:val="3FA94B93"/>
    <w:rsid w:val="3FAA4467"/>
    <w:rsid w:val="3FCB78C2"/>
    <w:rsid w:val="3FD15E98"/>
    <w:rsid w:val="3FD339BE"/>
    <w:rsid w:val="3FD6525C"/>
    <w:rsid w:val="3FDA4D4C"/>
    <w:rsid w:val="3FDF4421"/>
    <w:rsid w:val="3FE200A5"/>
    <w:rsid w:val="3FEB6F5A"/>
    <w:rsid w:val="3FF1653A"/>
    <w:rsid w:val="3FF17A15"/>
    <w:rsid w:val="3FF73B50"/>
    <w:rsid w:val="3FFB4CC3"/>
    <w:rsid w:val="400C0C7E"/>
    <w:rsid w:val="401974E6"/>
    <w:rsid w:val="401A339B"/>
    <w:rsid w:val="401D2E8B"/>
    <w:rsid w:val="402B37FA"/>
    <w:rsid w:val="40322DDA"/>
    <w:rsid w:val="403F66B6"/>
    <w:rsid w:val="404228F2"/>
    <w:rsid w:val="404C551E"/>
    <w:rsid w:val="405014B2"/>
    <w:rsid w:val="40526FD9"/>
    <w:rsid w:val="40585B9C"/>
    <w:rsid w:val="406D5BC1"/>
    <w:rsid w:val="40786313"/>
    <w:rsid w:val="407D1B7C"/>
    <w:rsid w:val="40826D65"/>
    <w:rsid w:val="4084115C"/>
    <w:rsid w:val="40860A30"/>
    <w:rsid w:val="40917FC2"/>
    <w:rsid w:val="40A62E81"/>
    <w:rsid w:val="40AF61D9"/>
    <w:rsid w:val="40B05AAD"/>
    <w:rsid w:val="40B437EF"/>
    <w:rsid w:val="40B7508E"/>
    <w:rsid w:val="40B9017B"/>
    <w:rsid w:val="40C33A32"/>
    <w:rsid w:val="40CC1B82"/>
    <w:rsid w:val="40CD48B1"/>
    <w:rsid w:val="40D5550F"/>
    <w:rsid w:val="40E25F22"/>
    <w:rsid w:val="40EF4827"/>
    <w:rsid w:val="41010C1D"/>
    <w:rsid w:val="41035F8B"/>
    <w:rsid w:val="41087697"/>
    <w:rsid w:val="411029F0"/>
    <w:rsid w:val="411A31FF"/>
    <w:rsid w:val="411E335F"/>
    <w:rsid w:val="411E510D"/>
    <w:rsid w:val="412179FD"/>
    <w:rsid w:val="413A3ECD"/>
    <w:rsid w:val="41630D72"/>
    <w:rsid w:val="41650F8E"/>
    <w:rsid w:val="416D2A67"/>
    <w:rsid w:val="41766110"/>
    <w:rsid w:val="41801923"/>
    <w:rsid w:val="41884FF2"/>
    <w:rsid w:val="418F7DB9"/>
    <w:rsid w:val="41911D83"/>
    <w:rsid w:val="41913B31"/>
    <w:rsid w:val="419B49AF"/>
    <w:rsid w:val="419C135A"/>
    <w:rsid w:val="41A4267C"/>
    <w:rsid w:val="41AA4BF2"/>
    <w:rsid w:val="41BD66D4"/>
    <w:rsid w:val="41BE244C"/>
    <w:rsid w:val="41C07F72"/>
    <w:rsid w:val="41FA7928"/>
    <w:rsid w:val="41FB71FC"/>
    <w:rsid w:val="4202058A"/>
    <w:rsid w:val="420267DC"/>
    <w:rsid w:val="42100EF9"/>
    <w:rsid w:val="42181B5C"/>
    <w:rsid w:val="422C1AAB"/>
    <w:rsid w:val="42380450"/>
    <w:rsid w:val="423B584A"/>
    <w:rsid w:val="42497F67"/>
    <w:rsid w:val="4253528A"/>
    <w:rsid w:val="42664FBD"/>
    <w:rsid w:val="426A74C3"/>
    <w:rsid w:val="427A45C5"/>
    <w:rsid w:val="42843695"/>
    <w:rsid w:val="42894808"/>
    <w:rsid w:val="42905ECD"/>
    <w:rsid w:val="429C453B"/>
    <w:rsid w:val="429D65A5"/>
    <w:rsid w:val="429F5DD9"/>
    <w:rsid w:val="42B574C5"/>
    <w:rsid w:val="42B76D6C"/>
    <w:rsid w:val="42BA0E65"/>
    <w:rsid w:val="42C121F4"/>
    <w:rsid w:val="42D66736"/>
    <w:rsid w:val="42DE6E4B"/>
    <w:rsid w:val="42E44134"/>
    <w:rsid w:val="42EA174A"/>
    <w:rsid w:val="42F02AD9"/>
    <w:rsid w:val="42FA43F0"/>
    <w:rsid w:val="430622FC"/>
    <w:rsid w:val="430F032A"/>
    <w:rsid w:val="431D774E"/>
    <w:rsid w:val="433F1693"/>
    <w:rsid w:val="434150E2"/>
    <w:rsid w:val="434A21E9"/>
    <w:rsid w:val="4359242C"/>
    <w:rsid w:val="435B61A4"/>
    <w:rsid w:val="435C3CCA"/>
    <w:rsid w:val="435E7A42"/>
    <w:rsid w:val="43615785"/>
    <w:rsid w:val="43644AEF"/>
    <w:rsid w:val="43886C37"/>
    <w:rsid w:val="4396542E"/>
    <w:rsid w:val="43A07649"/>
    <w:rsid w:val="43A51B15"/>
    <w:rsid w:val="43A871C2"/>
    <w:rsid w:val="43AE09CA"/>
    <w:rsid w:val="43C61737"/>
    <w:rsid w:val="43D85232"/>
    <w:rsid w:val="43FE4D82"/>
    <w:rsid w:val="44054362"/>
    <w:rsid w:val="441445A5"/>
    <w:rsid w:val="441B7F19"/>
    <w:rsid w:val="44236182"/>
    <w:rsid w:val="442C7B41"/>
    <w:rsid w:val="44332C7D"/>
    <w:rsid w:val="443B7D84"/>
    <w:rsid w:val="44456480"/>
    <w:rsid w:val="44477EAE"/>
    <w:rsid w:val="4456696C"/>
    <w:rsid w:val="44692B43"/>
    <w:rsid w:val="447137A5"/>
    <w:rsid w:val="4475773A"/>
    <w:rsid w:val="447F5BD6"/>
    <w:rsid w:val="4488746D"/>
    <w:rsid w:val="44B738AE"/>
    <w:rsid w:val="44C9538F"/>
    <w:rsid w:val="44CD1324"/>
    <w:rsid w:val="44D206E8"/>
    <w:rsid w:val="44D3620E"/>
    <w:rsid w:val="44D664D6"/>
    <w:rsid w:val="44D81A76"/>
    <w:rsid w:val="44DC1567"/>
    <w:rsid w:val="44E01C7E"/>
    <w:rsid w:val="44E26451"/>
    <w:rsid w:val="44E51659"/>
    <w:rsid w:val="44E73A68"/>
    <w:rsid w:val="44E87F0C"/>
    <w:rsid w:val="44EB79FC"/>
    <w:rsid w:val="44F3240C"/>
    <w:rsid w:val="44F468B0"/>
    <w:rsid w:val="44F61263"/>
    <w:rsid w:val="44F94A51"/>
    <w:rsid w:val="45040E37"/>
    <w:rsid w:val="450F14A0"/>
    <w:rsid w:val="450F36EA"/>
    <w:rsid w:val="45124F88"/>
    <w:rsid w:val="45136D6F"/>
    <w:rsid w:val="451E392D"/>
    <w:rsid w:val="45240818"/>
    <w:rsid w:val="45260A34"/>
    <w:rsid w:val="453E7908"/>
    <w:rsid w:val="45442C68"/>
    <w:rsid w:val="45607305"/>
    <w:rsid w:val="45633A36"/>
    <w:rsid w:val="45677AFB"/>
    <w:rsid w:val="456D21BF"/>
    <w:rsid w:val="45791668"/>
    <w:rsid w:val="45796DB6"/>
    <w:rsid w:val="458806C8"/>
    <w:rsid w:val="4589206F"/>
    <w:rsid w:val="458B0897"/>
    <w:rsid w:val="459B4F7E"/>
    <w:rsid w:val="459C2AA4"/>
    <w:rsid w:val="45A04342"/>
    <w:rsid w:val="45A656D1"/>
    <w:rsid w:val="45B7168C"/>
    <w:rsid w:val="45B95404"/>
    <w:rsid w:val="45C02C36"/>
    <w:rsid w:val="45D83ADD"/>
    <w:rsid w:val="45DE130F"/>
    <w:rsid w:val="45E32481"/>
    <w:rsid w:val="45F428E0"/>
    <w:rsid w:val="460074D7"/>
    <w:rsid w:val="460559C3"/>
    <w:rsid w:val="46080139"/>
    <w:rsid w:val="46115240"/>
    <w:rsid w:val="462211FB"/>
    <w:rsid w:val="4623495F"/>
    <w:rsid w:val="462C02CC"/>
    <w:rsid w:val="463D2F10"/>
    <w:rsid w:val="463F7FFF"/>
    <w:rsid w:val="464473C4"/>
    <w:rsid w:val="46474FDF"/>
    <w:rsid w:val="464C6278"/>
    <w:rsid w:val="46557D90"/>
    <w:rsid w:val="46582E6F"/>
    <w:rsid w:val="465F5C81"/>
    <w:rsid w:val="4665558C"/>
    <w:rsid w:val="466C691A"/>
    <w:rsid w:val="466F1F67"/>
    <w:rsid w:val="46715CDF"/>
    <w:rsid w:val="467F21AA"/>
    <w:rsid w:val="46953A24"/>
    <w:rsid w:val="46961D95"/>
    <w:rsid w:val="46974F23"/>
    <w:rsid w:val="469B2D5C"/>
    <w:rsid w:val="46A71700"/>
    <w:rsid w:val="46AC6D17"/>
    <w:rsid w:val="46B1257F"/>
    <w:rsid w:val="46BE382B"/>
    <w:rsid w:val="46C40504"/>
    <w:rsid w:val="46F54B62"/>
    <w:rsid w:val="4700526F"/>
    <w:rsid w:val="47172E19"/>
    <w:rsid w:val="47212543"/>
    <w:rsid w:val="472B3AEA"/>
    <w:rsid w:val="47307948"/>
    <w:rsid w:val="473C009B"/>
    <w:rsid w:val="47411B55"/>
    <w:rsid w:val="474653BD"/>
    <w:rsid w:val="47503B46"/>
    <w:rsid w:val="475E66C8"/>
    <w:rsid w:val="475F3D89"/>
    <w:rsid w:val="476C579F"/>
    <w:rsid w:val="476F66C2"/>
    <w:rsid w:val="47761A6F"/>
    <w:rsid w:val="47834245"/>
    <w:rsid w:val="479954ED"/>
    <w:rsid w:val="47A02B50"/>
    <w:rsid w:val="47A53E92"/>
    <w:rsid w:val="47A81BD4"/>
    <w:rsid w:val="47AA76FA"/>
    <w:rsid w:val="47B31871"/>
    <w:rsid w:val="47B61CA4"/>
    <w:rsid w:val="47B642F1"/>
    <w:rsid w:val="47BC742D"/>
    <w:rsid w:val="47C00CCC"/>
    <w:rsid w:val="47C36A0E"/>
    <w:rsid w:val="47CB7671"/>
    <w:rsid w:val="47D82EC1"/>
    <w:rsid w:val="47E30E5E"/>
    <w:rsid w:val="47ED75E7"/>
    <w:rsid w:val="47F1524C"/>
    <w:rsid w:val="47F941DE"/>
    <w:rsid w:val="47FE7A46"/>
    <w:rsid w:val="48002727"/>
    <w:rsid w:val="480D1A37"/>
    <w:rsid w:val="481C1C7A"/>
    <w:rsid w:val="48223734"/>
    <w:rsid w:val="48284AC3"/>
    <w:rsid w:val="48286871"/>
    <w:rsid w:val="48313978"/>
    <w:rsid w:val="4840749F"/>
    <w:rsid w:val="484216E1"/>
    <w:rsid w:val="48425B85"/>
    <w:rsid w:val="484336AB"/>
    <w:rsid w:val="48474F49"/>
    <w:rsid w:val="484B78FD"/>
    <w:rsid w:val="484E277B"/>
    <w:rsid w:val="48650C15"/>
    <w:rsid w:val="486F44A0"/>
    <w:rsid w:val="48711FC6"/>
    <w:rsid w:val="487429A3"/>
    <w:rsid w:val="487675DC"/>
    <w:rsid w:val="48783354"/>
    <w:rsid w:val="487A0B9A"/>
    <w:rsid w:val="487E46E3"/>
    <w:rsid w:val="48801566"/>
    <w:rsid w:val="488066AD"/>
    <w:rsid w:val="48961A2D"/>
    <w:rsid w:val="48A028AB"/>
    <w:rsid w:val="48AE6D76"/>
    <w:rsid w:val="48C20A74"/>
    <w:rsid w:val="48CC3AA1"/>
    <w:rsid w:val="48E1539E"/>
    <w:rsid w:val="48EC3D42"/>
    <w:rsid w:val="48F129B8"/>
    <w:rsid w:val="48FC3F85"/>
    <w:rsid w:val="48FD385A"/>
    <w:rsid w:val="49105C83"/>
    <w:rsid w:val="49117305"/>
    <w:rsid w:val="49156DF5"/>
    <w:rsid w:val="49184B37"/>
    <w:rsid w:val="491C16FD"/>
    <w:rsid w:val="492C413F"/>
    <w:rsid w:val="49301E81"/>
    <w:rsid w:val="4933371F"/>
    <w:rsid w:val="49373210"/>
    <w:rsid w:val="49470F79"/>
    <w:rsid w:val="495C4A24"/>
    <w:rsid w:val="495F4514"/>
    <w:rsid w:val="496B4C67"/>
    <w:rsid w:val="496B65B7"/>
    <w:rsid w:val="4972249A"/>
    <w:rsid w:val="497F7FCC"/>
    <w:rsid w:val="4981448B"/>
    <w:rsid w:val="49866FFF"/>
    <w:rsid w:val="49885819"/>
    <w:rsid w:val="49974EF3"/>
    <w:rsid w:val="49A32653"/>
    <w:rsid w:val="49A62736"/>
    <w:rsid w:val="49B04D70"/>
    <w:rsid w:val="49B20AE8"/>
    <w:rsid w:val="49C12A19"/>
    <w:rsid w:val="49CA7BE0"/>
    <w:rsid w:val="49DC11DB"/>
    <w:rsid w:val="49E1317B"/>
    <w:rsid w:val="49E35145"/>
    <w:rsid w:val="49E62540"/>
    <w:rsid w:val="49E862B8"/>
    <w:rsid w:val="49E87801"/>
    <w:rsid w:val="49EB5DA8"/>
    <w:rsid w:val="49F2635D"/>
    <w:rsid w:val="49F62BDB"/>
    <w:rsid w:val="4A111CB3"/>
    <w:rsid w:val="4A176B9D"/>
    <w:rsid w:val="4A253068"/>
    <w:rsid w:val="4A394D65"/>
    <w:rsid w:val="4A3E237C"/>
    <w:rsid w:val="4A3E412A"/>
    <w:rsid w:val="4A4756D4"/>
    <w:rsid w:val="4A4A6F73"/>
    <w:rsid w:val="4A564F64"/>
    <w:rsid w:val="4A682D3D"/>
    <w:rsid w:val="4A6D4A0F"/>
    <w:rsid w:val="4A7E303F"/>
    <w:rsid w:val="4A8C30E7"/>
    <w:rsid w:val="4A8D0A9C"/>
    <w:rsid w:val="4A904BD7"/>
    <w:rsid w:val="4A964092"/>
    <w:rsid w:val="4A9B332A"/>
    <w:rsid w:val="4A9C109A"/>
    <w:rsid w:val="4A9D52F4"/>
    <w:rsid w:val="4AA30431"/>
    <w:rsid w:val="4AA571F9"/>
    <w:rsid w:val="4AAA603E"/>
    <w:rsid w:val="4AAE66B7"/>
    <w:rsid w:val="4AB12B4E"/>
    <w:rsid w:val="4AB64608"/>
    <w:rsid w:val="4ACC5BD9"/>
    <w:rsid w:val="4AD4683C"/>
    <w:rsid w:val="4AFB201B"/>
    <w:rsid w:val="4B1100C7"/>
    <w:rsid w:val="4B1650A7"/>
    <w:rsid w:val="4B1D01E3"/>
    <w:rsid w:val="4B1F5D09"/>
    <w:rsid w:val="4B2257F9"/>
    <w:rsid w:val="4B315A3D"/>
    <w:rsid w:val="4B3A2B43"/>
    <w:rsid w:val="4B481EFF"/>
    <w:rsid w:val="4B517E8D"/>
    <w:rsid w:val="4B553E21"/>
    <w:rsid w:val="4B5856BF"/>
    <w:rsid w:val="4B614574"/>
    <w:rsid w:val="4B62575E"/>
    <w:rsid w:val="4B683B54"/>
    <w:rsid w:val="4B7047B7"/>
    <w:rsid w:val="4B726781"/>
    <w:rsid w:val="4B797B0F"/>
    <w:rsid w:val="4B7C13AE"/>
    <w:rsid w:val="4B8169C4"/>
    <w:rsid w:val="4BA32DDE"/>
    <w:rsid w:val="4BB01057"/>
    <w:rsid w:val="4BC44B03"/>
    <w:rsid w:val="4BC863A1"/>
    <w:rsid w:val="4BED4059"/>
    <w:rsid w:val="4BF076A6"/>
    <w:rsid w:val="4C1710D6"/>
    <w:rsid w:val="4C177328"/>
    <w:rsid w:val="4C207F8B"/>
    <w:rsid w:val="4C2A0E0A"/>
    <w:rsid w:val="4C2A705C"/>
    <w:rsid w:val="4C341C88"/>
    <w:rsid w:val="4C3457E4"/>
    <w:rsid w:val="4C3D6D8F"/>
    <w:rsid w:val="4C59349D"/>
    <w:rsid w:val="4C60482B"/>
    <w:rsid w:val="4C6206C4"/>
    <w:rsid w:val="4C6360CA"/>
    <w:rsid w:val="4C673E0C"/>
    <w:rsid w:val="4C675BBA"/>
    <w:rsid w:val="4C6F2CC0"/>
    <w:rsid w:val="4C722A64"/>
    <w:rsid w:val="4C7402D7"/>
    <w:rsid w:val="4C7C718B"/>
    <w:rsid w:val="4C7D362F"/>
    <w:rsid w:val="4C8524E4"/>
    <w:rsid w:val="4C940979"/>
    <w:rsid w:val="4C975D73"/>
    <w:rsid w:val="4C982217"/>
    <w:rsid w:val="4C983FC5"/>
    <w:rsid w:val="4C992791"/>
    <w:rsid w:val="4CA5125A"/>
    <w:rsid w:val="4CAC5C90"/>
    <w:rsid w:val="4CAC7A71"/>
    <w:rsid w:val="4CAD5597"/>
    <w:rsid w:val="4CB16E35"/>
    <w:rsid w:val="4CB80171"/>
    <w:rsid w:val="4CBE6076"/>
    <w:rsid w:val="4CC0176E"/>
    <w:rsid w:val="4CC052CA"/>
    <w:rsid w:val="4CC1263A"/>
    <w:rsid w:val="4CC21042"/>
    <w:rsid w:val="4CDE39A2"/>
    <w:rsid w:val="4CEA7E6E"/>
    <w:rsid w:val="4CF24CCA"/>
    <w:rsid w:val="4CF80F08"/>
    <w:rsid w:val="4CFF2296"/>
    <w:rsid w:val="4D007DBC"/>
    <w:rsid w:val="4D094EC3"/>
    <w:rsid w:val="4D1C6ADB"/>
    <w:rsid w:val="4D1D09A1"/>
    <w:rsid w:val="4D2C2537"/>
    <w:rsid w:val="4D360ADE"/>
    <w:rsid w:val="4D4C3002"/>
    <w:rsid w:val="4D4E33A8"/>
    <w:rsid w:val="4D587BF8"/>
    <w:rsid w:val="4D5A3970"/>
    <w:rsid w:val="4D5A74CD"/>
    <w:rsid w:val="4D5D6FBD"/>
    <w:rsid w:val="4D61085B"/>
    <w:rsid w:val="4D613B57"/>
    <w:rsid w:val="4D6245D3"/>
    <w:rsid w:val="4D714816"/>
    <w:rsid w:val="4D73058E"/>
    <w:rsid w:val="4D7829CE"/>
    <w:rsid w:val="4D9D6F07"/>
    <w:rsid w:val="4DA60964"/>
    <w:rsid w:val="4DA768EE"/>
    <w:rsid w:val="4DAD1F04"/>
    <w:rsid w:val="4DB017E2"/>
    <w:rsid w:val="4DC47308"/>
    <w:rsid w:val="4DC808DA"/>
    <w:rsid w:val="4DD06745"/>
    <w:rsid w:val="4DEA32FF"/>
    <w:rsid w:val="4DF3347D"/>
    <w:rsid w:val="4E061402"/>
    <w:rsid w:val="4E105D47"/>
    <w:rsid w:val="4E125FF9"/>
    <w:rsid w:val="4E263853"/>
    <w:rsid w:val="4E284E74"/>
    <w:rsid w:val="4E3008AC"/>
    <w:rsid w:val="4E323FA5"/>
    <w:rsid w:val="4E3441C2"/>
    <w:rsid w:val="4E465CA3"/>
    <w:rsid w:val="4E523EE9"/>
    <w:rsid w:val="4E5B5D84"/>
    <w:rsid w:val="4E5D0EAC"/>
    <w:rsid w:val="4E6C395B"/>
    <w:rsid w:val="4E793DD6"/>
    <w:rsid w:val="4E7D0ADD"/>
    <w:rsid w:val="4E87606B"/>
    <w:rsid w:val="4E8F764A"/>
    <w:rsid w:val="4E9066F0"/>
    <w:rsid w:val="4E9615DA"/>
    <w:rsid w:val="4EA257B3"/>
    <w:rsid w:val="4EA577DD"/>
    <w:rsid w:val="4EA8070C"/>
    <w:rsid w:val="4EAB3773"/>
    <w:rsid w:val="4EAD5D22"/>
    <w:rsid w:val="4EB250E6"/>
    <w:rsid w:val="4EB66985"/>
    <w:rsid w:val="4EC07803"/>
    <w:rsid w:val="4ECC43FA"/>
    <w:rsid w:val="4ED35788"/>
    <w:rsid w:val="4EDB463D"/>
    <w:rsid w:val="4EE5726A"/>
    <w:rsid w:val="4EF5252C"/>
    <w:rsid w:val="4EF83441"/>
    <w:rsid w:val="4EF86F9D"/>
    <w:rsid w:val="4F015432"/>
    <w:rsid w:val="4F082599"/>
    <w:rsid w:val="4F0B3174"/>
    <w:rsid w:val="4F0C0C9A"/>
    <w:rsid w:val="4F242677"/>
    <w:rsid w:val="4F253B0A"/>
    <w:rsid w:val="4F2B5D2E"/>
    <w:rsid w:val="4F311A82"/>
    <w:rsid w:val="4F3301E5"/>
    <w:rsid w:val="4F363F69"/>
    <w:rsid w:val="4F471CD3"/>
    <w:rsid w:val="4F5B752C"/>
    <w:rsid w:val="4F6208BA"/>
    <w:rsid w:val="4F6665FD"/>
    <w:rsid w:val="4F6B59C1"/>
    <w:rsid w:val="4F734876"/>
    <w:rsid w:val="4F74239C"/>
    <w:rsid w:val="4F7F146C"/>
    <w:rsid w:val="4F894099"/>
    <w:rsid w:val="4F8B7E11"/>
    <w:rsid w:val="4F912F4E"/>
    <w:rsid w:val="4F9734A9"/>
    <w:rsid w:val="4F974B6F"/>
    <w:rsid w:val="4F9E57D4"/>
    <w:rsid w:val="4FA74989"/>
    <w:rsid w:val="4FB1539E"/>
    <w:rsid w:val="4FBA06F6"/>
    <w:rsid w:val="4FBA6948"/>
    <w:rsid w:val="4FC82E13"/>
    <w:rsid w:val="4FD01CC8"/>
    <w:rsid w:val="4FD44B11"/>
    <w:rsid w:val="4FD66230"/>
    <w:rsid w:val="4FDF1F0B"/>
    <w:rsid w:val="4FFA0AF3"/>
    <w:rsid w:val="4FFD527C"/>
    <w:rsid w:val="4FFE20DB"/>
    <w:rsid w:val="500E459E"/>
    <w:rsid w:val="5023629C"/>
    <w:rsid w:val="50250266"/>
    <w:rsid w:val="50373AF5"/>
    <w:rsid w:val="5038161B"/>
    <w:rsid w:val="5039786D"/>
    <w:rsid w:val="50416722"/>
    <w:rsid w:val="504828D3"/>
    <w:rsid w:val="505428F9"/>
    <w:rsid w:val="50577CF3"/>
    <w:rsid w:val="506A3ECB"/>
    <w:rsid w:val="507C1E50"/>
    <w:rsid w:val="50966A6E"/>
    <w:rsid w:val="50AA42C7"/>
    <w:rsid w:val="50AD1596"/>
    <w:rsid w:val="50B17D2E"/>
    <w:rsid w:val="50B21AFF"/>
    <w:rsid w:val="50BF1283"/>
    <w:rsid w:val="50C234FC"/>
    <w:rsid w:val="50C54111"/>
    <w:rsid w:val="50CC06E1"/>
    <w:rsid w:val="50F11EF6"/>
    <w:rsid w:val="50FE0AB7"/>
    <w:rsid w:val="51002139"/>
    <w:rsid w:val="51113082"/>
    <w:rsid w:val="51145BE4"/>
    <w:rsid w:val="511C3FDF"/>
    <w:rsid w:val="512060AF"/>
    <w:rsid w:val="5122341E"/>
    <w:rsid w:val="512C2F2E"/>
    <w:rsid w:val="514364CA"/>
    <w:rsid w:val="515240B4"/>
    <w:rsid w:val="51581F75"/>
    <w:rsid w:val="51605E32"/>
    <w:rsid w:val="51621046"/>
    <w:rsid w:val="51641120"/>
    <w:rsid w:val="516C72A2"/>
    <w:rsid w:val="516E3547"/>
    <w:rsid w:val="519311FF"/>
    <w:rsid w:val="51932FAD"/>
    <w:rsid w:val="519821A9"/>
    <w:rsid w:val="519B3569"/>
    <w:rsid w:val="51A258E6"/>
    <w:rsid w:val="51A72EFC"/>
    <w:rsid w:val="51AD7AEB"/>
    <w:rsid w:val="51BA678C"/>
    <w:rsid w:val="51C13FBE"/>
    <w:rsid w:val="51C669A7"/>
    <w:rsid w:val="51CA4B82"/>
    <w:rsid w:val="51D53F96"/>
    <w:rsid w:val="51D6733E"/>
    <w:rsid w:val="51D93A1A"/>
    <w:rsid w:val="51DD6BC9"/>
    <w:rsid w:val="51DF4444"/>
    <w:rsid w:val="51F36142"/>
    <w:rsid w:val="520774F7"/>
    <w:rsid w:val="521B0934"/>
    <w:rsid w:val="521F6F37"/>
    <w:rsid w:val="522400A9"/>
    <w:rsid w:val="52391DA6"/>
    <w:rsid w:val="523C5FFC"/>
    <w:rsid w:val="52416EAD"/>
    <w:rsid w:val="524678FF"/>
    <w:rsid w:val="524F7139"/>
    <w:rsid w:val="52530FF8"/>
    <w:rsid w:val="5257222D"/>
    <w:rsid w:val="52650DED"/>
    <w:rsid w:val="526606C2"/>
    <w:rsid w:val="52683E5A"/>
    <w:rsid w:val="52727066"/>
    <w:rsid w:val="527903F5"/>
    <w:rsid w:val="52831274"/>
    <w:rsid w:val="528356FE"/>
    <w:rsid w:val="52926C9E"/>
    <w:rsid w:val="52964864"/>
    <w:rsid w:val="52A631B4"/>
    <w:rsid w:val="52AF2069"/>
    <w:rsid w:val="52BC083F"/>
    <w:rsid w:val="52BC29D7"/>
    <w:rsid w:val="52C13B4A"/>
    <w:rsid w:val="52C75604"/>
    <w:rsid w:val="52CF270B"/>
    <w:rsid w:val="52CF44B9"/>
    <w:rsid w:val="52D41ACF"/>
    <w:rsid w:val="52D970E6"/>
    <w:rsid w:val="52E361B6"/>
    <w:rsid w:val="52EC506B"/>
    <w:rsid w:val="52F12681"/>
    <w:rsid w:val="52F57E63"/>
    <w:rsid w:val="5310285D"/>
    <w:rsid w:val="53195734"/>
    <w:rsid w:val="531C4A49"/>
    <w:rsid w:val="53206AC2"/>
    <w:rsid w:val="532760A3"/>
    <w:rsid w:val="53292F0F"/>
    <w:rsid w:val="532A7941"/>
    <w:rsid w:val="53397B84"/>
    <w:rsid w:val="53754695"/>
    <w:rsid w:val="53807561"/>
    <w:rsid w:val="538104BC"/>
    <w:rsid w:val="53816CBB"/>
    <w:rsid w:val="538878F9"/>
    <w:rsid w:val="538C64D2"/>
    <w:rsid w:val="53961C8B"/>
    <w:rsid w:val="53A019B1"/>
    <w:rsid w:val="53AA2830"/>
    <w:rsid w:val="53BB4A3D"/>
    <w:rsid w:val="53BD2563"/>
    <w:rsid w:val="53C658BC"/>
    <w:rsid w:val="53E63F89"/>
    <w:rsid w:val="53EB70D0"/>
    <w:rsid w:val="53ED4D5D"/>
    <w:rsid w:val="53FA37B7"/>
    <w:rsid w:val="5402441A"/>
    <w:rsid w:val="54071A30"/>
    <w:rsid w:val="540C27A0"/>
    <w:rsid w:val="54104D89"/>
    <w:rsid w:val="54217F3A"/>
    <w:rsid w:val="542E520F"/>
    <w:rsid w:val="543640C4"/>
    <w:rsid w:val="54376DE3"/>
    <w:rsid w:val="54444A33"/>
    <w:rsid w:val="54465BC6"/>
    <w:rsid w:val="54492049"/>
    <w:rsid w:val="54501629"/>
    <w:rsid w:val="545729B8"/>
    <w:rsid w:val="548117E3"/>
    <w:rsid w:val="54815C87"/>
    <w:rsid w:val="54837097"/>
    <w:rsid w:val="54890697"/>
    <w:rsid w:val="54890E82"/>
    <w:rsid w:val="548B2661"/>
    <w:rsid w:val="548F2152"/>
    <w:rsid w:val="548F46E6"/>
    <w:rsid w:val="549153A3"/>
    <w:rsid w:val="549A66F3"/>
    <w:rsid w:val="54AD4386"/>
    <w:rsid w:val="54B1566D"/>
    <w:rsid w:val="54B55930"/>
    <w:rsid w:val="54BC6CBF"/>
    <w:rsid w:val="54C1410F"/>
    <w:rsid w:val="54C33BA9"/>
    <w:rsid w:val="54CB5262"/>
    <w:rsid w:val="54CF254E"/>
    <w:rsid w:val="54DA7145"/>
    <w:rsid w:val="54E83610"/>
    <w:rsid w:val="54EB1352"/>
    <w:rsid w:val="550223C7"/>
    <w:rsid w:val="55052414"/>
    <w:rsid w:val="55086696"/>
    <w:rsid w:val="550F7D3E"/>
    <w:rsid w:val="5512481B"/>
    <w:rsid w:val="551408A9"/>
    <w:rsid w:val="551E42D2"/>
    <w:rsid w:val="55257C46"/>
    <w:rsid w:val="553C395C"/>
    <w:rsid w:val="55466588"/>
    <w:rsid w:val="554967A4"/>
    <w:rsid w:val="557B0928"/>
    <w:rsid w:val="55801A9A"/>
    <w:rsid w:val="55945546"/>
    <w:rsid w:val="559B0682"/>
    <w:rsid w:val="55A97243"/>
    <w:rsid w:val="55B0074C"/>
    <w:rsid w:val="55C4407D"/>
    <w:rsid w:val="55C628FD"/>
    <w:rsid w:val="55C77919"/>
    <w:rsid w:val="55D02A22"/>
    <w:rsid w:val="55EF09CE"/>
    <w:rsid w:val="55F304BE"/>
    <w:rsid w:val="55F44049"/>
    <w:rsid w:val="55FA7A9F"/>
    <w:rsid w:val="55FD05D1"/>
    <w:rsid w:val="55FD30EB"/>
    <w:rsid w:val="55FF3307"/>
    <w:rsid w:val="56002BDB"/>
    <w:rsid w:val="5604091D"/>
    <w:rsid w:val="560426CB"/>
    <w:rsid w:val="56082EE6"/>
    <w:rsid w:val="56087CFD"/>
    <w:rsid w:val="56110933"/>
    <w:rsid w:val="56116A28"/>
    <w:rsid w:val="561D553B"/>
    <w:rsid w:val="561F12B3"/>
    <w:rsid w:val="561F2DC7"/>
    <w:rsid w:val="56244B1C"/>
    <w:rsid w:val="56262642"/>
    <w:rsid w:val="562C577E"/>
    <w:rsid w:val="5630526E"/>
    <w:rsid w:val="563665FD"/>
    <w:rsid w:val="563805C7"/>
    <w:rsid w:val="565371AF"/>
    <w:rsid w:val="56707D61"/>
    <w:rsid w:val="568630E0"/>
    <w:rsid w:val="568832FC"/>
    <w:rsid w:val="56955A19"/>
    <w:rsid w:val="56A42F7F"/>
    <w:rsid w:val="56B37C4E"/>
    <w:rsid w:val="56B91708"/>
    <w:rsid w:val="56C65BD3"/>
    <w:rsid w:val="56C8194B"/>
    <w:rsid w:val="56CF0F2B"/>
    <w:rsid w:val="56D74CB4"/>
    <w:rsid w:val="56D93B58"/>
    <w:rsid w:val="56D976B4"/>
    <w:rsid w:val="56DD6C8E"/>
    <w:rsid w:val="56F02760"/>
    <w:rsid w:val="570D1A54"/>
    <w:rsid w:val="572165D0"/>
    <w:rsid w:val="572823EA"/>
    <w:rsid w:val="57301B0E"/>
    <w:rsid w:val="573E1C0D"/>
    <w:rsid w:val="574014E1"/>
    <w:rsid w:val="574308B9"/>
    <w:rsid w:val="574D3BFE"/>
    <w:rsid w:val="5753390A"/>
    <w:rsid w:val="575431DF"/>
    <w:rsid w:val="575604AD"/>
    <w:rsid w:val="57733F72"/>
    <w:rsid w:val="577613A7"/>
    <w:rsid w:val="578A6C00"/>
    <w:rsid w:val="578C0BCA"/>
    <w:rsid w:val="57904E7E"/>
    <w:rsid w:val="579D2DD8"/>
    <w:rsid w:val="579E7ED7"/>
    <w:rsid w:val="57AA1051"/>
    <w:rsid w:val="57AB3433"/>
    <w:rsid w:val="57AF48B9"/>
    <w:rsid w:val="57B8376D"/>
    <w:rsid w:val="57B95737"/>
    <w:rsid w:val="57C540DC"/>
    <w:rsid w:val="57C74812"/>
    <w:rsid w:val="57CC546B"/>
    <w:rsid w:val="57DB3900"/>
    <w:rsid w:val="57DB640C"/>
    <w:rsid w:val="57EE3633"/>
    <w:rsid w:val="57F715D0"/>
    <w:rsid w:val="58022C3B"/>
    <w:rsid w:val="580746F5"/>
    <w:rsid w:val="580B5F93"/>
    <w:rsid w:val="581806B0"/>
    <w:rsid w:val="582901C7"/>
    <w:rsid w:val="5829466B"/>
    <w:rsid w:val="582C6358"/>
    <w:rsid w:val="58331046"/>
    <w:rsid w:val="583D7215"/>
    <w:rsid w:val="58401A2A"/>
    <w:rsid w:val="587755DD"/>
    <w:rsid w:val="587A53DA"/>
    <w:rsid w:val="587D6765"/>
    <w:rsid w:val="58803ECD"/>
    <w:rsid w:val="58831FCD"/>
    <w:rsid w:val="5883495D"/>
    <w:rsid w:val="588B0E82"/>
    <w:rsid w:val="588E44CE"/>
    <w:rsid w:val="58922210"/>
    <w:rsid w:val="58B101BD"/>
    <w:rsid w:val="58B77EC9"/>
    <w:rsid w:val="58C44394"/>
    <w:rsid w:val="58DA1063"/>
    <w:rsid w:val="58ED38EB"/>
    <w:rsid w:val="58F06F37"/>
    <w:rsid w:val="58F64A9D"/>
    <w:rsid w:val="593257A1"/>
    <w:rsid w:val="59396B30"/>
    <w:rsid w:val="59413C36"/>
    <w:rsid w:val="59457283"/>
    <w:rsid w:val="59484FC5"/>
    <w:rsid w:val="59594ADC"/>
    <w:rsid w:val="596D2336"/>
    <w:rsid w:val="596D67DA"/>
    <w:rsid w:val="597262ED"/>
    <w:rsid w:val="59796F2C"/>
    <w:rsid w:val="597C07CB"/>
    <w:rsid w:val="597E4543"/>
    <w:rsid w:val="598558D1"/>
    <w:rsid w:val="5991071A"/>
    <w:rsid w:val="599551D9"/>
    <w:rsid w:val="599B6EA3"/>
    <w:rsid w:val="599C2C1B"/>
    <w:rsid w:val="59AE5B50"/>
    <w:rsid w:val="59AF0BA0"/>
    <w:rsid w:val="59B00466"/>
    <w:rsid w:val="59B35BD6"/>
    <w:rsid w:val="59B42737"/>
    <w:rsid w:val="59BE4D82"/>
    <w:rsid w:val="59C53F20"/>
    <w:rsid w:val="59CA3C2C"/>
    <w:rsid w:val="59CD7278"/>
    <w:rsid w:val="59DB1995"/>
    <w:rsid w:val="59E36A9C"/>
    <w:rsid w:val="59EF3692"/>
    <w:rsid w:val="59F00FA4"/>
    <w:rsid w:val="59F15EC8"/>
    <w:rsid w:val="5A0B4631"/>
    <w:rsid w:val="5A221372"/>
    <w:rsid w:val="5A252C10"/>
    <w:rsid w:val="5A274BDA"/>
    <w:rsid w:val="5A2A6479"/>
    <w:rsid w:val="5A2E5DA8"/>
    <w:rsid w:val="5A3572F7"/>
    <w:rsid w:val="5A3D7F5A"/>
    <w:rsid w:val="5A3F4009"/>
    <w:rsid w:val="5A427C66"/>
    <w:rsid w:val="5A53777D"/>
    <w:rsid w:val="5A5D05FC"/>
    <w:rsid w:val="5A7140A7"/>
    <w:rsid w:val="5A843DDB"/>
    <w:rsid w:val="5A911684"/>
    <w:rsid w:val="5A9658BC"/>
    <w:rsid w:val="5AA004E9"/>
    <w:rsid w:val="5AB83A84"/>
    <w:rsid w:val="5ABF3065"/>
    <w:rsid w:val="5ACB37B8"/>
    <w:rsid w:val="5AD00DCE"/>
    <w:rsid w:val="5AD703AE"/>
    <w:rsid w:val="5AD92997"/>
    <w:rsid w:val="5AE1122D"/>
    <w:rsid w:val="5AF80325"/>
    <w:rsid w:val="5B062A42"/>
    <w:rsid w:val="5B152C85"/>
    <w:rsid w:val="5B1E7274"/>
    <w:rsid w:val="5B1F58B2"/>
    <w:rsid w:val="5B207980"/>
    <w:rsid w:val="5B2353A2"/>
    <w:rsid w:val="5B2379C2"/>
    <w:rsid w:val="5B24111A"/>
    <w:rsid w:val="5B386973"/>
    <w:rsid w:val="5B3C6463"/>
    <w:rsid w:val="5B3E21DC"/>
    <w:rsid w:val="5B3F6CEF"/>
    <w:rsid w:val="5B590DC3"/>
    <w:rsid w:val="5B6634E0"/>
    <w:rsid w:val="5B667984"/>
    <w:rsid w:val="5B7E7255"/>
    <w:rsid w:val="5B834092"/>
    <w:rsid w:val="5B8E2802"/>
    <w:rsid w:val="5BAB3B03"/>
    <w:rsid w:val="5BC8419B"/>
    <w:rsid w:val="5BCB77E7"/>
    <w:rsid w:val="5BD26DC8"/>
    <w:rsid w:val="5BD4669C"/>
    <w:rsid w:val="5BD91F04"/>
    <w:rsid w:val="5BDE2CA0"/>
    <w:rsid w:val="5BDE576D"/>
    <w:rsid w:val="5BE10DB9"/>
    <w:rsid w:val="5BE90D8D"/>
    <w:rsid w:val="5BF92507"/>
    <w:rsid w:val="5C024D33"/>
    <w:rsid w:val="5C0827EA"/>
    <w:rsid w:val="5C0F1DCA"/>
    <w:rsid w:val="5C205D85"/>
    <w:rsid w:val="5C25339C"/>
    <w:rsid w:val="5C2A09B2"/>
    <w:rsid w:val="5C321615"/>
    <w:rsid w:val="5C390BF5"/>
    <w:rsid w:val="5C3D6937"/>
    <w:rsid w:val="5C3F6F0D"/>
    <w:rsid w:val="5C411F11"/>
    <w:rsid w:val="5C4C0928"/>
    <w:rsid w:val="5C4E28F2"/>
    <w:rsid w:val="5C4F6BD1"/>
    <w:rsid w:val="5C551CAC"/>
    <w:rsid w:val="5C567AC3"/>
    <w:rsid w:val="5C5872CD"/>
    <w:rsid w:val="5C5B500F"/>
    <w:rsid w:val="5C675762"/>
    <w:rsid w:val="5C6D2A73"/>
    <w:rsid w:val="5C700ABB"/>
    <w:rsid w:val="5C7A5495"/>
    <w:rsid w:val="5C8D47B8"/>
    <w:rsid w:val="5C974299"/>
    <w:rsid w:val="5C9A5B38"/>
    <w:rsid w:val="5C9F314E"/>
    <w:rsid w:val="5CAC13C7"/>
    <w:rsid w:val="5CBE0A15"/>
    <w:rsid w:val="5CC02A2E"/>
    <w:rsid w:val="5CC85566"/>
    <w:rsid w:val="5CC901CB"/>
    <w:rsid w:val="5CD01559"/>
    <w:rsid w:val="5CDA5F34"/>
    <w:rsid w:val="5CE46DB3"/>
    <w:rsid w:val="5CED210B"/>
    <w:rsid w:val="5CED73C8"/>
    <w:rsid w:val="5D015BB7"/>
    <w:rsid w:val="5D0336DD"/>
    <w:rsid w:val="5D107BA8"/>
    <w:rsid w:val="5D1256CE"/>
    <w:rsid w:val="5D1538E2"/>
    <w:rsid w:val="5D1F603D"/>
    <w:rsid w:val="5D1F7DEB"/>
    <w:rsid w:val="5D2269E4"/>
    <w:rsid w:val="5D2B2C34"/>
    <w:rsid w:val="5D2B3036"/>
    <w:rsid w:val="5D302C9F"/>
    <w:rsid w:val="5D3D64C3"/>
    <w:rsid w:val="5D445AA3"/>
    <w:rsid w:val="5D50269A"/>
    <w:rsid w:val="5D553BC7"/>
    <w:rsid w:val="5D5872DA"/>
    <w:rsid w:val="5D5E0913"/>
    <w:rsid w:val="5D616655"/>
    <w:rsid w:val="5D75670B"/>
    <w:rsid w:val="5D763948"/>
    <w:rsid w:val="5D8E583C"/>
    <w:rsid w:val="5D9C768D"/>
    <w:rsid w:val="5DA30A1C"/>
    <w:rsid w:val="5DAB5B22"/>
    <w:rsid w:val="5DB60FC4"/>
    <w:rsid w:val="5DC34C1A"/>
    <w:rsid w:val="5DC42740"/>
    <w:rsid w:val="5DCA7D57"/>
    <w:rsid w:val="5DD426FD"/>
    <w:rsid w:val="5DD9443E"/>
    <w:rsid w:val="5DE52DE2"/>
    <w:rsid w:val="5DEB5F1F"/>
    <w:rsid w:val="5DFC5DA1"/>
    <w:rsid w:val="5E007858"/>
    <w:rsid w:val="5E0C4813"/>
    <w:rsid w:val="5E1C257C"/>
    <w:rsid w:val="5E1E62F4"/>
    <w:rsid w:val="5E2558D5"/>
    <w:rsid w:val="5E271520"/>
    <w:rsid w:val="5E2C27BF"/>
    <w:rsid w:val="5E335697"/>
    <w:rsid w:val="5E39312E"/>
    <w:rsid w:val="5E3B0C54"/>
    <w:rsid w:val="5E3C031F"/>
    <w:rsid w:val="5E3C677A"/>
    <w:rsid w:val="5E46309F"/>
    <w:rsid w:val="5E473A9D"/>
    <w:rsid w:val="5E4E6BDA"/>
    <w:rsid w:val="5E5835B4"/>
    <w:rsid w:val="5E6A778C"/>
    <w:rsid w:val="5E6B675A"/>
    <w:rsid w:val="5E6D4B86"/>
    <w:rsid w:val="5E6F6B50"/>
    <w:rsid w:val="5E736FE4"/>
    <w:rsid w:val="5E826883"/>
    <w:rsid w:val="5E850121"/>
    <w:rsid w:val="5E8A5738"/>
    <w:rsid w:val="5E8E5228"/>
    <w:rsid w:val="5E940365"/>
    <w:rsid w:val="5E9A6EFF"/>
    <w:rsid w:val="5EA44A4C"/>
    <w:rsid w:val="5EA70098"/>
    <w:rsid w:val="5EB34F14"/>
    <w:rsid w:val="5EB506B9"/>
    <w:rsid w:val="5EB97DCB"/>
    <w:rsid w:val="5EC724E8"/>
    <w:rsid w:val="5ECB053E"/>
    <w:rsid w:val="5ECE7D1A"/>
    <w:rsid w:val="5EDF5A84"/>
    <w:rsid w:val="5EEC63F2"/>
    <w:rsid w:val="5EF552A7"/>
    <w:rsid w:val="5EF84D97"/>
    <w:rsid w:val="5EFA466C"/>
    <w:rsid w:val="5F022797"/>
    <w:rsid w:val="5F0C07A3"/>
    <w:rsid w:val="5F1C2834"/>
    <w:rsid w:val="5F2023C0"/>
    <w:rsid w:val="5F2C67EF"/>
    <w:rsid w:val="5F307A0D"/>
    <w:rsid w:val="5F3E6C4E"/>
    <w:rsid w:val="5F3F6522"/>
    <w:rsid w:val="5F48187B"/>
    <w:rsid w:val="5F4A0297"/>
    <w:rsid w:val="5F50072F"/>
    <w:rsid w:val="5F5C5326"/>
    <w:rsid w:val="5F6441DB"/>
    <w:rsid w:val="5F681F1D"/>
    <w:rsid w:val="5F6D7533"/>
    <w:rsid w:val="5F8F48E1"/>
    <w:rsid w:val="5F975A34"/>
    <w:rsid w:val="5F9A19AB"/>
    <w:rsid w:val="5FAB005C"/>
    <w:rsid w:val="5FB46F10"/>
    <w:rsid w:val="5FC30F01"/>
    <w:rsid w:val="5FCD244A"/>
    <w:rsid w:val="5FD04C97"/>
    <w:rsid w:val="5FDE3F8D"/>
    <w:rsid w:val="5FE315A4"/>
    <w:rsid w:val="5FE33352"/>
    <w:rsid w:val="5FEB2206"/>
    <w:rsid w:val="60076F06"/>
    <w:rsid w:val="6008725C"/>
    <w:rsid w:val="60123592"/>
    <w:rsid w:val="60132BAA"/>
    <w:rsid w:val="602D6CC3"/>
    <w:rsid w:val="603040BD"/>
    <w:rsid w:val="603D6F06"/>
    <w:rsid w:val="60470EFE"/>
    <w:rsid w:val="604F09E7"/>
    <w:rsid w:val="6054424F"/>
    <w:rsid w:val="60597AB8"/>
    <w:rsid w:val="60636240"/>
    <w:rsid w:val="606721D5"/>
    <w:rsid w:val="606B3AEB"/>
    <w:rsid w:val="606D70BF"/>
    <w:rsid w:val="606F2E37"/>
    <w:rsid w:val="607466A0"/>
    <w:rsid w:val="607B3E13"/>
    <w:rsid w:val="60806DF2"/>
    <w:rsid w:val="60854409"/>
    <w:rsid w:val="6098413C"/>
    <w:rsid w:val="609A4358"/>
    <w:rsid w:val="60A07495"/>
    <w:rsid w:val="60A56859"/>
    <w:rsid w:val="60A81414"/>
    <w:rsid w:val="60CD1A9D"/>
    <w:rsid w:val="60E455D3"/>
    <w:rsid w:val="60FC5A2B"/>
    <w:rsid w:val="61025A59"/>
    <w:rsid w:val="610619ED"/>
    <w:rsid w:val="610F7448"/>
    <w:rsid w:val="61120392"/>
    <w:rsid w:val="611B3604"/>
    <w:rsid w:val="611D2893"/>
    <w:rsid w:val="6127459B"/>
    <w:rsid w:val="6133529C"/>
    <w:rsid w:val="614C3178"/>
    <w:rsid w:val="615362B5"/>
    <w:rsid w:val="61565DA5"/>
    <w:rsid w:val="616B1851"/>
    <w:rsid w:val="616B40B4"/>
    <w:rsid w:val="6171498D"/>
    <w:rsid w:val="61783F6D"/>
    <w:rsid w:val="617C3A5E"/>
    <w:rsid w:val="618E3791"/>
    <w:rsid w:val="61954B1F"/>
    <w:rsid w:val="61A3723C"/>
    <w:rsid w:val="61A445F6"/>
    <w:rsid w:val="61A66D2D"/>
    <w:rsid w:val="61A84853"/>
    <w:rsid w:val="61B50D1E"/>
    <w:rsid w:val="61B551C2"/>
    <w:rsid w:val="61BA27D8"/>
    <w:rsid w:val="61CC7BD3"/>
    <w:rsid w:val="61D25FF4"/>
    <w:rsid w:val="61E82EA1"/>
    <w:rsid w:val="61E84C4F"/>
    <w:rsid w:val="61E909C7"/>
    <w:rsid w:val="61EA4E6B"/>
    <w:rsid w:val="61FB123A"/>
    <w:rsid w:val="62031A89"/>
    <w:rsid w:val="621243C2"/>
    <w:rsid w:val="622A34BA"/>
    <w:rsid w:val="6231187C"/>
    <w:rsid w:val="623936FD"/>
    <w:rsid w:val="62426A55"/>
    <w:rsid w:val="624479E6"/>
    <w:rsid w:val="625B4533"/>
    <w:rsid w:val="6266745C"/>
    <w:rsid w:val="62685D90"/>
    <w:rsid w:val="6278396C"/>
    <w:rsid w:val="627B5AC3"/>
    <w:rsid w:val="628232F6"/>
    <w:rsid w:val="62830E1C"/>
    <w:rsid w:val="628C7CD0"/>
    <w:rsid w:val="62966DA1"/>
    <w:rsid w:val="62972390"/>
    <w:rsid w:val="62A47745"/>
    <w:rsid w:val="62AC049F"/>
    <w:rsid w:val="62B9483E"/>
    <w:rsid w:val="62BD2580"/>
    <w:rsid w:val="62C459D4"/>
    <w:rsid w:val="62CD2E7F"/>
    <w:rsid w:val="62DE42A4"/>
    <w:rsid w:val="62E12D2E"/>
    <w:rsid w:val="62E73159"/>
    <w:rsid w:val="62E775FD"/>
    <w:rsid w:val="62E96ED1"/>
    <w:rsid w:val="62EC69C1"/>
    <w:rsid w:val="62F835B8"/>
    <w:rsid w:val="63065CD5"/>
    <w:rsid w:val="630D3FEF"/>
    <w:rsid w:val="63100901"/>
    <w:rsid w:val="63133F4E"/>
    <w:rsid w:val="63147CC6"/>
    <w:rsid w:val="631515DE"/>
    <w:rsid w:val="631877B6"/>
    <w:rsid w:val="631B780A"/>
    <w:rsid w:val="631D67EC"/>
    <w:rsid w:val="631E6186"/>
    <w:rsid w:val="631F28F3"/>
    <w:rsid w:val="63312626"/>
    <w:rsid w:val="63332842"/>
    <w:rsid w:val="63553452"/>
    <w:rsid w:val="63617B31"/>
    <w:rsid w:val="636A461D"/>
    <w:rsid w:val="636C18B0"/>
    <w:rsid w:val="636C7B02"/>
    <w:rsid w:val="637C5F97"/>
    <w:rsid w:val="637F3391"/>
    <w:rsid w:val="638135AD"/>
    <w:rsid w:val="638E102D"/>
    <w:rsid w:val="639D5F0D"/>
    <w:rsid w:val="63A948B2"/>
    <w:rsid w:val="63B020AD"/>
    <w:rsid w:val="63B514A9"/>
    <w:rsid w:val="63BF2E3F"/>
    <w:rsid w:val="63C11BFC"/>
    <w:rsid w:val="63C54C7A"/>
    <w:rsid w:val="63C90AB0"/>
    <w:rsid w:val="63E678B4"/>
    <w:rsid w:val="63F20007"/>
    <w:rsid w:val="63F21DB5"/>
    <w:rsid w:val="63F35B2D"/>
    <w:rsid w:val="63FD075A"/>
    <w:rsid w:val="63FF7344"/>
    <w:rsid w:val="64053913"/>
    <w:rsid w:val="64095351"/>
    <w:rsid w:val="640B2E77"/>
    <w:rsid w:val="64113810"/>
    <w:rsid w:val="6419500B"/>
    <w:rsid w:val="641F5971"/>
    <w:rsid w:val="6421269A"/>
    <w:rsid w:val="642E6B65"/>
    <w:rsid w:val="642F5CA0"/>
    <w:rsid w:val="643B19AE"/>
    <w:rsid w:val="643E4FFA"/>
    <w:rsid w:val="64430863"/>
    <w:rsid w:val="64443946"/>
    <w:rsid w:val="6449401F"/>
    <w:rsid w:val="64526CF8"/>
    <w:rsid w:val="645F2FA7"/>
    <w:rsid w:val="6464346B"/>
    <w:rsid w:val="646A069C"/>
    <w:rsid w:val="646A2293"/>
    <w:rsid w:val="647B624F"/>
    <w:rsid w:val="64801AB7"/>
    <w:rsid w:val="64822965"/>
    <w:rsid w:val="64850E7B"/>
    <w:rsid w:val="64872E45"/>
    <w:rsid w:val="64906A4A"/>
    <w:rsid w:val="649410BE"/>
    <w:rsid w:val="64A82DBC"/>
    <w:rsid w:val="64BB489D"/>
    <w:rsid w:val="64C179D9"/>
    <w:rsid w:val="64C23E7D"/>
    <w:rsid w:val="64C51278"/>
    <w:rsid w:val="64CA0F84"/>
    <w:rsid w:val="64CF659A"/>
    <w:rsid w:val="64D85D95"/>
    <w:rsid w:val="64E060B2"/>
    <w:rsid w:val="64E2007C"/>
    <w:rsid w:val="64EB6800"/>
    <w:rsid w:val="64F1593F"/>
    <w:rsid w:val="64FD1B5A"/>
    <w:rsid w:val="64FE29DC"/>
    <w:rsid w:val="650C50F9"/>
    <w:rsid w:val="65102E3B"/>
    <w:rsid w:val="652266CA"/>
    <w:rsid w:val="65257F68"/>
    <w:rsid w:val="653A1C66"/>
    <w:rsid w:val="654C1255"/>
    <w:rsid w:val="655F791E"/>
    <w:rsid w:val="657D7DA4"/>
    <w:rsid w:val="6589499B"/>
    <w:rsid w:val="659A2704"/>
    <w:rsid w:val="659B5E9E"/>
    <w:rsid w:val="65A215B9"/>
    <w:rsid w:val="65B23EF2"/>
    <w:rsid w:val="65B732B6"/>
    <w:rsid w:val="65BA2DA7"/>
    <w:rsid w:val="65C634F9"/>
    <w:rsid w:val="65DA51F7"/>
    <w:rsid w:val="65F242EE"/>
    <w:rsid w:val="65F75DA9"/>
    <w:rsid w:val="660364FC"/>
    <w:rsid w:val="66081D64"/>
    <w:rsid w:val="660B3929"/>
    <w:rsid w:val="661204ED"/>
    <w:rsid w:val="66140709"/>
    <w:rsid w:val="66187ACD"/>
    <w:rsid w:val="661E3335"/>
    <w:rsid w:val="66263F98"/>
    <w:rsid w:val="6627058B"/>
    <w:rsid w:val="662A2650"/>
    <w:rsid w:val="662B15AE"/>
    <w:rsid w:val="663529F6"/>
    <w:rsid w:val="663E5D43"/>
    <w:rsid w:val="66564087"/>
    <w:rsid w:val="665C3E5E"/>
    <w:rsid w:val="666F593F"/>
    <w:rsid w:val="66760FD3"/>
    <w:rsid w:val="667B2536"/>
    <w:rsid w:val="667C005C"/>
    <w:rsid w:val="66811B16"/>
    <w:rsid w:val="66886A01"/>
    <w:rsid w:val="66914861"/>
    <w:rsid w:val="669C0748"/>
    <w:rsid w:val="669C425A"/>
    <w:rsid w:val="669E6224"/>
    <w:rsid w:val="66A55805"/>
    <w:rsid w:val="66AB38AB"/>
    <w:rsid w:val="66AC6B93"/>
    <w:rsid w:val="66AF3F8D"/>
    <w:rsid w:val="66B160D0"/>
    <w:rsid w:val="66B46952"/>
    <w:rsid w:val="66BC2B4E"/>
    <w:rsid w:val="66CA3E30"/>
    <w:rsid w:val="66CB0FA5"/>
    <w:rsid w:val="66CD08B8"/>
    <w:rsid w:val="66DB6F5E"/>
    <w:rsid w:val="66F810A2"/>
    <w:rsid w:val="66FC2F4B"/>
    <w:rsid w:val="670047E9"/>
    <w:rsid w:val="670A5668"/>
    <w:rsid w:val="670D5158"/>
    <w:rsid w:val="670F7122"/>
    <w:rsid w:val="67114C48"/>
    <w:rsid w:val="67136D1B"/>
    <w:rsid w:val="67206C39"/>
    <w:rsid w:val="67226E55"/>
    <w:rsid w:val="67235C06"/>
    <w:rsid w:val="672A3394"/>
    <w:rsid w:val="672C0852"/>
    <w:rsid w:val="672E75A8"/>
    <w:rsid w:val="67313982"/>
    <w:rsid w:val="673E3563"/>
    <w:rsid w:val="67424E02"/>
    <w:rsid w:val="67432343"/>
    <w:rsid w:val="67564D51"/>
    <w:rsid w:val="67580AC9"/>
    <w:rsid w:val="675A15AA"/>
    <w:rsid w:val="675B18CF"/>
    <w:rsid w:val="67672ABA"/>
    <w:rsid w:val="676F3DA6"/>
    <w:rsid w:val="67705E13"/>
    <w:rsid w:val="67783585"/>
    <w:rsid w:val="677C02C7"/>
    <w:rsid w:val="67902011"/>
    <w:rsid w:val="67915D89"/>
    <w:rsid w:val="67BA52E0"/>
    <w:rsid w:val="67C47F0C"/>
    <w:rsid w:val="67C72353"/>
    <w:rsid w:val="67D53EC8"/>
    <w:rsid w:val="67D839B8"/>
    <w:rsid w:val="67E20393"/>
    <w:rsid w:val="67EE0AE5"/>
    <w:rsid w:val="67FA1F2D"/>
    <w:rsid w:val="680227E3"/>
    <w:rsid w:val="68150768"/>
    <w:rsid w:val="682C280B"/>
    <w:rsid w:val="684352D5"/>
    <w:rsid w:val="684B5F38"/>
    <w:rsid w:val="6852376A"/>
    <w:rsid w:val="685F19E3"/>
    <w:rsid w:val="686D2352"/>
    <w:rsid w:val="68770B5F"/>
    <w:rsid w:val="6877495A"/>
    <w:rsid w:val="68776D2D"/>
    <w:rsid w:val="68866F70"/>
    <w:rsid w:val="68945B31"/>
    <w:rsid w:val="689B6EBF"/>
    <w:rsid w:val="689F6284"/>
    <w:rsid w:val="68A67612"/>
    <w:rsid w:val="68A8338A"/>
    <w:rsid w:val="68AB4C28"/>
    <w:rsid w:val="68AC2CF6"/>
    <w:rsid w:val="68B0223F"/>
    <w:rsid w:val="68BE2BAE"/>
    <w:rsid w:val="68BF66FF"/>
    <w:rsid w:val="68C7218A"/>
    <w:rsid w:val="68CD6E3C"/>
    <w:rsid w:val="68D91796"/>
    <w:rsid w:val="68DD74D8"/>
    <w:rsid w:val="68E5013A"/>
    <w:rsid w:val="68E72104"/>
    <w:rsid w:val="68EF720B"/>
    <w:rsid w:val="68F35183"/>
    <w:rsid w:val="69004F74"/>
    <w:rsid w:val="690C3DA4"/>
    <w:rsid w:val="690F6F65"/>
    <w:rsid w:val="691B3B5C"/>
    <w:rsid w:val="6922138F"/>
    <w:rsid w:val="692674DB"/>
    <w:rsid w:val="69270753"/>
    <w:rsid w:val="692769A5"/>
    <w:rsid w:val="693115D2"/>
    <w:rsid w:val="693B477C"/>
    <w:rsid w:val="693C3AD3"/>
    <w:rsid w:val="693C6565"/>
    <w:rsid w:val="694330B3"/>
    <w:rsid w:val="695208CA"/>
    <w:rsid w:val="69551989"/>
    <w:rsid w:val="695928D6"/>
    <w:rsid w:val="696F20FA"/>
    <w:rsid w:val="697274F4"/>
    <w:rsid w:val="697E527C"/>
    <w:rsid w:val="69805B37"/>
    <w:rsid w:val="698536CB"/>
    <w:rsid w:val="69961435"/>
    <w:rsid w:val="699D578C"/>
    <w:rsid w:val="69A015A7"/>
    <w:rsid w:val="69B33D95"/>
    <w:rsid w:val="69B61AD7"/>
    <w:rsid w:val="69B87541"/>
    <w:rsid w:val="69C42446"/>
    <w:rsid w:val="69C67F6C"/>
    <w:rsid w:val="69CE2946"/>
    <w:rsid w:val="69D00DEB"/>
    <w:rsid w:val="69D02B99"/>
    <w:rsid w:val="69D14F1F"/>
    <w:rsid w:val="69DA7573"/>
    <w:rsid w:val="69E14DA6"/>
    <w:rsid w:val="69E421A0"/>
    <w:rsid w:val="69E95A08"/>
    <w:rsid w:val="69F027ED"/>
    <w:rsid w:val="69F06D97"/>
    <w:rsid w:val="6A0013D3"/>
    <w:rsid w:val="6A0377EE"/>
    <w:rsid w:val="6A1D1B56"/>
    <w:rsid w:val="6A242EE4"/>
    <w:rsid w:val="6A4610AD"/>
    <w:rsid w:val="6A4E7F61"/>
    <w:rsid w:val="6A5B7870"/>
    <w:rsid w:val="6A6E4160"/>
    <w:rsid w:val="6A721EA2"/>
    <w:rsid w:val="6A773014"/>
    <w:rsid w:val="6A7A48B2"/>
    <w:rsid w:val="6A9241DB"/>
    <w:rsid w:val="6A9C2A7B"/>
    <w:rsid w:val="6AA5595F"/>
    <w:rsid w:val="6AA7598B"/>
    <w:rsid w:val="6AAB47F8"/>
    <w:rsid w:val="6AAF72A2"/>
    <w:rsid w:val="6AB66D3A"/>
    <w:rsid w:val="6ABA73A5"/>
    <w:rsid w:val="6AC339F9"/>
    <w:rsid w:val="6ACB22C2"/>
    <w:rsid w:val="6AF92B4D"/>
    <w:rsid w:val="6AF9611F"/>
    <w:rsid w:val="6B005CDC"/>
    <w:rsid w:val="6B063A07"/>
    <w:rsid w:val="6B120F8F"/>
    <w:rsid w:val="6B176657"/>
    <w:rsid w:val="6B182A49"/>
    <w:rsid w:val="6B1E5B86"/>
    <w:rsid w:val="6B2A277C"/>
    <w:rsid w:val="6B3E7FD6"/>
    <w:rsid w:val="6B413622"/>
    <w:rsid w:val="6B454EC0"/>
    <w:rsid w:val="6B475596"/>
    <w:rsid w:val="6B4D0219"/>
    <w:rsid w:val="6B4F3F91"/>
    <w:rsid w:val="6B5E41D4"/>
    <w:rsid w:val="6B67752D"/>
    <w:rsid w:val="6B68305E"/>
    <w:rsid w:val="6B686E01"/>
    <w:rsid w:val="6B6C069F"/>
    <w:rsid w:val="6B6F1F3D"/>
    <w:rsid w:val="6B6F63E1"/>
    <w:rsid w:val="6B785296"/>
    <w:rsid w:val="6B792DBC"/>
    <w:rsid w:val="6B7D28AC"/>
    <w:rsid w:val="6B8359E9"/>
    <w:rsid w:val="6B882FFF"/>
    <w:rsid w:val="6B94738E"/>
    <w:rsid w:val="6B95409A"/>
    <w:rsid w:val="6B961BC0"/>
    <w:rsid w:val="6B99345E"/>
    <w:rsid w:val="6B9D4CFC"/>
    <w:rsid w:val="6BC23C69"/>
    <w:rsid w:val="6BC71D79"/>
    <w:rsid w:val="6BC8789F"/>
    <w:rsid w:val="6BCC55E2"/>
    <w:rsid w:val="6BDD1A16"/>
    <w:rsid w:val="6BE04BE9"/>
    <w:rsid w:val="6BE81487"/>
    <w:rsid w:val="6BF32B6E"/>
    <w:rsid w:val="6BFC0FB6"/>
    <w:rsid w:val="6BFF1513"/>
    <w:rsid w:val="6C0134DD"/>
    <w:rsid w:val="6C044D7B"/>
    <w:rsid w:val="6C066D46"/>
    <w:rsid w:val="6C133210"/>
    <w:rsid w:val="6C134FBF"/>
    <w:rsid w:val="6C182591"/>
    <w:rsid w:val="6C184383"/>
    <w:rsid w:val="6C1E4007"/>
    <w:rsid w:val="6C28685D"/>
    <w:rsid w:val="6C2D0206"/>
    <w:rsid w:val="6C335661"/>
    <w:rsid w:val="6C375767"/>
    <w:rsid w:val="6C382C77"/>
    <w:rsid w:val="6C3F1D6B"/>
    <w:rsid w:val="6C47110C"/>
    <w:rsid w:val="6C4C04D0"/>
    <w:rsid w:val="6C543A21"/>
    <w:rsid w:val="6C5F0204"/>
    <w:rsid w:val="6C613F7C"/>
    <w:rsid w:val="6C663340"/>
    <w:rsid w:val="6C81017A"/>
    <w:rsid w:val="6C862D61"/>
    <w:rsid w:val="6C8B2DA7"/>
    <w:rsid w:val="6C8D4D71"/>
    <w:rsid w:val="6C9C2D92"/>
    <w:rsid w:val="6CA33A48"/>
    <w:rsid w:val="6CCE77A2"/>
    <w:rsid w:val="6CCF4C0A"/>
    <w:rsid w:val="6CE161E7"/>
    <w:rsid w:val="6CE8394B"/>
    <w:rsid w:val="6CEF1361"/>
    <w:rsid w:val="6CF52916"/>
    <w:rsid w:val="6CFA1CDB"/>
    <w:rsid w:val="6D01750D"/>
    <w:rsid w:val="6D033285"/>
    <w:rsid w:val="6D055028"/>
    <w:rsid w:val="6D056FFD"/>
    <w:rsid w:val="6D07757D"/>
    <w:rsid w:val="6D090170"/>
    <w:rsid w:val="6D0F1C2A"/>
    <w:rsid w:val="6D2A0812"/>
    <w:rsid w:val="6D376CC1"/>
    <w:rsid w:val="6D413DAD"/>
    <w:rsid w:val="6D443E48"/>
    <w:rsid w:val="6D45284C"/>
    <w:rsid w:val="6D5910F7"/>
    <w:rsid w:val="6D7467EA"/>
    <w:rsid w:val="6D761CA9"/>
    <w:rsid w:val="6D7B106D"/>
    <w:rsid w:val="6D8048D6"/>
    <w:rsid w:val="6D8D159C"/>
    <w:rsid w:val="6D9E2A69"/>
    <w:rsid w:val="6DA25F43"/>
    <w:rsid w:val="6DA560EA"/>
    <w:rsid w:val="6DA71E62"/>
    <w:rsid w:val="6DB12CE1"/>
    <w:rsid w:val="6DCC7B1B"/>
    <w:rsid w:val="6DCD73EF"/>
    <w:rsid w:val="6DD63018"/>
    <w:rsid w:val="6DD662A4"/>
    <w:rsid w:val="6DD93FE6"/>
    <w:rsid w:val="6DD95D94"/>
    <w:rsid w:val="6DE668B7"/>
    <w:rsid w:val="6DEA7FA1"/>
    <w:rsid w:val="6E0959FB"/>
    <w:rsid w:val="6E0E1EE1"/>
    <w:rsid w:val="6E0E5A3E"/>
    <w:rsid w:val="6E274D51"/>
    <w:rsid w:val="6E2A4841"/>
    <w:rsid w:val="6E427DDD"/>
    <w:rsid w:val="6E47372B"/>
    <w:rsid w:val="6E4C0687"/>
    <w:rsid w:val="6E590199"/>
    <w:rsid w:val="6E66587A"/>
    <w:rsid w:val="6E766FA7"/>
    <w:rsid w:val="6E7F06E9"/>
    <w:rsid w:val="6E892151"/>
    <w:rsid w:val="6E8E3022"/>
    <w:rsid w:val="6E8E4DD0"/>
    <w:rsid w:val="6E8F0398"/>
    <w:rsid w:val="6E9A19C7"/>
    <w:rsid w:val="6E9F0D8B"/>
    <w:rsid w:val="6EAE0FCF"/>
    <w:rsid w:val="6EB60DF0"/>
    <w:rsid w:val="6EBA5BC5"/>
    <w:rsid w:val="6EBD7464"/>
    <w:rsid w:val="6EC46A44"/>
    <w:rsid w:val="6EC56817"/>
    <w:rsid w:val="6EDE6634"/>
    <w:rsid w:val="6EEC4AB4"/>
    <w:rsid w:val="6EED653C"/>
    <w:rsid w:val="6EF07839"/>
    <w:rsid w:val="6EFA06B8"/>
    <w:rsid w:val="6F343BCA"/>
    <w:rsid w:val="6F3C2A7E"/>
    <w:rsid w:val="6F3C2F1C"/>
    <w:rsid w:val="6F474039"/>
    <w:rsid w:val="6F4B4A6F"/>
    <w:rsid w:val="6F54252D"/>
    <w:rsid w:val="6F655B31"/>
    <w:rsid w:val="6F6C121D"/>
    <w:rsid w:val="6F6E7694"/>
    <w:rsid w:val="6F7D5D84"/>
    <w:rsid w:val="6F8B1310"/>
    <w:rsid w:val="6F8E62A3"/>
    <w:rsid w:val="6F926DAE"/>
    <w:rsid w:val="6F9B691D"/>
    <w:rsid w:val="6F9E7295"/>
    <w:rsid w:val="6FA10B33"/>
    <w:rsid w:val="6FA9085B"/>
    <w:rsid w:val="6FB24AEE"/>
    <w:rsid w:val="6FB46AB9"/>
    <w:rsid w:val="6FCF744E"/>
    <w:rsid w:val="6FD42741"/>
    <w:rsid w:val="6FD60166"/>
    <w:rsid w:val="6FE474E4"/>
    <w:rsid w:val="6FEA072C"/>
    <w:rsid w:val="6FF375E1"/>
    <w:rsid w:val="6FF9271D"/>
    <w:rsid w:val="6FFB0243"/>
    <w:rsid w:val="700370F8"/>
    <w:rsid w:val="70147557"/>
    <w:rsid w:val="7019159F"/>
    <w:rsid w:val="701E3F32"/>
    <w:rsid w:val="7020414E"/>
    <w:rsid w:val="70235E7F"/>
    <w:rsid w:val="70253512"/>
    <w:rsid w:val="70311EB7"/>
    <w:rsid w:val="70343755"/>
    <w:rsid w:val="70357BF9"/>
    <w:rsid w:val="703A6FBE"/>
    <w:rsid w:val="703C6C3F"/>
    <w:rsid w:val="704E2A69"/>
    <w:rsid w:val="705160B5"/>
    <w:rsid w:val="70616401"/>
    <w:rsid w:val="70700C31"/>
    <w:rsid w:val="707F0E75"/>
    <w:rsid w:val="70A42689"/>
    <w:rsid w:val="70A64653"/>
    <w:rsid w:val="70AB3A18"/>
    <w:rsid w:val="70CC1BE0"/>
    <w:rsid w:val="70CF1EF9"/>
    <w:rsid w:val="70D77FA4"/>
    <w:rsid w:val="70DC62C7"/>
    <w:rsid w:val="70E4517B"/>
    <w:rsid w:val="70E62A7A"/>
    <w:rsid w:val="70FC0717"/>
    <w:rsid w:val="71017ADB"/>
    <w:rsid w:val="71025602"/>
    <w:rsid w:val="711517D9"/>
    <w:rsid w:val="71186C2C"/>
    <w:rsid w:val="711C4915"/>
    <w:rsid w:val="711F4749"/>
    <w:rsid w:val="712832BA"/>
    <w:rsid w:val="713C4FB8"/>
    <w:rsid w:val="713E488C"/>
    <w:rsid w:val="714E66C9"/>
    <w:rsid w:val="7161057A"/>
    <w:rsid w:val="71687B5B"/>
    <w:rsid w:val="717A163C"/>
    <w:rsid w:val="71800D5F"/>
    <w:rsid w:val="71810C1C"/>
    <w:rsid w:val="718E6A4C"/>
    <w:rsid w:val="71995F66"/>
    <w:rsid w:val="719C5A56"/>
    <w:rsid w:val="71A62431"/>
    <w:rsid w:val="71AD37BF"/>
    <w:rsid w:val="71BB2380"/>
    <w:rsid w:val="71C034F3"/>
    <w:rsid w:val="71C11019"/>
    <w:rsid w:val="71C32FE3"/>
    <w:rsid w:val="71CB0C73"/>
    <w:rsid w:val="71CD79BE"/>
    <w:rsid w:val="71D10874"/>
    <w:rsid w:val="71D35959"/>
    <w:rsid w:val="71EF69A0"/>
    <w:rsid w:val="71F17B50"/>
    <w:rsid w:val="71F25676"/>
    <w:rsid w:val="71F94C57"/>
    <w:rsid w:val="71FD4747"/>
    <w:rsid w:val="7206386C"/>
    <w:rsid w:val="72077373"/>
    <w:rsid w:val="720E6BFD"/>
    <w:rsid w:val="721101F2"/>
    <w:rsid w:val="7214383E"/>
    <w:rsid w:val="72200435"/>
    <w:rsid w:val="72290BF1"/>
    <w:rsid w:val="72311159"/>
    <w:rsid w:val="72330169"/>
    <w:rsid w:val="72367C59"/>
    <w:rsid w:val="724063E2"/>
    <w:rsid w:val="72477770"/>
    <w:rsid w:val="724C122A"/>
    <w:rsid w:val="725F79A5"/>
    <w:rsid w:val="72620A4E"/>
    <w:rsid w:val="72730565"/>
    <w:rsid w:val="7278201F"/>
    <w:rsid w:val="727A2F1F"/>
    <w:rsid w:val="727E0C6F"/>
    <w:rsid w:val="728409C4"/>
    <w:rsid w:val="72850298"/>
    <w:rsid w:val="72897D89"/>
    <w:rsid w:val="728C7879"/>
    <w:rsid w:val="729D55E2"/>
    <w:rsid w:val="72AA5244"/>
    <w:rsid w:val="72AC3A77"/>
    <w:rsid w:val="72AE5A41"/>
    <w:rsid w:val="72B56DCF"/>
    <w:rsid w:val="72BB3CBA"/>
    <w:rsid w:val="72C2329A"/>
    <w:rsid w:val="72C44044"/>
    <w:rsid w:val="72C76B03"/>
    <w:rsid w:val="72D10FF8"/>
    <w:rsid w:val="72D8486C"/>
    <w:rsid w:val="72FA6ED8"/>
    <w:rsid w:val="72FC67AC"/>
    <w:rsid w:val="730B4C41"/>
    <w:rsid w:val="731C643C"/>
    <w:rsid w:val="731D6723"/>
    <w:rsid w:val="732975E5"/>
    <w:rsid w:val="733C4BAC"/>
    <w:rsid w:val="73522870"/>
    <w:rsid w:val="73577E87"/>
    <w:rsid w:val="73593BFF"/>
    <w:rsid w:val="735B3229"/>
    <w:rsid w:val="7366631C"/>
    <w:rsid w:val="73697BBA"/>
    <w:rsid w:val="736A4624"/>
    <w:rsid w:val="736B3932"/>
    <w:rsid w:val="736C6E60"/>
    <w:rsid w:val="73734595"/>
    <w:rsid w:val="73770529"/>
    <w:rsid w:val="738805A0"/>
    <w:rsid w:val="738B5D82"/>
    <w:rsid w:val="73905147"/>
    <w:rsid w:val="73905E9C"/>
    <w:rsid w:val="739A5FC5"/>
    <w:rsid w:val="73A76E7D"/>
    <w:rsid w:val="73AD7AA7"/>
    <w:rsid w:val="73AF381F"/>
    <w:rsid w:val="73C971D5"/>
    <w:rsid w:val="73DC213A"/>
    <w:rsid w:val="73F43927"/>
    <w:rsid w:val="73FA09CF"/>
    <w:rsid w:val="73FB4CB6"/>
    <w:rsid w:val="74055B35"/>
    <w:rsid w:val="740578E3"/>
    <w:rsid w:val="7407365B"/>
    <w:rsid w:val="741B5143"/>
    <w:rsid w:val="74205DB0"/>
    <w:rsid w:val="74264E1B"/>
    <w:rsid w:val="74294608"/>
    <w:rsid w:val="742F4960"/>
    <w:rsid w:val="74367A9C"/>
    <w:rsid w:val="743957DE"/>
    <w:rsid w:val="743B4721"/>
    <w:rsid w:val="743B50B2"/>
    <w:rsid w:val="743D52CE"/>
    <w:rsid w:val="7441186B"/>
    <w:rsid w:val="745B7503"/>
    <w:rsid w:val="74626AE3"/>
    <w:rsid w:val="74650381"/>
    <w:rsid w:val="746960C4"/>
    <w:rsid w:val="7476258E"/>
    <w:rsid w:val="74842EFD"/>
    <w:rsid w:val="7487654A"/>
    <w:rsid w:val="748C3B60"/>
    <w:rsid w:val="748F53FE"/>
    <w:rsid w:val="7497603C"/>
    <w:rsid w:val="749A44CF"/>
    <w:rsid w:val="749B0619"/>
    <w:rsid w:val="749C3ABE"/>
    <w:rsid w:val="74BF03C4"/>
    <w:rsid w:val="74C257D4"/>
    <w:rsid w:val="74C27582"/>
    <w:rsid w:val="74C4154C"/>
    <w:rsid w:val="74C903BC"/>
    <w:rsid w:val="74C96B62"/>
    <w:rsid w:val="74D769FD"/>
    <w:rsid w:val="74D86DA5"/>
    <w:rsid w:val="74F040EF"/>
    <w:rsid w:val="74F51705"/>
    <w:rsid w:val="74FC5305"/>
    <w:rsid w:val="75022074"/>
    <w:rsid w:val="75047B9A"/>
    <w:rsid w:val="752124FA"/>
    <w:rsid w:val="75267B11"/>
    <w:rsid w:val="752C0E9F"/>
    <w:rsid w:val="752E10BB"/>
    <w:rsid w:val="753C5586"/>
    <w:rsid w:val="75412B9C"/>
    <w:rsid w:val="75501031"/>
    <w:rsid w:val="75581C94"/>
    <w:rsid w:val="755C3532"/>
    <w:rsid w:val="75671ED7"/>
    <w:rsid w:val="756E3266"/>
    <w:rsid w:val="75715EFC"/>
    <w:rsid w:val="75842A89"/>
    <w:rsid w:val="75874327"/>
    <w:rsid w:val="758962F1"/>
    <w:rsid w:val="759E0D5A"/>
    <w:rsid w:val="75AE7B06"/>
    <w:rsid w:val="75B25848"/>
    <w:rsid w:val="75BC511D"/>
    <w:rsid w:val="75BC66C7"/>
    <w:rsid w:val="75C31803"/>
    <w:rsid w:val="75D03F20"/>
    <w:rsid w:val="75D353A9"/>
    <w:rsid w:val="75E659CC"/>
    <w:rsid w:val="75E672A0"/>
    <w:rsid w:val="75E83018"/>
    <w:rsid w:val="75EA6D90"/>
    <w:rsid w:val="75EF43A6"/>
    <w:rsid w:val="75F23E97"/>
    <w:rsid w:val="75F60FD6"/>
    <w:rsid w:val="76077F4C"/>
    <w:rsid w:val="760D0CD1"/>
    <w:rsid w:val="76120561"/>
    <w:rsid w:val="762F50EB"/>
    <w:rsid w:val="76373F9F"/>
    <w:rsid w:val="76376F1B"/>
    <w:rsid w:val="763E1393"/>
    <w:rsid w:val="763E70DC"/>
    <w:rsid w:val="764A782F"/>
    <w:rsid w:val="76530DD9"/>
    <w:rsid w:val="765B1A3C"/>
    <w:rsid w:val="765C5EF1"/>
    <w:rsid w:val="76650B0D"/>
    <w:rsid w:val="766C3C49"/>
    <w:rsid w:val="7671125F"/>
    <w:rsid w:val="767413B9"/>
    <w:rsid w:val="767B20DE"/>
    <w:rsid w:val="768374DD"/>
    <w:rsid w:val="76946218"/>
    <w:rsid w:val="76A258BD"/>
    <w:rsid w:val="76A50C75"/>
    <w:rsid w:val="76A50F09"/>
    <w:rsid w:val="76B33626"/>
    <w:rsid w:val="76B64EC4"/>
    <w:rsid w:val="76BB072D"/>
    <w:rsid w:val="76BC657B"/>
    <w:rsid w:val="76BD26F7"/>
    <w:rsid w:val="76BE1FCB"/>
    <w:rsid w:val="76E110E2"/>
    <w:rsid w:val="76E259D0"/>
    <w:rsid w:val="76E45ED5"/>
    <w:rsid w:val="76EF03D6"/>
    <w:rsid w:val="76F105F2"/>
    <w:rsid w:val="76FF2D0F"/>
    <w:rsid w:val="77066657"/>
    <w:rsid w:val="7708174C"/>
    <w:rsid w:val="772B3B04"/>
    <w:rsid w:val="773109EF"/>
    <w:rsid w:val="7731279D"/>
    <w:rsid w:val="77361AE6"/>
    <w:rsid w:val="773D55E5"/>
    <w:rsid w:val="773D7394"/>
    <w:rsid w:val="774A385E"/>
    <w:rsid w:val="77505319"/>
    <w:rsid w:val="775A7F45"/>
    <w:rsid w:val="775F37AE"/>
    <w:rsid w:val="7769462C"/>
    <w:rsid w:val="777834BD"/>
    <w:rsid w:val="777D1E86"/>
    <w:rsid w:val="77811976"/>
    <w:rsid w:val="77812B5D"/>
    <w:rsid w:val="77813724"/>
    <w:rsid w:val="77876861"/>
    <w:rsid w:val="779A47E6"/>
    <w:rsid w:val="779D6084"/>
    <w:rsid w:val="77A613DD"/>
    <w:rsid w:val="77B13F70"/>
    <w:rsid w:val="77B70EF4"/>
    <w:rsid w:val="77BC26C8"/>
    <w:rsid w:val="77BD2282"/>
    <w:rsid w:val="77C641D7"/>
    <w:rsid w:val="77D71596"/>
    <w:rsid w:val="77DE1622"/>
    <w:rsid w:val="77ED2B68"/>
    <w:rsid w:val="77F02658"/>
    <w:rsid w:val="77FD436E"/>
    <w:rsid w:val="78025551"/>
    <w:rsid w:val="780950A2"/>
    <w:rsid w:val="780F0D30"/>
    <w:rsid w:val="781E783D"/>
    <w:rsid w:val="78200134"/>
    <w:rsid w:val="78493B3B"/>
    <w:rsid w:val="784D20BC"/>
    <w:rsid w:val="78564BB1"/>
    <w:rsid w:val="78591167"/>
    <w:rsid w:val="785A23FA"/>
    <w:rsid w:val="785C1A9B"/>
    <w:rsid w:val="785E480B"/>
    <w:rsid w:val="78663F8F"/>
    <w:rsid w:val="78746DE5"/>
    <w:rsid w:val="78760DAF"/>
    <w:rsid w:val="788039DC"/>
    <w:rsid w:val="78827754"/>
    <w:rsid w:val="78833532"/>
    <w:rsid w:val="788A485A"/>
    <w:rsid w:val="788F4D40"/>
    <w:rsid w:val="789A4628"/>
    <w:rsid w:val="78A340A5"/>
    <w:rsid w:val="78B47B29"/>
    <w:rsid w:val="78B673FD"/>
    <w:rsid w:val="78C733B9"/>
    <w:rsid w:val="78DE6954"/>
    <w:rsid w:val="78DF1DEB"/>
    <w:rsid w:val="78EF01D3"/>
    <w:rsid w:val="78F10436"/>
    <w:rsid w:val="78F41D0E"/>
    <w:rsid w:val="78F70A86"/>
    <w:rsid w:val="790068CB"/>
    <w:rsid w:val="79020895"/>
    <w:rsid w:val="79246A5D"/>
    <w:rsid w:val="792F71B0"/>
    <w:rsid w:val="7931117A"/>
    <w:rsid w:val="79417BB1"/>
    <w:rsid w:val="79440EAD"/>
    <w:rsid w:val="79450781"/>
    <w:rsid w:val="794E14FB"/>
    <w:rsid w:val="7953098A"/>
    <w:rsid w:val="795F5CE7"/>
    <w:rsid w:val="79690914"/>
    <w:rsid w:val="796C3F60"/>
    <w:rsid w:val="79733540"/>
    <w:rsid w:val="79837E7C"/>
    <w:rsid w:val="798474FC"/>
    <w:rsid w:val="79915775"/>
    <w:rsid w:val="79986B03"/>
    <w:rsid w:val="79AA62F4"/>
    <w:rsid w:val="79B53B59"/>
    <w:rsid w:val="79B672FA"/>
    <w:rsid w:val="79B778D1"/>
    <w:rsid w:val="79E306C6"/>
    <w:rsid w:val="79F906F3"/>
    <w:rsid w:val="79FE72AE"/>
    <w:rsid w:val="7A0703F3"/>
    <w:rsid w:val="7A0A5B90"/>
    <w:rsid w:val="7A0F3269"/>
    <w:rsid w:val="7A1F2A34"/>
    <w:rsid w:val="7A212F9C"/>
    <w:rsid w:val="7A38059A"/>
    <w:rsid w:val="7A65732D"/>
    <w:rsid w:val="7A6D1D3E"/>
    <w:rsid w:val="7A74131E"/>
    <w:rsid w:val="7A765096"/>
    <w:rsid w:val="7A8A28F0"/>
    <w:rsid w:val="7A94551C"/>
    <w:rsid w:val="7A995229"/>
    <w:rsid w:val="7A9C0875"/>
    <w:rsid w:val="7AA65250"/>
    <w:rsid w:val="7AB2196D"/>
    <w:rsid w:val="7AB91427"/>
    <w:rsid w:val="7ABB519F"/>
    <w:rsid w:val="7ACB4CB6"/>
    <w:rsid w:val="7ADB314B"/>
    <w:rsid w:val="7ADB75EF"/>
    <w:rsid w:val="7ADF7479"/>
    <w:rsid w:val="7AEB5324"/>
    <w:rsid w:val="7AF4427B"/>
    <w:rsid w:val="7AF75AAB"/>
    <w:rsid w:val="7B024B7C"/>
    <w:rsid w:val="7B0B24E7"/>
    <w:rsid w:val="7B114DBF"/>
    <w:rsid w:val="7B1E128A"/>
    <w:rsid w:val="7B39046C"/>
    <w:rsid w:val="7B420AB2"/>
    <w:rsid w:val="7B431B79"/>
    <w:rsid w:val="7B452CBB"/>
    <w:rsid w:val="7B4C5DF7"/>
    <w:rsid w:val="7B5353D8"/>
    <w:rsid w:val="7B5D6256"/>
    <w:rsid w:val="7B6770D5"/>
    <w:rsid w:val="7B6F7877"/>
    <w:rsid w:val="7B735A7A"/>
    <w:rsid w:val="7B7A0BB6"/>
    <w:rsid w:val="7B963516"/>
    <w:rsid w:val="7B9F061D"/>
    <w:rsid w:val="7BA15F11"/>
    <w:rsid w:val="7BA30F8D"/>
    <w:rsid w:val="7BA7127F"/>
    <w:rsid w:val="7BA85CFD"/>
    <w:rsid w:val="7BA9149B"/>
    <w:rsid w:val="7BB265A2"/>
    <w:rsid w:val="7BC2430B"/>
    <w:rsid w:val="7BD2508A"/>
    <w:rsid w:val="7BD55DED"/>
    <w:rsid w:val="7BD61B65"/>
    <w:rsid w:val="7BDE309B"/>
    <w:rsid w:val="7BDF0A19"/>
    <w:rsid w:val="7BF070CA"/>
    <w:rsid w:val="7BF85F7F"/>
    <w:rsid w:val="7BFA3AA5"/>
    <w:rsid w:val="7BFD3595"/>
    <w:rsid w:val="7C0E57A2"/>
    <w:rsid w:val="7C11788A"/>
    <w:rsid w:val="7C1C3A1B"/>
    <w:rsid w:val="7C224DAA"/>
    <w:rsid w:val="7C2D5C29"/>
    <w:rsid w:val="7C32323F"/>
    <w:rsid w:val="7C395444"/>
    <w:rsid w:val="7C3A6597"/>
    <w:rsid w:val="7C4A4A2C"/>
    <w:rsid w:val="7C4D1E27"/>
    <w:rsid w:val="7C4D62CB"/>
    <w:rsid w:val="7C52568F"/>
    <w:rsid w:val="7C5331B5"/>
    <w:rsid w:val="7C5C5ADB"/>
    <w:rsid w:val="7C5F2287"/>
    <w:rsid w:val="7C6B49A3"/>
    <w:rsid w:val="7C6D071B"/>
    <w:rsid w:val="7C7345A7"/>
    <w:rsid w:val="7C765821"/>
    <w:rsid w:val="7C8021FC"/>
    <w:rsid w:val="7C907F65"/>
    <w:rsid w:val="7C945CA8"/>
    <w:rsid w:val="7CAD6D69"/>
    <w:rsid w:val="7CB00608"/>
    <w:rsid w:val="7CB05FD0"/>
    <w:rsid w:val="7CBC110D"/>
    <w:rsid w:val="7CBE0F77"/>
    <w:rsid w:val="7CBE2D25"/>
    <w:rsid w:val="7CCC3693"/>
    <w:rsid w:val="7CCE3896"/>
    <w:rsid w:val="7CD633F5"/>
    <w:rsid w:val="7CEA3B1A"/>
    <w:rsid w:val="7CEA69F5"/>
    <w:rsid w:val="7CED53B8"/>
    <w:rsid w:val="7CF90201"/>
    <w:rsid w:val="7CFC54C4"/>
    <w:rsid w:val="7D172435"/>
    <w:rsid w:val="7D2B70C2"/>
    <w:rsid w:val="7D3A189F"/>
    <w:rsid w:val="7D480840"/>
    <w:rsid w:val="7D511DEB"/>
    <w:rsid w:val="7D5B0573"/>
    <w:rsid w:val="7D625DA6"/>
    <w:rsid w:val="7D7C39D0"/>
    <w:rsid w:val="7D7F0706"/>
    <w:rsid w:val="7D871368"/>
    <w:rsid w:val="7D88743D"/>
    <w:rsid w:val="7D891584"/>
    <w:rsid w:val="7D9F70F9"/>
    <w:rsid w:val="7DA95783"/>
    <w:rsid w:val="7DAF266D"/>
    <w:rsid w:val="7DB639FC"/>
    <w:rsid w:val="7DBD5B7F"/>
    <w:rsid w:val="7DC42B2A"/>
    <w:rsid w:val="7DC4353C"/>
    <w:rsid w:val="7DD00F61"/>
    <w:rsid w:val="7DE93DD1"/>
    <w:rsid w:val="7DEC38C1"/>
    <w:rsid w:val="7DEE3196"/>
    <w:rsid w:val="7DF52776"/>
    <w:rsid w:val="7DF82266"/>
    <w:rsid w:val="7E0066B7"/>
    <w:rsid w:val="7E0E4770"/>
    <w:rsid w:val="7E0E7385"/>
    <w:rsid w:val="7E1626EC"/>
    <w:rsid w:val="7E215319"/>
    <w:rsid w:val="7E2272E3"/>
    <w:rsid w:val="7E2475E9"/>
    <w:rsid w:val="7E260B81"/>
    <w:rsid w:val="7E282B4B"/>
    <w:rsid w:val="7E365A18"/>
    <w:rsid w:val="7E3808B5"/>
    <w:rsid w:val="7E391F86"/>
    <w:rsid w:val="7E4234E1"/>
    <w:rsid w:val="7E4A6B36"/>
    <w:rsid w:val="7E4E00D8"/>
    <w:rsid w:val="7E5356EF"/>
    <w:rsid w:val="7E5A4108"/>
    <w:rsid w:val="7E5D031B"/>
    <w:rsid w:val="7E6B6EDC"/>
    <w:rsid w:val="7E6D67B0"/>
    <w:rsid w:val="7E7044F2"/>
    <w:rsid w:val="7E7361B8"/>
    <w:rsid w:val="7E7C69F3"/>
    <w:rsid w:val="7E81400A"/>
    <w:rsid w:val="7E8D6E52"/>
    <w:rsid w:val="7E977CD1"/>
    <w:rsid w:val="7E9C0E44"/>
    <w:rsid w:val="7EAA7A04"/>
    <w:rsid w:val="7EB66272"/>
    <w:rsid w:val="7EB97C47"/>
    <w:rsid w:val="7EBB4972"/>
    <w:rsid w:val="7EBC3207"/>
    <w:rsid w:val="7EC16749"/>
    <w:rsid w:val="7EC55F8A"/>
    <w:rsid w:val="7ECC1BA5"/>
    <w:rsid w:val="7ED2187F"/>
    <w:rsid w:val="7ED93E46"/>
    <w:rsid w:val="7EE10F4C"/>
    <w:rsid w:val="7EE42543"/>
    <w:rsid w:val="7EED169F"/>
    <w:rsid w:val="7F01339C"/>
    <w:rsid w:val="7F052E8D"/>
    <w:rsid w:val="7F054C3B"/>
    <w:rsid w:val="7F0709B3"/>
    <w:rsid w:val="7F082813"/>
    <w:rsid w:val="7F17671C"/>
    <w:rsid w:val="7F233313"/>
    <w:rsid w:val="7F2F3A66"/>
    <w:rsid w:val="7F3C6183"/>
    <w:rsid w:val="7F442849"/>
    <w:rsid w:val="7F686F78"/>
    <w:rsid w:val="7F703DCD"/>
    <w:rsid w:val="7F82628B"/>
    <w:rsid w:val="7F9D45ED"/>
    <w:rsid w:val="7F9F1199"/>
    <w:rsid w:val="7FA06711"/>
    <w:rsid w:val="7FA55629"/>
    <w:rsid w:val="7FAC155A"/>
    <w:rsid w:val="7FB126CD"/>
    <w:rsid w:val="7FB840EF"/>
    <w:rsid w:val="7FC05E0E"/>
    <w:rsid w:val="7FC248DA"/>
    <w:rsid w:val="7FC40652"/>
    <w:rsid w:val="7FCA378E"/>
    <w:rsid w:val="7FCB7C32"/>
    <w:rsid w:val="7FD14B1D"/>
    <w:rsid w:val="7FD70EB1"/>
    <w:rsid w:val="7FDE6D1B"/>
    <w:rsid w:val="7FF05342"/>
    <w:rsid w:val="7FF64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6">
    <w:name w:val="heading 2"/>
    <w:basedOn w:val="1"/>
    <w:next w:val="1"/>
    <w:link w:val="26"/>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7">
    <w:name w:val="heading 3"/>
    <w:basedOn w:val="1"/>
    <w:next w:val="1"/>
    <w:link w:val="32"/>
    <w:semiHidden/>
    <w:unhideWhenUsed/>
    <w:qFormat/>
    <w:uiPriority w:val="9"/>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customStyle="1" w:styleId="3">
    <w:name w:val="正文文本首行缩进 21"/>
    <w:basedOn w:val="4"/>
    <w:qFormat/>
    <w:uiPriority w:val="0"/>
    <w:rPr>
      <w:rFonts w:ascii="Calibri" w:hAnsi="Calibri" w:eastAsia="仿宋_GB2312" w:cs="黑体"/>
      <w:sz w:val="32"/>
      <w:szCs w:val="44"/>
    </w:rPr>
  </w:style>
  <w:style w:type="paragraph" w:customStyle="1" w:styleId="4">
    <w:name w:val="正文文本缩进1"/>
    <w:basedOn w:val="1"/>
    <w:qFormat/>
    <w:uiPriority w:val="0"/>
    <w:pPr>
      <w:spacing w:after="120"/>
      <w:ind w:left="200" w:leftChars="200"/>
    </w:pPr>
  </w:style>
  <w:style w:type="paragraph" w:styleId="8">
    <w:name w:val="annotation text"/>
    <w:basedOn w:val="1"/>
    <w:link w:val="33"/>
    <w:unhideWhenUsed/>
    <w:qFormat/>
    <w:uiPriority w:val="99"/>
    <w:pPr>
      <w:jc w:val="left"/>
    </w:pPr>
  </w:style>
  <w:style w:type="paragraph" w:styleId="9">
    <w:name w:val="Plain Text"/>
    <w:basedOn w:val="1"/>
    <w:qFormat/>
    <w:uiPriority w:val="0"/>
    <w:pPr>
      <w:widowControl/>
    </w:pPr>
    <w:rPr>
      <w:rFonts w:ascii="宋体" w:hAnsi="Courier New" w:eastAsia="Times New Roman" w:cs="Courier New"/>
      <w:kern w:val="0"/>
      <w:szCs w:val="21"/>
    </w:rPr>
  </w:style>
  <w:style w:type="paragraph" w:styleId="10">
    <w:name w:val="footer"/>
    <w:basedOn w:val="1"/>
    <w:link w:val="28"/>
    <w:unhideWhenUsed/>
    <w:qFormat/>
    <w:uiPriority w:val="99"/>
    <w:pPr>
      <w:tabs>
        <w:tab w:val="center" w:pos="4153"/>
        <w:tab w:val="right" w:pos="8306"/>
      </w:tabs>
      <w:snapToGrid w:val="0"/>
      <w:jc w:val="left"/>
    </w:pPr>
    <w:rPr>
      <w:sz w:val="18"/>
      <w:szCs w:val="18"/>
    </w:rPr>
  </w:style>
  <w:style w:type="paragraph" w:styleId="11">
    <w:name w:val="header"/>
    <w:basedOn w:val="1"/>
    <w:link w:val="27"/>
    <w:unhideWhenUsed/>
    <w:qFormat/>
    <w:uiPriority w:val="99"/>
    <w:pP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toc 2"/>
    <w:basedOn w:val="1"/>
    <w:next w:val="1"/>
    <w:unhideWhenUsed/>
    <w:qFormat/>
    <w:uiPriority w:val="39"/>
    <w:pPr>
      <w:ind w:left="420" w:leftChars="200"/>
    </w:pPr>
  </w:style>
  <w:style w:type="paragraph" w:styleId="14">
    <w:name w:val="Normal (Web)"/>
    <w:basedOn w:val="1"/>
    <w:qFormat/>
    <w:uiPriority w:val="0"/>
    <w:pPr>
      <w:spacing w:before="100" w:beforeAutospacing="1" w:after="100" w:afterAutospacing="1"/>
      <w:jc w:val="left"/>
    </w:pPr>
    <w:rPr>
      <w:rFonts w:cs="Times New Roman"/>
      <w:kern w:val="0"/>
      <w:sz w:val="24"/>
    </w:rPr>
  </w:style>
  <w:style w:type="paragraph" w:styleId="15">
    <w:name w:val="Title"/>
    <w:basedOn w:val="1"/>
    <w:next w:val="1"/>
    <w:link w:val="35"/>
    <w:qFormat/>
    <w:uiPriority w:val="0"/>
    <w:pPr>
      <w:spacing w:before="240" w:after="60" w:line="360" w:lineRule="auto"/>
      <w:ind w:firstLine="200" w:firstLineChars="200"/>
      <w:jc w:val="center"/>
      <w:outlineLvl w:val="0"/>
    </w:pPr>
    <w:rPr>
      <w:rFonts w:ascii="Calibri Light" w:hAnsi="Calibri Light" w:eastAsia="仿宋_GB2312" w:cs="Times New Roman"/>
      <w:b/>
      <w:bCs/>
      <w:sz w:val="32"/>
      <w:szCs w:val="32"/>
    </w:rPr>
  </w:style>
  <w:style w:type="paragraph" w:styleId="16">
    <w:name w:val="annotation subject"/>
    <w:basedOn w:val="8"/>
    <w:next w:val="8"/>
    <w:link w:val="34"/>
    <w:semiHidden/>
    <w:unhideWhenUsed/>
    <w:qFormat/>
    <w:uiPriority w:val="99"/>
    <w:rPr>
      <w:b/>
      <w:bCs/>
    </w:rPr>
  </w:style>
  <w:style w:type="paragraph" w:styleId="17">
    <w:name w:val="Body Text First Indent"/>
    <w:basedOn w:val="2"/>
    <w:qFormat/>
    <w:uiPriority w:val="0"/>
    <w:pPr>
      <w:ind w:firstLine="420" w:firstLineChars="100"/>
    </w:pPr>
    <w:rPr>
      <w:kern w:val="0"/>
      <w:sz w:val="20"/>
    </w:rPr>
  </w:style>
  <w:style w:type="character" w:styleId="20">
    <w:name w:val="Hyperlink"/>
    <w:basedOn w:val="19"/>
    <w:unhideWhenUsed/>
    <w:qFormat/>
    <w:uiPriority w:val="99"/>
    <w:rPr>
      <w:color w:val="0563C1" w:themeColor="hyperlink"/>
      <w:u w:val="single"/>
      <w14:textFill>
        <w14:solidFill>
          <w14:schemeClr w14:val="hlink"/>
        </w14:solidFill>
      </w14:textFill>
    </w:rPr>
  </w:style>
  <w:style w:type="character" w:styleId="21">
    <w:name w:val="annotation reference"/>
    <w:basedOn w:val="19"/>
    <w:semiHidden/>
    <w:unhideWhenUsed/>
    <w:qFormat/>
    <w:uiPriority w:val="99"/>
    <w:rPr>
      <w:sz w:val="21"/>
      <w:szCs w:val="21"/>
    </w:rPr>
  </w:style>
  <w:style w:type="paragraph" w:customStyle="1" w:styleId="22">
    <w:name w:val="BodyText2"/>
    <w:basedOn w:val="1"/>
    <w:qFormat/>
    <w:uiPriority w:val="0"/>
    <w:pPr>
      <w:spacing w:after="120"/>
      <w:ind w:firstLine="420" w:firstLineChars="200"/>
      <w:textAlignment w:val="baseline"/>
    </w:pPr>
    <w:rPr>
      <w:rFonts w:ascii="Times New Roman" w:hAnsi="Times New Roman" w:eastAsia="仿宋_GB2312"/>
      <w:sz w:val="30"/>
      <w:szCs w:val="24"/>
    </w:rPr>
  </w:style>
  <w:style w:type="paragraph" w:customStyle="1" w:styleId="23">
    <w:name w:val="_Style 3"/>
    <w:qFormat/>
    <w:uiPriority w:val="1"/>
    <w:pPr>
      <w:widowControl w:val="0"/>
      <w:jc w:val="both"/>
    </w:pPr>
    <w:rPr>
      <w:rFonts w:ascii="Calibri" w:hAnsi="Calibri" w:eastAsia="宋体" w:cs="Times New Roman"/>
      <w:kern w:val="2"/>
      <w:sz w:val="21"/>
      <w:szCs w:val="22"/>
      <w:lang w:val="en-US" w:eastAsia="zh-CN" w:bidi="ar-SA"/>
    </w:rPr>
  </w:style>
  <w:style w:type="paragraph" w:styleId="24">
    <w:name w:val="List Paragraph"/>
    <w:basedOn w:val="1"/>
    <w:qFormat/>
    <w:uiPriority w:val="34"/>
    <w:pPr>
      <w:ind w:firstLine="420" w:firstLineChars="200"/>
    </w:pPr>
  </w:style>
  <w:style w:type="character" w:customStyle="1" w:styleId="25">
    <w:name w:val="标题 1 字符"/>
    <w:basedOn w:val="19"/>
    <w:link w:val="5"/>
    <w:qFormat/>
    <w:uiPriority w:val="9"/>
    <w:rPr>
      <w:b/>
      <w:bCs/>
      <w:kern w:val="44"/>
      <w:sz w:val="44"/>
      <w:szCs w:val="44"/>
    </w:rPr>
  </w:style>
  <w:style w:type="character" w:customStyle="1" w:styleId="26">
    <w:name w:val="标题 2 字符"/>
    <w:basedOn w:val="19"/>
    <w:link w:val="6"/>
    <w:semiHidden/>
    <w:qFormat/>
    <w:uiPriority w:val="9"/>
    <w:rPr>
      <w:rFonts w:asciiTheme="majorHAnsi" w:hAnsiTheme="majorHAnsi" w:eastAsiaTheme="majorEastAsia" w:cstheme="majorBidi"/>
      <w:b/>
      <w:bCs/>
      <w:sz w:val="32"/>
      <w:szCs w:val="32"/>
    </w:rPr>
  </w:style>
  <w:style w:type="character" w:customStyle="1" w:styleId="27">
    <w:name w:val="页眉 字符"/>
    <w:basedOn w:val="19"/>
    <w:link w:val="11"/>
    <w:qFormat/>
    <w:uiPriority w:val="99"/>
    <w:rPr>
      <w:sz w:val="18"/>
      <w:szCs w:val="18"/>
    </w:rPr>
  </w:style>
  <w:style w:type="character" w:customStyle="1" w:styleId="28">
    <w:name w:val="页脚 字符"/>
    <w:basedOn w:val="19"/>
    <w:link w:val="10"/>
    <w:qFormat/>
    <w:uiPriority w:val="99"/>
    <w:rPr>
      <w:sz w:val="18"/>
      <w:szCs w:val="18"/>
    </w:rPr>
  </w:style>
  <w:style w:type="table" w:customStyle="1" w:styleId="29">
    <w:name w:val="Table Normal"/>
    <w:semiHidden/>
    <w:unhideWhenUsed/>
    <w:qFormat/>
    <w:uiPriority w:val="0"/>
    <w:tblPr>
      <w:tblCellMar>
        <w:top w:w="0" w:type="dxa"/>
        <w:left w:w="0" w:type="dxa"/>
        <w:bottom w:w="0" w:type="dxa"/>
        <w:right w:w="0" w:type="dxa"/>
      </w:tblCellMar>
    </w:tblPr>
  </w:style>
  <w:style w:type="paragraph" w:customStyle="1" w:styleId="30">
    <w:name w:val="Heading2"/>
    <w:basedOn w:val="1"/>
    <w:next w:val="1"/>
    <w:qFormat/>
    <w:uiPriority w:val="0"/>
    <w:pPr>
      <w:spacing w:before="100" w:beforeAutospacing="1" w:after="100" w:afterAutospacing="1"/>
      <w:jc w:val="left"/>
      <w:textAlignment w:val="baseline"/>
    </w:pPr>
    <w:rPr>
      <w:rFonts w:ascii="宋体" w:hAnsi="宋体" w:eastAsia="宋体"/>
      <w:b/>
      <w:kern w:val="0"/>
      <w:sz w:val="36"/>
      <w:szCs w:val="36"/>
    </w:rPr>
  </w:style>
  <w:style w:type="paragraph" w:customStyle="1" w:styleId="31">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32">
    <w:name w:val="标题 3 字符"/>
    <w:basedOn w:val="19"/>
    <w:link w:val="7"/>
    <w:semiHidden/>
    <w:qFormat/>
    <w:uiPriority w:val="9"/>
    <w:rPr>
      <w:rFonts w:asciiTheme="minorHAnsi" w:hAnsiTheme="minorHAnsi" w:eastAsiaTheme="minorEastAsia" w:cstheme="minorBidi"/>
      <w:b/>
      <w:bCs/>
      <w:kern w:val="2"/>
      <w:sz w:val="32"/>
      <w:szCs w:val="32"/>
    </w:rPr>
  </w:style>
  <w:style w:type="character" w:customStyle="1" w:styleId="33">
    <w:name w:val="批注文字 字符"/>
    <w:basedOn w:val="19"/>
    <w:link w:val="8"/>
    <w:qFormat/>
    <w:uiPriority w:val="99"/>
    <w:rPr>
      <w:rFonts w:asciiTheme="minorHAnsi" w:hAnsiTheme="minorHAnsi" w:eastAsiaTheme="minorEastAsia" w:cstheme="minorBidi"/>
      <w:kern w:val="2"/>
      <w:sz w:val="21"/>
      <w:szCs w:val="22"/>
    </w:rPr>
  </w:style>
  <w:style w:type="character" w:customStyle="1" w:styleId="34">
    <w:name w:val="批注主题 字符"/>
    <w:basedOn w:val="33"/>
    <w:link w:val="16"/>
    <w:semiHidden/>
    <w:qFormat/>
    <w:uiPriority w:val="99"/>
    <w:rPr>
      <w:rFonts w:asciiTheme="minorHAnsi" w:hAnsiTheme="minorHAnsi" w:eastAsiaTheme="minorEastAsia" w:cstheme="minorBidi"/>
      <w:b/>
      <w:bCs/>
      <w:kern w:val="2"/>
      <w:sz w:val="21"/>
      <w:szCs w:val="22"/>
    </w:rPr>
  </w:style>
  <w:style w:type="character" w:customStyle="1" w:styleId="35">
    <w:name w:val="标题 字符"/>
    <w:basedOn w:val="19"/>
    <w:link w:val="15"/>
    <w:qFormat/>
    <w:uiPriority w:val="0"/>
    <w:rPr>
      <w:rFonts w:ascii="Calibri Light" w:hAnsi="Calibri Light" w:eastAsia="仿宋_GB2312"/>
      <w:b/>
      <w:bCs/>
      <w:kern w:val="2"/>
      <w:sz w:val="32"/>
      <w:szCs w:val="32"/>
    </w:rPr>
  </w:style>
  <w:style w:type="paragraph" w:customStyle="1" w:styleId="36">
    <w:name w:val="修订2"/>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37">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1CDA38-681C-4287-A5EC-E52CFAE7B372}">
  <ds:schemaRefs/>
</ds:datastoreItem>
</file>

<file path=docProps/app.xml><?xml version="1.0" encoding="utf-8"?>
<Properties xmlns="http://schemas.openxmlformats.org/officeDocument/2006/extended-properties" xmlns:vt="http://schemas.openxmlformats.org/officeDocument/2006/docPropsVTypes">
  <Template>Normal</Template>
  <Pages>60</Pages>
  <Words>13337</Words>
  <Characters>13866</Characters>
  <Lines>241</Lines>
  <Paragraphs>68</Paragraphs>
  <TotalTime>1</TotalTime>
  <ScaleCrop>false</ScaleCrop>
  <LinksUpToDate>false</LinksUpToDate>
  <CharactersWithSpaces>13910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2023-05-31T00:18:00Z</dcterms:created>
  <dc:creator>罗 青</dc:creator>
  <cp:lastModifiedBy>『L』</cp:lastModifiedBy>
  <dcterms:modified xsi:type="dcterms:W3CDTF">2025-11-07T06:54:51Z</dcterms:modified>
  <cp:revision>128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CD389C4524E545B5A7C932A639E47AEB_13</vt:lpwstr>
  </property>
  <property fmtid="{D5CDD505-2E9C-101B-9397-08002B2CF9AE}" pid="4" name="KSOTemplateDocerSaveRecord">
    <vt:lpwstr>eyJoZGlkIjoiYjFjZmZkNGYyMzRiYTBiODRhYTAxMTY1ZGQ4ZDc5ZDIiLCJ1c2VySWQiOiIyNTQ1NjI0NzcifQ==</vt:lpwstr>
  </property>
</Properties>
</file>