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0"/>
        <w:rPr>
          <w:rFonts w:hint="eastAsia" w:ascii="方正小标宋_GBK" w:hAnsi="方正小标宋_GBK" w:eastAsia="方正小标宋_GBK" w:cs="方正小标宋_GBK"/>
          <w:b w:val="0"/>
          <w:bCs w:val="0"/>
          <w:i w:val="0"/>
          <w:iCs w:val="0"/>
          <w:caps w:val="0"/>
          <w:color w:val="434343"/>
          <w:spacing w:val="0"/>
          <w:sz w:val="44"/>
          <w:szCs w:val="44"/>
          <w:shd w:val="clear" w:fill="FFFFFF"/>
          <w:lang w:eastAsia="zh-CN"/>
        </w:rPr>
      </w:pPr>
      <w:bookmarkStart w:id="0" w:name="_Toc19287"/>
      <w:bookmarkStart w:id="1" w:name="_Toc15437"/>
      <w:r>
        <w:rPr>
          <w:rFonts w:hint="eastAsia" w:ascii="方正小标宋_GBK" w:hAnsi="方正小标宋_GBK" w:eastAsia="方正小标宋_GBK" w:cs="方正小标宋_GBK"/>
          <w:b w:val="0"/>
          <w:bCs w:val="0"/>
          <w:i w:val="0"/>
          <w:iCs w:val="0"/>
          <w:caps w:val="0"/>
          <w:color w:val="434343"/>
          <w:spacing w:val="0"/>
          <w:sz w:val="44"/>
          <w:szCs w:val="44"/>
          <w:shd w:val="clear" w:fill="FFFFFF"/>
        </w:rPr>
        <w:t>兴国县征地地上附着物和青苗等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0"/>
        <w:rPr>
          <w:rFonts w:hint="eastAsia" w:ascii="方正小标宋_GBK" w:hAnsi="方正小标宋_GBK" w:eastAsia="方正小标宋_GBK" w:cs="方正小标宋_GBK"/>
          <w:b w:val="0"/>
          <w:bCs w:val="0"/>
          <w:i w:val="0"/>
          <w:iCs w:val="0"/>
          <w:caps w:val="0"/>
          <w:color w:val="434343"/>
          <w:spacing w:val="0"/>
          <w:sz w:val="44"/>
          <w:szCs w:val="44"/>
          <w:shd w:val="clear" w:fill="FFFFFF"/>
        </w:rPr>
      </w:pPr>
      <w:bookmarkStart w:id="34" w:name="_GoBack"/>
      <w:r>
        <w:rPr>
          <w:rFonts w:hint="eastAsia" w:ascii="方正小标宋_GBK" w:hAnsi="方正小标宋_GBK" w:eastAsia="方正小标宋_GBK" w:cs="方正小标宋_GBK"/>
          <w:b w:val="0"/>
          <w:bCs w:val="0"/>
          <w:i w:val="0"/>
          <w:iCs w:val="0"/>
          <w:caps w:val="0"/>
          <w:color w:val="434343"/>
          <w:spacing w:val="0"/>
          <w:sz w:val="44"/>
          <w:szCs w:val="44"/>
          <w:shd w:val="clear" w:fill="FFFFFF"/>
        </w:rPr>
        <w:t>补偿标准调整</w:t>
      </w:r>
      <w:r>
        <w:rPr>
          <w:rFonts w:hint="eastAsia" w:ascii="方正小标宋_GBK" w:hAnsi="方正小标宋_GBK" w:eastAsia="方正小标宋_GBK" w:cs="方正小标宋_GBK"/>
          <w:b w:val="0"/>
          <w:bCs w:val="0"/>
          <w:i w:val="0"/>
          <w:iCs w:val="0"/>
          <w:caps w:val="0"/>
          <w:color w:val="434343"/>
          <w:spacing w:val="0"/>
          <w:sz w:val="44"/>
          <w:szCs w:val="44"/>
          <w:shd w:val="clear" w:fill="FFFFFF"/>
          <w:lang w:val="en-US" w:eastAsia="zh-CN"/>
        </w:rPr>
        <w:t>成果</w:t>
      </w:r>
      <w:r>
        <w:rPr>
          <w:rFonts w:hint="eastAsia" w:ascii="方正小标宋_GBK" w:hAnsi="方正小标宋_GBK" w:eastAsia="方正小标宋_GBK" w:cs="方正小标宋_GBK"/>
          <w:b w:val="0"/>
          <w:bCs w:val="0"/>
          <w:i w:val="0"/>
          <w:iCs w:val="0"/>
          <w:caps w:val="0"/>
          <w:color w:val="434343"/>
          <w:spacing w:val="0"/>
          <w:sz w:val="44"/>
          <w:szCs w:val="44"/>
          <w:shd w:val="clear" w:fill="FFFFFF"/>
        </w:rPr>
        <w:t>报告</w:t>
      </w:r>
      <w:bookmarkEnd w:id="0"/>
      <w:bookmarkEnd w:id="1"/>
    </w:p>
    <w:bookmarkEnd w:id="34"/>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0"/>
        <w:rPr>
          <w:rFonts w:hint="eastAsia" w:ascii="方正小标宋_GBK" w:hAnsi="方正小标宋_GBK" w:eastAsia="方正小标宋_GBK" w:cs="方正小标宋_GBK"/>
          <w:b w:val="0"/>
          <w:bCs w:val="0"/>
          <w:i w:val="0"/>
          <w:iCs w:val="0"/>
          <w:caps w:val="0"/>
          <w:color w:val="434343"/>
          <w:spacing w:val="0"/>
          <w:sz w:val="32"/>
          <w:szCs w:val="32"/>
          <w:shd w:val="clear" w:fill="FFFFFF"/>
          <w:lang w:eastAsia="zh-CN"/>
        </w:rPr>
      </w:pPr>
      <w:r>
        <w:rPr>
          <w:rFonts w:hint="eastAsia" w:ascii="方正小标宋_GBK" w:hAnsi="方正小标宋_GBK" w:eastAsia="方正小标宋_GBK" w:cs="方正小标宋_GBK"/>
          <w:b w:val="0"/>
          <w:bCs w:val="0"/>
          <w:i w:val="0"/>
          <w:iCs w:val="0"/>
          <w:caps w:val="0"/>
          <w:color w:val="434343"/>
          <w:spacing w:val="0"/>
          <w:sz w:val="32"/>
          <w:szCs w:val="32"/>
          <w:shd w:val="clear" w:fill="FFFFFF"/>
          <w:lang w:eastAsia="zh-CN"/>
        </w:rPr>
        <w:t>（征求意见稿）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sz w:val="32"/>
          <w:szCs w:val="32"/>
        </w:rPr>
      </w:pPr>
      <w:bookmarkStart w:id="2" w:name="_Toc15306"/>
      <w:r>
        <w:rPr>
          <w:rFonts w:hint="eastAsia" w:ascii="黑体" w:hAnsi="黑体" w:eastAsia="黑体" w:cs="黑体"/>
          <w:b/>
          <w:bCs/>
          <w:color w:val="000000"/>
          <w:kern w:val="0"/>
          <w:sz w:val="32"/>
          <w:szCs w:val="32"/>
          <w:lang w:val="en-US" w:eastAsia="zh-CN" w:bidi="ar"/>
        </w:rPr>
        <w:t>一、工作基本情况</w:t>
      </w:r>
      <w:bookmarkEnd w:id="2"/>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sz w:val="32"/>
          <w:szCs w:val="32"/>
        </w:rPr>
      </w:pPr>
      <w:bookmarkStart w:id="3" w:name="_Toc20869"/>
      <w:r>
        <w:rPr>
          <w:rFonts w:hint="eastAsia" w:ascii="仿宋_GB2312" w:hAnsi="仿宋_GB2312" w:eastAsia="仿宋_GB2312" w:cs="仿宋_GB2312"/>
          <w:b/>
          <w:bCs/>
          <w:color w:val="000000"/>
          <w:kern w:val="0"/>
          <w:sz w:val="32"/>
          <w:szCs w:val="32"/>
          <w:lang w:val="en-US" w:eastAsia="zh-CN" w:bidi="ar"/>
        </w:rPr>
        <w:t>1.内涵</w:t>
      </w:r>
      <w:bookmarkEnd w:id="3"/>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1、本次评估报告中涉及的地上附着物、青苗的内涵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（1）地上附着物包含：地上建造的建筑物、构筑物及其他附属设施（含有坟墓，房屋附属物）。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（2）地上定着物、林木、果木、苗木、花卉等地上定着物。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（3）青苗是指处于生命、发育、生长的最初或相对较早阶段的没有成熟的农作物，主要包括粮食作物、经济作物和蔬菜瓜果类等作物。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2、地上附着物、青苗补偿标准的内涵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（1）地上附着物、地上定着物补偿标准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地上附着物补偿标准是指由县级人民政府主导，根据当前物价水平，采用科学合理的测算方法，经过广泛的征求意见、听证论证、逐级报批后形成的一定范围内各类地上附着物的平均补偿价款。具体表现形式为地上附着物征迁补偿费，是指被征收土地各种地上建筑物、构筑物的拆迁和恢复，林木的迁移或砍伐等，国家应给予所有者搬迁或移栽的补偿费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（2）青苗补偿标准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青苗补偿标准是指由县级人民政府主导，采用科学合理的测算方法，经过广泛的征求意见、听证论证、逐级报批后形成的一定区域内各类青苗的平均补偿价款。具体表现形式为青苗补偿费，是指被征收土地有正在生长的农作物未能收获，国家应给予所有者农作物补偿的费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4" w:name="_Toc7731"/>
      <w:r>
        <w:rPr>
          <w:rFonts w:hint="eastAsia" w:ascii="仿宋_GB2312" w:hAnsi="仿宋_GB2312" w:eastAsia="仿宋_GB2312" w:cs="仿宋_GB2312"/>
          <w:b/>
          <w:bCs/>
          <w:color w:val="000000"/>
          <w:kern w:val="0"/>
          <w:sz w:val="32"/>
          <w:szCs w:val="32"/>
          <w:lang w:val="en-US" w:eastAsia="zh-CN" w:bidi="ar"/>
        </w:rPr>
        <w:t>2.基准时点</w:t>
      </w:r>
      <w:bookmarkEnd w:id="4"/>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bookmarkStart w:id="5" w:name="OLE_LINK1"/>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本轮地上附着物和青苗补偿标准调整基准时点为2023年10月1日</w:t>
      </w:r>
      <w:bookmarkEnd w:id="5"/>
      <w:r>
        <w:rPr>
          <w:rFonts w:hint="eastAsia" w:ascii="仿宋_GB2312" w:hAnsi="仿宋_GB2312"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6" w:name="_Toc28470"/>
      <w:r>
        <w:rPr>
          <w:rFonts w:hint="eastAsia" w:ascii="仿宋_GB2312" w:hAnsi="仿宋_GB2312" w:eastAsia="仿宋_GB2312" w:cs="仿宋_GB2312"/>
          <w:b/>
          <w:bCs/>
          <w:color w:val="000000"/>
          <w:kern w:val="0"/>
          <w:sz w:val="32"/>
          <w:szCs w:val="32"/>
          <w:lang w:val="en-US" w:eastAsia="zh-CN" w:bidi="ar"/>
        </w:rPr>
        <w:t>3.工作对象及范围</w:t>
      </w:r>
      <w:bookmarkEnd w:id="6"/>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工作对象包括</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县域内农村集体经济组织所有的集体土地地上附着物和青苗，具体包括：</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（1）地上附着物、地上定着物补偿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被征收土地的各种地上建筑物、构筑物的拆迁和恢复，林木的迁移或砍伐等，国家应给予所有者搬迁或移栽的补偿费用。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（2）青苗补偿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被征收土地有正在生长的农作物未能收获，国家应给予所有者农作物补偿的费用。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bookmarkStart w:id="7" w:name="_Toc29937"/>
      <w:r>
        <w:rPr>
          <w:rFonts w:hint="eastAsia" w:ascii="黑体" w:hAnsi="黑体" w:eastAsia="黑体" w:cs="黑体"/>
          <w:b/>
          <w:bCs/>
          <w:color w:val="000000"/>
          <w:kern w:val="0"/>
          <w:sz w:val="32"/>
          <w:szCs w:val="32"/>
          <w:lang w:val="en-US" w:eastAsia="zh-CN" w:bidi="ar"/>
        </w:rPr>
        <w:t>二、工作意义、目的</w:t>
      </w:r>
      <w:bookmarkEnd w:id="7"/>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sz w:val="32"/>
          <w:szCs w:val="32"/>
        </w:rPr>
      </w:pPr>
      <w:bookmarkStart w:id="8" w:name="_Toc24485"/>
      <w:r>
        <w:rPr>
          <w:rFonts w:hint="eastAsia" w:ascii="仿宋_GB2312" w:hAnsi="仿宋_GB2312" w:eastAsia="仿宋_GB2312" w:cs="仿宋_GB2312"/>
          <w:b/>
          <w:bCs/>
          <w:color w:val="000000"/>
          <w:kern w:val="0"/>
          <w:sz w:val="32"/>
          <w:szCs w:val="32"/>
          <w:lang w:val="en-US" w:eastAsia="zh-CN" w:bidi="ar"/>
        </w:rPr>
        <w:t>1.工作意义</w:t>
      </w:r>
      <w:bookmarkEnd w:id="8"/>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地上附着物和青苗补偿标准的制定，是进一步完善</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征地补偿机制，提高征地管理工作透明度、保障被征地农民合法权益的有效手段，在促进经济社会发展和维护社会稳定方面具有重要意义。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9" w:name="_Toc14669"/>
      <w:r>
        <w:rPr>
          <w:rFonts w:hint="eastAsia" w:ascii="仿宋_GB2312" w:hAnsi="仿宋_GB2312" w:eastAsia="仿宋_GB2312" w:cs="仿宋_GB2312"/>
          <w:b/>
          <w:bCs/>
          <w:color w:val="000000"/>
          <w:kern w:val="0"/>
          <w:sz w:val="32"/>
          <w:szCs w:val="32"/>
          <w:lang w:val="en-US" w:eastAsia="zh-CN" w:bidi="ar"/>
        </w:rPr>
        <w:t>2.工作目的</w:t>
      </w:r>
      <w:bookmarkEnd w:id="9"/>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通过开展地上附着物和青苗补偿标准实施情况调查，在总结经验、分析问题的基础上，全面制定实施</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地上附着物和青苗补偿标准，为</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征地补偿提供依据。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bookmarkStart w:id="10" w:name="_Toc30398"/>
      <w:r>
        <w:rPr>
          <w:rFonts w:hint="eastAsia" w:ascii="黑体" w:hAnsi="黑体" w:eastAsia="黑体" w:cs="黑体"/>
          <w:b/>
          <w:bCs/>
          <w:color w:val="000000"/>
          <w:kern w:val="0"/>
          <w:sz w:val="32"/>
          <w:szCs w:val="32"/>
          <w:lang w:val="en-US" w:eastAsia="zh-CN" w:bidi="ar"/>
        </w:rPr>
        <w:t>三、工作依据</w:t>
      </w:r>
      <w:bookmarkEnd w:id="1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1、《中华人民共和国民法典》；</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2、《中华人民共和国土地管理法》；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3、《中华人民共和国土地管理法实施条例》；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4、《中华人民共和国森林法》；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5、《中华人民共和国城乡规划法》；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6、《中华人民共和国资产评估法》；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7、《江西省自然资源厅关于开展全省征地区片综合地价调整工作的通知》（赣府字〔2022〕144号）；</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8、《江西省征收土地管理办法》。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bookmarkStart w:id="11" w:name="_Toc22559"/>
      <w:r>
        <w:rPr>
          <w:rFonts w:hint="eastAsia" w:ascii="黑体" w:hAnsi="黑体" w:eastAsia="黑体" w:cs="黑体"/>
          <w:b/>
          <w:bCs/>
          <w:color w:val="000000"/>
          <w:kern w:val="0"/>
          <w:sz w:val="32"/>
          <w:szCs w:val="32"/>
          <w:lang w:val="en-US" w:eastAsia="zh-CN" w:bidi="ar"/>
        </w:rPr>
        <w:t>四、工作原则</w:t>
      </w:r>
      <w:bookmarkEnd w:id="11"/>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000000"/>
          <w:kern w:val="0"/>
          <w:sz w:val="32"/>
          <w:szCs w:val="32"/>
          <w:lang w:val="en-US" w:eastAsia="zh-CN" w:bidi="ar"/>
        </w:rPr>
      </w:pPr>
      <w:bookmarkStart w:id="12" w:name="_Toc15377"/>
      <w:r>
        <w:rPr>
          <w:rFonts w:hint="eastAsia" w:ascii="仿宋_GB2312" w:hAnsi="仿宋_GB2312" w:eastAsia="仿宋_GB2312" w:cs="仿宋_GB2312"/>
          <w:color w:val="000000"/>
          <w:kern w:val="0"/>
          <w:sz w:val="32"/>
          <w:szCs w:val="32"/>
          <w:lang w:val="en-US" w:eastAsia="zh-CN" w:bidi="ar"/>
        </w:rPr>
        <w:t>1、依法依规、维护权益</w:t>
      </w:r>
      <w:bookmarkEnd w:id="12"/>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制定地上附着物和青苗补偿标准遵循相关法律法规，充分听取有关职能部门、农村集体经济组织、农民群众以及社会各方面意见，补偿标准主动向社会公开，接受公众监督，切实维护农民合法权益。</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000000"/>
          <w:kern w:val="0"/>
          <w:sz w:val="32"/>
          <w:szCs w:val="32"/>
          <w:lang w:val="en-US" w:eastAsia="zh-CN" w:bidi="ar"/>
        </w:rPr>
      </w:pPr>
      <w:bookmarkStart w:id="13" w:name="_Toc14442"/>
      <w:r>
        <w:rPr>
          <w:rFonts w:hint="eastAsia" w:ascii="仿宋_GB2312" w:hAnsi="仿宋_GB2312" w:eastAsia="仿宋_GB2312" w:cs="仿宋_GB2312"/>
          <w:color w:val="000000"/>
          <w:kern w:val="0"/>
          <w:sz w:val="32"/>
          <w:szCs w:val="32"/>
          <w:lang w:val="en-US" w:eastAsia="zh-CN" w:bidi="ar"/>
        </w:rPr>
        <w:t>2、实事求是、科学测算</w:t>
      </w:r>
      <w:bookmarkEnd w:id="13"/>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补偿标准测算需充分调查、合理采样，确保基础资料真实可靠。其中，地上附着物补偿标准测算主要考虑区域内经济社会发展水平、物价指数、GDP增长等因素；青苗补偿标准测算主要考虑区域内土地资源条件、利用水平和农作物产值变化等因素科学测算。</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000000"/>
          <w:kern w:val="0"/>
          <w:sz w:val="32"/>
          <w:szCs w:val="32"/>
          <w:lang w:val="en-US" w:eastAsia="zh-CN" w:bidi="ar"/>
        </w:rPr>
      </w:pPr>
      <w:bookmarkStart w:id="14" w:name="_Toc18817"/>
      <w:r>
        <w:rPr>
          <w:rFonts w:hint="eastAsia" w:ascii="仿宋_GB2312" w:hAnsi="仿宋_GB2312" w:eastAsia="仿宋_GB2312" w:cs="仿宋_GB2312"/>
          <w:color w:val="000000"/>
          <w:kern w:val="0"/>
          <w:sz w:val="32"/>
          <w:szCs w:val="32"/>
          <w:lang w:val="en-US" w:eastAsia="zh-CN" w:bidi="ar"/>
        </w:rPr>
        <w:t>3、协调平衡、充分衔接</w:t>
      </w:r>
      <w:bookmarkEnd w:id="14"/>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制定地上附着物和青苗补偿标准，相邻区域之间应相互平衡，确保补偿标准价差合理。同时，制定的补偿标准要符合实际情况、与经济社会发展水平相适应、与现行补偿水平充分衔接。</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000000"/>
          <w:kern w:val="0"/>
          <w:sz w:val="32"/>
          <w:szCs w:val="32"/>
          <w:lang w:val="en-US" w:eastAsia="zh-CN" w:bidi="ar"/>
        </w:rPr>
      </w:pPr>
      <w:bookmarkStart w:id="15" w:name="_Toc18378"/>
      <w:r>
        <w:rPr>
          <w:rFonts w:hint="eastAsia" w:ascii="仿宋_GB2312" w:hAnsi="仿宋_GB2312" w:eastAsia="仿宋_GB2312" w:cs="仿宋_GB2312"/>
          <w:color w:val="000000"/>
          <w:kern w:val="0"/>
          <w:sz w:val="32"/>
          <w:szCs w:val="32"/>
          <w:lang w:val="en-US" w:eastAsia="zh-CN" w:bidi="ar"/>
        </w:rPr>
        <w:t>4、定量评价、定性分析</w:t>
      </w:r>
      <w:bookmarkEnd w:id="15"/>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制定地上附着物和青苗补偿标准，应以定量评价为主，对现阶段难以定量的自然、经济社会等因素采用必要的定性分析，以提高成果的准确性。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bookmarkStart w:id="16" w:name="_Toc11379"/>
      <w:r>
        <w:rPr>
          <w:rFonts w:hint="eastAsia" w:ascii="黑体" w:hAnsi="黑体" w:eastAsia="黑体" w:cs="黑体"/>
          <w:b/>
          <w:bCs/>
          <w:color w:val="000000"/>
          <w:kern w:val="0"/>
          <w:sz w:val="32"/>
          <w:szCs w:val="32"/>
          <w:lang w:val="en-US" w:eastAsia="zh-CN" w:bidi="ar"/>
        </w:rPr>
        <w:t>五、工作组织</w:t>
      </w:r>
      <w:bookmarkEnd w:id="16"/>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17" w:name="_Toc17249"/>
      <w:r>
        <w:rPr>
          <w:rFonts w:hint="eastAsia" w:ascii="仿宋_GB2312" w:hAnsi="仿宋_GB2312" w:eastAsia="仿宋_GB2312" w:cs="仿宋_GB2312"/>
          <w:b/>
          <w:bCs/>
          <w:color w:val="000000"/>
          <w:kern w:val="0"/>
          <w:sz w:val="32"/>
          <w:szCs w:val="32"/>
          <w:lang w:val="en-US" w:eastAsia="zh-CN" w:bidi="ar"/>
        </w:rPr>
        <w:t>1.准备工作</w:t>
      </w:r>
      <w:bookmarkEnd w:id="17"/>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为保障工作的顺利开展，</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自然资源局为牵头单位，负责项目实施过程中各部门之间的沟通协调工作，积极与财政、农业农村、林业、民政、人社、统计等部门沟通，在项目启动之初落实了资料收集等工作，为后期项目的顺利开展打下了良好的基础。按照工作要求，技术承担单位编制了工作方案、技术方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18" w:name="_Toc17800"/>
      <w:r>
        <w:rPr>
          <w:rFonts w:hint="eastAsia" w:ascii="仿宋_GB2312" w:hAnsi="仿宋_GB2312" w:eastAsia="仿宋_GB2312" w:cs="仿宋_GB2312"/>
          <w:b/>
          <w:bCs/>
          <w:color w:val="000000"/>
          <w:kern w:val="0"/>
          <w:sz w:val="32"/>
          <w:szCs w:val="32"/>
          <w:lang w:val="en-US" w:eastAsia="zh-CN" w:bidi="ar"/>
        </w:rPr>
        <w:t>2.基础资料收集</w:t>
      </w:r>
      <w:bookmarkEnd w:id="18"/>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在县自然资源局的配合下，技术承担单位对地上附着物和青苗补偿费补偿标准调整所需材料进行了收集。采用了部门收集与实地调查相结合的方式，涉及部门包括县自然资源局、县农业农村局、县林业局等，所需收集材料清单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自然资源局：国土调查变更数据（2021年）、区片综合地价成果、地上附着物和青苗补偿现行标准、地上附着物和青苗补偿具体案例；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农业农村局：近三年各乡（镇）农作物播种情况、主要农作物亩均年产量、主要农作物价格、农作物种植投入成本；</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林业局：2020-2022年林业生产、分布情况、种植主要林木类型及分布、造林成本核算材料、现行征地林木补偿标准、主要林木类型市场价格；</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shd w:val="clear" w:color="auto" w:fill="auto"/>
          <w:lang w:val="en-US" w:eastAsia="zh-CN" w:bidi="ar"/>
        </w:rPr>
      </w:pPr>
      <w:r>
        <w:rPr>
          <w:rFonts w:hint="eastAsia" w:ascii="仿宋_GB2312" w:hAnsi="仿宋_GB2312" w:eastAsia="仿宋_GB2312" w:cs="仿宋_GB2312"/>
          <w:color w:val="000000"/>
          <w:kern w:val="0"/>
          <w:sz w:val="32"/>
          <w:szCs w:val="32"/>
          <w:lang w:val="en-US" w:eastAsia="zh-CN" w:bidi="ar"/>
        </w:rPr>
        <w:t>统计局：近三年统计年鉴</w:t>
      </w:r>
      <w:r>
        <w:rPr>
          <w:rFonts w:hint="eastAsia" w:ascii="仿宋_GB2312" w:hAnsi="仿宋_GB2312" w:eastAsia="仿宋_GB2312" w:cs="仿宋_GB2312"/>
          <w:color w:val="000000"/>
          <w:kern w:val="0"/>
          <w:sz w:val="32"/>
          <w:szCs w:val="32"/>
          <w:shd w:val="clear" w:color="auto" w:fill="auto"/>
          <w:lang w:val="en-US" w:eastAsia="zh-CN" w:bidi="ar"/>
        </w:rPr>
        <w:t>；</w:t>
      </w:r>
    </w:p>
    <w:p>
      <w:pPr>
        <w:widowControl/>
        <w:shd w:val="clear" w:color="auto" w:fill="auto"/>
        <w:spacing w:line="560" w:lineRule="exact"/>
        <w:ind w:firstLine="640" w:firstLineChars="200"/>
        <w:jc w:val="left"/>
        <w:rPr>
          <w:rFonts w:hint="eastAsia" w:ascii="仿宋_GB2312" w:hAnsi="仿宋_GB2312" w:eastAsia="仿宋_GB2312" w:cs="仿宋_GB2312"/>
          <w:color w:val="000000"/>
          <w:kern w:val="0"/>
          <w:sz w:val="32"/>
          <w:szCs w:val="32"/>
          <w:shd w:val="clear" w:color="auto" w:fill="auto"/>
          <w:lang w:bidi="ar"/>
        </w:rPr>
      </w:pPr>
      <w:r>
        <w:rPr>
          <w:rFonts w:hint="eastAsia" w:ascii="仿宋_GB2312" w:hAnsi="仿宋_GB2312" w:eastAsia="仿宋_GB2312" w:cs="仿宋_GB2312"/>
          <w:color w:val="000000"/>
          <w:kern w:val="0"/>
          <w:sz w:val="32"/>
          <w:szCs w:val="32"/>
          <w:shd w:val="clear" w:color="auto" w:fill="auto"/>
          <w:lang w:bidi="ar"/>
        </w:rPr>
        <w:t>物价局：估价时点各类农作物产品的市场交易价格和收购价格；</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人社局、民政局：城镇居民最低生活保障标准、农村居民最低生</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活保障标准；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各乡（镇）人民政府：农村经济统计报表（分行政村）、农业综合统计报表（分行政村）、农作物生产情况、果树生产经营状况、林木价格等资料。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19" w:name="_Toc26923"/>
      <w:r>
        <w:rPr>
          <w:rFonts w:hint="eastAsia" w:ascii="仿宋_GB2312" w:hAnsi="仿宋_GB2312" w:eastAsia="仿宋_GB2312" w:cs="仿宋_GB2312"/>
          <w:b/>
          <w:bCs/>
          <w:color w:val="000000"/>
          <w:kern w:val="0"/>
          <w:sz w:val="32"/>
          <w:szCs w:val="32"/>
          <w:lang w:val="en-US" w:eastAsia="zh-CN" w:bidi="ar"/>
        </w:rPr>
        <w:t>3.内业整理、成果编制</w:t>
      </w:r>
      <w:bookmarkEnd w:id="19"/>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技术承担单位对外业调查资料进行内业处理，主要包括表格录入、图件矢量化等，结合</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地上附着物种类实际情况，以《自然资源价格评估通则》《资产评估法》等规范为主要技术依据，测算各类地上附着物、青苗补偿标准，编制</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地上附着物和青苗补偿标准调整成果报告、技术报告。</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color w:val="000000"/>
          <w:kern w:val="0"/>
          <w:sz w:val="32"/>
          <w:szCs w:val="32"/>
          <w:lang w:val="en-US" w:eastAsia="zh-CN" w:bidi="ar"/>
        </w:rPr>
      </w:pPr>
      <w:bookmarkStart w:id="20" w:name="_Toc17197"/>
      <w:r>
        <w:rPr>
          <w:rFonts w:hint="eastAsia" w:ascii="仿宋_GB2312" w:hAnsi="仿宋_GB2312" w:eastAsia="仿宋_GB2312" w:cs="仿宋_GB2312"/>
          <w:b/>
          <w:bCs/>
          <w:color w:val="000000"/>
          <w:kern w:val="0"/>
          <w:sz w:val="32"/>
          <w:szCs w:val="32"/>
          <w:lang w:val="en-US" w:eastAsia="zh-CN" w:bidi="ar"/>
        </w:rPr>
        <w:t>4.论证和听证</w:t>
      </w:r>
      <w:bookmarkEnd w:id="2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按照《自然资源听证规定》，</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自然资源局组织召开了《</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地上附着物和青苗补偿标准调整成果》听证会，广泛邀请征地拆迁工作成员单位、乡镇代表、农村集体经济组织村民代表参加，会上技术承担单位对标准的测算做了详细的技术汇报，对参会代表提出的疑问作出解答。会后，</w:t>
      </w:r>
      <w:r>
        <w:rPr>
          <w:rFonts w:hint="eastAsia" w:ascii="仿宋_GB2312" w:hAnsi="仿宋_GB2312" w:eastAsia="仿宋_GB2312" w:cs="仿宋_GB2312"/>
          <w:color w:val="000000"/>
          <w:kern w:val="0"/>
          <w:sz w:val="32"/>
          <w:szCs w:val="32"/>
          <w:lang w:eastAsia="zh-CN" w:bidi="ar"/>
        </w:rPr>
        <w:t>兴国县</w:t>
      </w:r>
      <w:r>
        <w:rPr>
          <w:rFonts w:hint="eastAsia" w:ascii="仿宋_GB2312" w:hAnsi="仿宋_GB2312" w:eastAsia="仿宋_GB2312" w:cs="仿宋_GB2312"/>
          <w:color w:val="000000"/>
          <w:kern w:val="0"/>
          <w:sz w:val="32"/>
          <w:szCs w:val="32"/>
          <w:lang w:val="en-US" w:eastAsia="zh-CN" w:bidi="ar"/>
        </w:rPr>
        <w:t>自然资源局根据听证会笔录形成了听证纪要。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仿宋_GB2312" w:eastAsia="仿宋_GB2312" w:cs="仿宋_GB2312"/>
          <w:b/>
          <w:bCs/>
          <w:color w:val="000000"/>
          <w:kern w:val="0"/>
          <w:sz w:val="32"/>
          <w:szCs w:val="32"/>
          <w:lang w:val="en-US" w:eastAsia="zh-CN" w:bidi="ar"/>
        </w:rPr>
      </w:pPr>
      <w:bookmarkStart w:id="21" w:name="_Toc23768"/>
      <w:r>
        <w:rPr>
          <w:rFonts w:hint="eastAsia" w:ascii="仿宋_GB2312" w:hAnsi="仿宋_GB2312" w:eastAsia="仿宋_GB2312" w:cs="仿宋_GB2312"/>
          <w:b/>
          <w:bCs/>
          <w:color w:val="000000"/>
          <w:kern w:val="0"/>
          <w:sz w:val="32"/>
          <w:szCs w:val="32"/>
          <w:lang w:val="en-US" w:eastAsia="zh-CN" w:bidi="ar"/>
        </w:rPr>
        <w:t>5.</w:t>
      </w:r>
      <w:bookmarkEnd w:id="21"/>
      <w:bookmarkStart w:id="22" w:name="_Toc30072"/>
      <w:r>
        <w:rPr>
          <w:rFonts w:hint="eastAsia" w:ascii="仿宋_GB2312" w:hAnsi="仿宋_GB2312" w:eastAsia="仿宋_GB2312" w:cs="仿宋_GB2312"/>
          <w:b/>
          <w:bCs/>
          <w:color w:val="000000"/>
          <w:kern w:val="0"/>
          <w:sz w:val="32"/>
          <w:szCs w:val="32"/>
          <w:lang w:val="en-US" w:eastAsia="zh-CN" w:bidi="ar"/>
        </w:rPr>
        <w:t>公布实施</w:t>
      </w:r>
      <w:bookmarkEnd w:id="22"/>
      <w:r>
        <w:rPr>
          <w:rFonts w:hint="eastAsia" w:ascii="仿宋_GB2312" w:hAnsi="仿宋_GB2312" w:eastAsia="仿宋_GB2312" w:cs="仿宋_GB2312"/>
          <w:b/>
          <w:bCs/>
          <w:color w:val="000000"/>
          <w:kern w:val="0"/>
          <w:sz w:val="32"/>
          <w:szCs w:val="32"/>
          <w:lang w:val="en-US" w:eastAsia="zh-CN" w:bidi="ar"/>
        </w:rPr>
        <w:t>及备案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最终技术成果，经县政府批复后，对外公布实施，并将成果提交市局、省厅备案。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bookmarkStart w:id="23" w:name="_Toc9378"/>
      <w:r>
        <w:rPr>
          <w:rFonts w:hint="eastAsia" w:ascii="黑体" w:hAnsi="黑体" w:eastAsia="黑体" w:cs="黑体"/>
          <w:b/>
          <w:bCs/>
          <w:color w:val="000000"/>
          <w:kern w:val="0"/>
          <w:sz w:val="32"/>
          <w:szCs w:val="32"/>
          <w:lang w:val="en-US" w:eastAsia="zh-CN" w:bidi="ar"/>
        </w:rPr>
        <w:t>六、成果摘要</w:t>
      </w:r>
      <w:bookmarkEnd w:id="23"/>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firstLine="640" w:firstLineChars="200"/>
        <w:jc w:val="left"/>
        <w:textAlignment w:val="auto"/>
        <w:outlineLvl w:val="1"/>
        <w:rPr>
          <w:rFonts w:hint="eastAsia" w:ascii="黑体" w:hAnsi="黑体" w:eastAsia="黑体" w:cs="黑体"/>
          <w:b w:val="0"/>
          <w:bCs w:val="0"/>
          <w:i w:val="0"/>
          <w:iCs w:val="0"/>
          <w:caps w:val="0"/>
          <w:color w:val="auto"/>
          <w:spacing w:val="0"/>
          <w:sz w:val="32"/>
          <w:szCs w:val="32"/>
          <w:shd w:val="clear" w:fill="FFFFFF"/>
          <w:lang w:val="en-US" w:eastAsia="zh-CN"/>
        </w:rPr>
      </w:pPr>
      <w:bookmarkStart w:id="24" w:name="_Toc28212"/>
      <w:bookmarkStart w:id="25" w:name="_Toc13619"/>
      <w:bookmarkStart w:id="26" w:name="_Toc26657"/>
      <w:r>
        <w:rPr>
          <w:rFonts w:hint="eastAsia" w:ascii="黑体" w:hAnsi="黑体" w:eastAsia="黑体" w:cs="黑体"/>
          <w:b w:val="0"/>
          <w:bCs w:val="0"/>
          <w:i w:val="0"/>
          <w:iCs w:val="0"/>
          <w:caps w:val="0"/>
          <w:color w:val="auto"/>
          <w:spacing w:val="0"/>
          <w:sz w:val="32"/>
          <w:szCs w:val="32"/>
          <w:shd w:val="clear" w:fill="FFFFFF"/>
          <w:lang w:val="en-US" w:eastAsia="zh-CN"/>
        </w:rPr>
        <w:t>（一）农村住宅主体房屋补偿标准</w:t>
      </w:r>
      <w:bookmarkEnd w:id="24"/>
    </w:p>
    <w:tbl>
      <w:tblPr>
        <w:tblStyle w:val="12"/>
        <w:tblW w:w="80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4"/>
        <w:gridCol w:w="1436"/>
        <w:gridCol w:w="5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类别结构</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标准</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(元/㎡)</w:t>
            </w:r>
          </w:p>
        </w:tc>
        <w:tc>
          <w:tcPr>
            <w:tcW w:w="5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房屋基本情况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7"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框架结构</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0"/>
                <w:sz w:val="24"/>
                <w:szCs w:val="24"/>
                <w:u w:val="none"/>
                <w:lang w:val="en-US" w:eastAsia="zh-CN" w:bidi="ar"/>
              </w:rPr>
              <w:t>880</w:t>
            </w:r>
          </w:p>
        </w:tc>
        <w:tc>
          <w:tcPr>
            <w:tcW w:w="5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1.桩承重或钢承重基础，承重全部为钢筋混凝土框架结构；</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2.现浇楼面、屋面、楼梯、天沟；</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3.房屋已封顶；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1"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砖混结构</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0"/>
                <w:sz w:val="24"/>
                <w:szCs w:val="24"/>
                <w:u w:val="none"/>
                <w:lang w:val="en-US" w:eastAsia="zh-CN" w:bidi="ar"/>
              </w:rPr>
              <w:t>780</w:t>
            </w:r>
          </w:p>
        </w:tc>
        <w:tc>
          <w:tcPr>
            <w:tcW w:w="5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1.桩承重或钢承重基础；</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2.现浇楼面、屋面、楼梯、天沟；</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3.房屋已封顶;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1"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砖木结构</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0"/>
                <w:sz w:val="24"/>
                <w:szCs w:val="24"/>
                <w:u w:val="none"/>
                <w:lang w:val="en-US" w:eastAsia="zh-CN" w:bidi="ar"/>
              </w:rPr>
              <w:t>540</w:t>
            </w:r>
          </w:p>
        </w:tc>
        <w:tc>
          <w:tcPr>
            <w:tcW w:w="5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1.标准砖石基础，瓦屋面；</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2.房屋结构完整；</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3.普通内培面，木制门、窗。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3"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土木结构</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0"/>
                <w:sz w:val="24"/>
                <w:szCs w:val="24"/>
                <w:u w:val="none"/>
                <w:lang w:val="en-US" w:eastAsia="zh-CN" w:bidi="ar"/>
              </w:rPr>
              <w:t>450</w:t>
            </w:r>
          </w:p>
        </w:tc>
        <w:tc>
          <w:tcPr>
            <w:tcW w:w="5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1.土砖、土筑(少部分红砖眠墙)砌墙，木架屋，瓦屋面；</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2.室内水泥地面或三合土地面，木制门、窗。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0" w:hRule="atLeast"/>
          <w:jc w:val="center"/>
        </w:trPr>
        <w:tc>
          <w:tcPr>
            <w:tcW w:w="13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基础补助</w:t>
            </w:r>
          </w:p>
        </w:tc>
        <w:tc>
          <w:tcPr>
            <w:tcW w:w="67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480" w:firstLineChars="200"/>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框架结构、有圈梁的砖混结构房屋仅建了一层的，按基础占地面积给予120元/㎡补助。超过一层及以上的不给予基础补助。砖木结构、土木结构、简易房屋不给予基础补助。</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480" w:firstLineChars="200"/>
              <w:jc w:val="left"/>
              <w:textAlignment w:val="center"/>
              <w:rPr>
                <w:rFonts w:hint="default" w:ascii="仿宋_GB2312" w:hAnsi="仿宋_GB2312" w:eastAsia="仿宋_GB2312" w:cs="仿宋_GB2312"/>
                <w:i w:val="0"/>
                <w:iCs w:val="0"/>
                <w:color w:val="auto"/>
                <w:sz w:val="24"/>
                <w:szCs w:val="24"/>
                <w:u w:val="none"/>
                <w:lang w:val="en-US"/>
              </w:rPr>
            </w:pPr>
            <w:r>
              <w:rPr>
                <w:rFonts w:hint="eastAsia" w:ascii="仿宋_GB2312" w:hAnsi="仿宋_GB2312" w:eastAsia="仿宋_GB2312" w:cs="仿宋_GB2312"/>
                <w:i w:val="0"/>
                <w:iCs w:val="0"/>
                <w:color w:val="auto"/>
                <w:kern w:val="0"/>
                <w:sz w:val="24"/>
                <w:szCs w:val="24"/>
                <w:u w:val="none"/>
                <w:lang w:val="en-US" w:eastAsia="zh-CN" w:bidi="ar"/>
              </w:rPr>
              <w:t>未建成房屋(以基础外墙边实际计算面积）新建圈梁基础按300元/㎡补助，新建无圈梁基础按100元/㎡补助；因陈旧而倒塌的房屋基础按60元/㎡补助。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说明</w:t>
            </w:r>
          </w:p>
        </w:tc>
        <w:tc>
          <w:tcPr>
            <w:tcW w:w="67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1.上述标准为宅基地和农村村民住宅，按重置价格综合测算的补偿标准；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2.具体的补偿安置方式：按照《江西省征收土地管理办法》第二十五条之规定，结合当地土地利用现状等情况，给予公平、合理的补偿安置，并对因征收造成的搬迁、临时安置等费用予以补偿，保障农村村民居住的权利和合法的住房财产权益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4"/>
                <w:szCs w:val="24"/>
                <w:u w:val="none"/>
              </w:rPr>
            </w:pPr>
          </w:p>
        </w:tc>
        <w:tc>
          <w:tcPr>
            <w:tcW w:w="67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4"/>
                <w:szCs w:val="24"/>
                <w:u w:val="none"/>
              </w:rPr>
            </w:pPr>
          </w:p>
        </w:tc>
        <w:tc>
          <w:tcPr>
            <w:tcW w:w="67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4"/>
                <w:szCs w:val="24"/>
                <w:u w:val="none"/>
              </w:rPr>
            </w:pPr>
          </w:p>
        </w:tc>
        <w:tc>
          <w:tcPr>
            <w:tcW w:w="67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仿宋_GB2312" w:hAnsi="仿宋_GB2312" w:eastAsia="仿宋_GB2312" w:cs="仿宋_GB2312"/>
                <w:i w:val="0"/>
                <w:iCs w:val="0"/>
                <w:color w:val="auto"/>
                <w:sz w:val="24"/>
                <w:szCs w:val="24"/>
                <w:u w:val="none"/>
              </w:rPr>
            </w:pP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jc w:val="left"/>
        <w:textAlignment w:val="auto"/>
        <w:outlineLvl w:val="1"/>
        <w:rPr>
          <w:rFonts w:hint="eastAsia" w:ascii="黑体" w:hAnsi="黑体" w:eastAsia="黑体" w:cs="黑体"/>
          <w:b w:val="0"/>
          <w:bCs w:val="0"/>
          <w:i w:val="0"/>
          <w:iCs w:val="0"/>
          <w:caps w:val="0"/>
          <w:color w:val="auto"/>
          <w:spacing w:val="0"/>
          <w:sz w:val="32"/>
          <w:szCs w:val="32"/>
          <w:shd w:val="clear" w:fill="FFFFFF"/>
          <w:lang w:val="en-US" w:eastAsia="zh-CN"/>
        </w:rPr>
      </w:pPr>
      <w:bookmarkStart w:id="27" w:name="_Toc1471"/>
      <w:r>
        <w:rPr>
          <w:rFonts w:hint="eastAsia" w:ascii="黑体" w:hAnsi="黑体" w:eastAsia="黑体" w:cs="黑体"/>
          <w:b w:val="0"/>
          <w:bCs w:val="0"/>
          <w:i w:val="0"/>
          <w:iCs w:val="0"/>
          <w:caps w:val="0"/>
          <w:color w:val="auto"/>
          <w:spacing w:val="0"/>
          <w:sz w:val="32"/>
          <w:szCs w:val="32"/>
          <w:shd w:val="clear" w:fill="FFFFFF"/>
          <w:lang w:val="en-US" w:eastAsia="zh-CN"/>
        </w:rPr>
        <w:t>（二）其他建筑物及附属物补偿标准</w:t>
      </w:r>
      <w:bookmarkEnd w:id="27"/>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outlineLvl w:val="2"/>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1.农村住宅以外的建筑物补偿标准</w:t>
      </w:r>
    </w:p>
    <w:tbl>
      <w:tblPr>
        <w:tblStyle w:val="12"/>
        <w:tblW w:w="8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7"/>
        <w:gridCol w:w="325"/>
        <w:gridCol w:w="855"/>
        <w:gridCol w:w="288"/>
        <w:gridCol w:w="1302"/>
        <w:gridCol w:w="1338"/>
        <w:gridCol w:w="1461"/>
        <w:gridCol w:w="14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类别结构</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标准</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(元/㎡)</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房屋基本情况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5"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框架</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650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房屋整体钢筋砼全框架承重结构体系，标准砖围护及填充墙体，现浇楼板、屋面，内外粉刷，水泥楼（地）面，普通门，铝合金窗，普通铁制楼梯扶手，布局合理，功能完善，水电设施齐全。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3"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钢结构</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650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钢结构厂房，H型柱、梁，屋檩为槽钢，屋顶及四周墙为波纹瓦，铝合金窗。镀锌钢管柱，钢管衍架屋架、无外墙，波纹瓦或镀锌铁皮屋面。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5"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砖混</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550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砖墙和钢筋砼（或预制砼）承重结构体系，现浇（或预制）楼板、屋面，内外粉刷，水泥楼（地）面，普通门，铝合金窗，普通铁制楼梯扶手，瓦屋面吊天棚，布局合理，功能完善，水电设施齐全。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砖木</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460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砖木结构承重体系，四周围护砖墙，普通粉刷，木板楼面，瓦屋面，普通门窗，水泥地面，水电设施齐全。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土木</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350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内外砖勒脚、木板（灰板、土）墙、木柱架、瓦屋面、吊天棚，普通门窗，水泥或粘土地面。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简易</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260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土砖、砖坯、片石等简易结构，四周围护齐全，瓦屋面或石棉瓦或油毡等屋面，简易门窗，简易生活设施、设备。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钢构棚</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150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镀锌钢管衍架屋架、黑纱棚屋面（内净高大于3米）、全围蔽，砼独立基础柱间距4米。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12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简易棚</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80</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镀锌钢管衍架，简易基础，防虫网，覆盖薄膜，简易拉门。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1" w:hRule="atLeast"/>
          <w:jc w:val="center"/>
        </w:trPr>
        <w:tc>
          <w:tcPr>
            <w:tcW w:w="23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说明</w:t>
            </w:r>
          </w:p>
        </w:tc>
        <w:tc>
          <w:tcPr>
            <w:tcW w:w="58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1、上述标准为建筑物折旧系数为1的补偿标准，根据使用年限（y）确定建筑物的折旧系数；</w:t>
            </w:r>
          </w:p>
          <w:p>
            <w:pPr>
              <w:keepNext w:val="0"/>
              <w:keepLines w:val="0"/>
              <w:pageBreakBefore w:val="0"/>
              <w:widowControl/>
              <w:numPr>
                <w:ilvl w:val="0"/>
                <w:numId w:val="0"/>
              </w:numPr>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i w:val="0"/>
                <w:iCs w:val="0"/>
                <w:color w:val="auto"/>
                <w:kern w:val="0"/>
                <w:sz w:val="24"/>
                <w:szCs w:val="24"/>
                <w:u w:val="none"/>
                <w:lang w:val="en-US" w:eastAsia="zh-CN" w:bidi="ar"/>
              </w:rPr>
              <w:t>2、补偿金额计算公式：补偿金额=建筑物折旧系数为1的补偿标准×折旧系数×建筑面积。</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3、征收农村村民住宅以外的附着物（建筑物、构筑物）等，给予相应的货币补偿后，不予安置。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jc w:val="center"/>
        </w:trPr>
        <w:tc>
          <w:tcPr>
            <w:tcW w:w="8259"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b/>
                <w:bCs/>
                <w:i w:val="0"/>
                <w:iCs w:val="0"/>
                <w:color w:val="auto"/>
                <w:sz w:val="24"/>
                <w:szCs w:val="24"/>
                <w:u w:val="none"/>
              </w:rPr>
            </w:pPr>
            <w:r>
              <w:rPr>
                <w:rFonts w:hint="eastAsia" w:ascii="仿宋_GB2312" w:hAnsi="仿宋_GB2312" w:eastAsia="仿宋_GB2312" w:cs="仿宋_GB2312"/>
                <w:b/>
                <w:bCs/>
                <w:i w:val="0"/>
                <w:iCs w:val="0"/>
                <w:color w:val="auto"/>
                <w:kern w:val="0"/>
                <w:sz w:val="24"/>
                <w:szCs w:val="24"/>
                <w:u w:val="none"/>
                <w:lang w:val="en-US" w:eastAsia="zh-CN" w:bidi="ar"/>
              </w:rPr>
              <w:t>折旧系数核定标准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建成年代</w:t>
            </w:r>
          </w:p>
        </w:tc>
        <w:tc>
          <w:tcPr>
            <w:tcW w:w="11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y≦5年</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5年&lt;y≦10年</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10年&lt;y≦15年</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15年&lt;y≦20年</w:t>
            </w: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y&gt;20年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1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折旧系数</w:t>
            </w:r>
          </w:p>
        </w:tc>
        <w:tc>
          <w:tcPr>
            <w:tcW w:w="11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0.95</w:t>
            </w:r>
          </w:p>
        </w:tc>
        <w:tc>
          <w:tcPr>
            <w:tcW w:w="13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0.9</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0.85</w:t>
            </w: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0.8</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outlineLvl w:val="2"/>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2.附属设施补偿标准</w:t>
      </w:r>
    </w:p>
    <w:tbl>
      <w:tblPr>
        <w:tblStyle w:val="12"/>
        <w:tblW w:w="8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4"/>
        <w:gridCol w:w="849"/>
        <w:gridCol w:w="1493"/>
        <w:gridCol w:w="914"/>
        <w:gridCol w:w="1553"/>
        <w:gridCol w:w="2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jc w:val="center"/>
        </w:trPr>
        <w:tc>
          <w:tcPr>
            <w:tcW w:w="34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名称</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单位</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补偿标准（元）</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供水、通讯等</w:t>
            </w: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水表、电表迁装(含外管、线及配电设施等)</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600</w:t>
            </w:r>
          </w:p>
        </w:tc>
        <w:tc>
          <w:tcPr>
            <w:tcW w:w="22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拆、移、装费用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电话、有线电视、网络设施迁装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户</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200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自备水塔(箱)</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250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太阳能迁装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电能、燃气</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户</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200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空调</w:t>
            </w: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壁挂式</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台</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220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柜式</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台</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350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中央空调</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千瓦</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120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按额定制冷输入功率计算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围墙</w:t>
            </w: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眠砖</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斗墙</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85</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半砖</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68</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含花墙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土、篱笆</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50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炉灶</w:t>
            </w: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成品整体橱柜</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灶台</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组</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420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花岗岩台面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组</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340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瓷板饰面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锅灶</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单口</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300</w:t>
            </w:r>
          </w:p>
        </w:tc>
        <w:tc>
          <w:tcPr>
            <w:tcW w:w="22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砖砌墙体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双口</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400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三口</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400</w:t>
            </w:r>
          </w:p>
        </w:tc>
        <w:tc>
          <w:tcPr>
            <w:tcW w:w="22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锅炉</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升</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移装补助费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抽油烟机</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260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lang w:val="en-US" w:eastAsia="zh-CN"/>
              </w:rPr>
            </w:pPr>
            <w:r>
              <w:rPr>
                <w:rFonts w:hint="eastAsia" w:ascii="仿宋_GB2312" w:hAnsi="仿宋_GB2312" w:eastAsia="仿宋_GB2312" w:cs="仿宋_GB2312"/>
                <w:i w:val="0"/>
                <w:iCs w:val="0"/>
                <w:color w:val="auto"/>
                <w:sz w:val="21"/>
                <w:szCs w:val="21"/>
                <w:u w:val="none"/>
                <w:lang w:val="en-US" w:eastAsia="zh-CN"/>
              </w:rPr>
              <w:t xml:space="preserve"> 卫生设施</w:t>
            </w: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浴缸</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固定不可拆卸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整体浴房</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1800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座便器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800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蹲便器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350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固定砖混结构面盆</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大理石台面等结构面盆</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650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restart"/>
            <w:tcBorders>
              <w:top w:val="single" w:color="auto" w:sz="4" w:space="0"/>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both"/>
              <w:rPr>
                <w:rFonts w:hint="eastAsia" w:ascii="仿宋_GB2312" w:hAnsi="仿宋_GB2312" w:eastAsia="仿宋_GB2312" w:cs="仿宋_GB2312"/>
                <w:i w:val="0"/>
                <w:iCs w:val="0"/>
                <w:color w:val="auto"/>
                <w:sz w:val="21"/>
                <w:szCs w:val="21"/>
                <w:u w:val="none"/>
                <w:lang w:eastAsia="zh-CN"/>
              </w:rPr>
            </w:pPr>
            <w:r>
              <w:rPr>
                <w:rFonts w:hint="eastAsia" w:ascii="仿宋_GB2312" w:hAnsi="仿宋_GB2312" w:eastAsia="仿宋_GB2312" w:cs="仿宋_GB2312"/>
                <w:i w:val="0"/>
                <w:iCs w:val="0"/>
                <w:color w:val="auto"/>
                <w:sz w:val="21"/>
                <w:szCs w:val="21"/>
                <w:u w:val="none"/>
                <w:lang w:eastAsia="zh-CN"/>
              </w:rPr>
              <w:t>其它</w:t>
            </w:r>
          </w:p>
        </w:tc>
        <w:tc>
          <w:tcPr>
            <w:tcW w:w="2342"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花台</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120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砖砌、瓷砖面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洗衣池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700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80*100*50cm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压水机井</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口</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3500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水井</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380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直径50厘米以上砖井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化粪池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座</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2600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水泥谷仓</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1500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200*300*180cm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挡土墙</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片石</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立方米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350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混凝土</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立方米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600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沼气池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个</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2500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三合土晒坪</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46</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现浇水泥晒坪、进户道</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3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坡屋面</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平方米</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220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按投影面积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门楼</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坡顶式</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座</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2500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1114"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49"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板式</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座</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jc w:val="center"/>
        </w:trPr>
        <w:tc>
          <w:tcPr>
            <w:tcW w:w="19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说明</w:t>
            </w:r>
          </w:p>
        </w:tc>
        <w:tc>
          <w:tcPr>
            <w:tcW w:w="61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1.未列入上表的附属设施项目可参照表中相近的给予补偿；</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2.上述标准为折旧系数为1的补偿标准，拆移项目按标准补偿，除拆移项目外，根据使用年限（y）确定具体折旧系数进行补偿；</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3.补偿金额计算公式：补偿金额=折旧系数为1的补偿标准×折旧系数×数量。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jc w:val="center"/>
        </w:trPr>
        <w:tc>
          <w:tcPr>
            <w:tcW w:w="815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折旧系数核定标准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建成年代</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y≦5年</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5年&lt;y≦10年</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10年&lt;y≦15年</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15年&lt;y≦20年</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y&gt;20年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jc w:val="center"/>
        </w:trPr>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折旧系数</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0.95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0.9</w:t>
            </w:r>
          </w:p>
        </w:tc>
        <w:tc>
          <w:tcPr>
            <w:tcW w:w="15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0.85</w:t>
            </w:r>
          </w:p>
        </w:tc>
        <w:tc>
          <w:tcPr>
            <w:tcW w:w="2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0.8</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outlineLvl w:val="2"/>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3.装饰装修补偿标准</w:t>
      </w:r>
    </w:p>
    <w:tbl>
      <w:tblPr>
        <w:tblStyle w:val="12"/>
        <w:tblW w:w="81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7"/>
        <w:gridCol w:w="1030"/>
        <w:gridCol w:w="1465"/>
        <w:gridCol w:w="1542"/>
        <w:gridCol w:w="1582"/>
        <w:gridCol w:w="1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 w:hRule="atLeast"/>
          <w:jc w:val="center"/>
        </w:trPr>
        <w:tc>
          <w:tcPr>
            <w:tcW w:w="368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名称</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单位</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补偿标准（元）</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室外墙体</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瓷砖</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60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乳胶漆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石材漆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45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水泥漆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35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喷砂</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35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室内地面</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水磨石</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80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瓷砖</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70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水泥漆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木地板</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实木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220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强化</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80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大理石、花岗岩</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110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室内墙面</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瓷砖</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60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乳胶漆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石材漆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45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水泥漆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35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喷塑</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墙布</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70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墙纸</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45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固定墙柜</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280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室内吊顶</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石膏板</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纤板、灰板条、扣板</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60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三合板</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220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集成吊顶</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门窗</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铁(卷帘)门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铝合金门(窗)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180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塑钢门(窗)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不锈钢防盗门(窗)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铁管防盗门(窗)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铁艺门(窗)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地弹门(无框)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350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地弹门(有框)</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400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品牌工艺大门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1200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成品防盗门</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一等</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2800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二等</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1800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三等</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实木门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900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平面包门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800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含成品包门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凹凸包门</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樘</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1050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罗马窗套(线条)</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50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18"/>
                <w:szCs w:val="18"/>
                <w:u w:val="none"/>
                <w:lang w:val="en-US" w:eastAsia="zh-CN" w:bidi="ar"/>
              </w:rPr>
              <w:t>含乳胶漆涂面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仿宋_GB2312" w:hAnsi="仿宋_GB2312" w:eastAsia="仿宋_GB2312" w:cs="仿宋_GB2312"/>
                <w:b w:val="0"/>
                <w:bCs w:val="0"/>
                <w:i w:val="0"/>
                <w:iCs w:val="0"/>
                <w:color w:val="auto"/>
                <w:sz w:val="21"/>
                <w:szCs w:val="21"/>
                <w:u w:val="none"/>
              </w:rPr>
            </w:pP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单独门(窗)套</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幅</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180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rPr>
                <w:rFonts w:hint="eastAsia" w:ascii="仿宋_GB2312" w:hAnsi="仿宋_GB2312" w:eastAsia="仿宋_GB2312" w:cs="仿宋_GB2312"/>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水电</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水电</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平方米</w:t>
            </w:r>
          </w:p>
        </w:tc>
        <w:tc>
          <w:tcPr>
            <w:tcW w:w="1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100</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20" w:lineRule="exact"/>
              <w:jc w:val="left"/>
              <w:rPr>
                <w:rFonts w:hint="eastAsia" w:ascii="仿宋_GB2312" w:hAnsi="仿宋_GB2312" w:eastAsia="仿宋_GB2312" w:cs="仿宋_GB2312"/>
                <w:b w:val="0"/>
                <w:bCs w:val="0"/>
                <w:i w:val="0"/>
                <w:iCs w:val="0"/>
                <w:color w:val="auto"/>
                <w:sz w:val="21"/>
                <w:szCs w:val="21"/>
                <w:u w:val="none"/>
                <w:lang w:eastAsia="zh-CN"/>
              </w:rPr>
            </w:pPr>
            <w:r>
              <w:rPr>
                <w:rFonts w:hint="eastAsia" w:ascii="仿宋_GB2312" w:hAnsi="仿宋_GB2312" w:eastAsia="仿宋_GB2312" w:cs="仿宋_GB2312"/>
                <w:b w:val="0"/>
                <w:bCs w:val="0"/>
                <w:i w:val="0"/>
                <w:iCs w:val="0"/>
                <w:color w:val="auto"/>
                <w:sz w:val="21"/>
                <w:szCs w:val="21"/>
                <w:u w:val="none"/>
                <w:lang w:eastAsia="zh-CN"/>
              </w:rPr>
              <w:t>按装修建筑面积计算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说明</w:t>
            </w:r>
          </w:p>
        </w:tc>
        <w:tc>
          <w:tcPr>
            <w:tcW w:w="6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1、未列入上表的室内装饰装修项目可参照表中相近的给予补偿；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2、上述标准为折旧系数为1的补偿标准，根据使用年限（y）确定具体折旧系数；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3、补偿金额计算公式：补偿金额=折旧系数为1的补偿标准×折旧系数×数量；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4、可按以上各项补偿或按整体装修建筑面积进行补偿（在住宅补偿的基础上增补600元/㎡,按实际装修房屋建筑面积每项100/㎡进行补助，每缺一项扣除100元/㎡）；</w:t>
            </w:r>
          </w:p>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5、确属豪华装修的,经被征收人申请，由实施单位委托专业机构估价补偿。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817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20" w:lineRule="exact"/>
              <w:jc w:val="left"/>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折旧系数核定标准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jc w:val="center"/>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建成年代</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y≦5年</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5年&lt;y≦10年</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10年&lt;y≦15年</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15年&lt;y≦20年</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y&gt;20年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 w:hRule="atLeast"/>
          <w:jc w:val="center"/>
        </w:trPr>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折旧系数</w:t>
            </w:r>
          </w:p>
        </w:tc>
        <w:tc>
          <w:tcPr>
            <w:tcW w:w="1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1</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0.95</w:t>
            </w:r>
          </w:p>
        </w:tc>
        <w:tc>
          <w:tcPr>
            <w:tcW w:w="1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0.9</w:t>
            </w: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0.85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b w:val="0"/>
                <w:bCs w:val="0"/>
                <w:i w:val="0"/>
                <w:iCs w:val="0"/>
                <w:color w:val="auto"/>
                <w:sz w:val="21"/>
                <w:szCs w:val="21"/>
                <w:u w:val="none"/>
              </w:rPr>
            </w:pPr>
            <w:r>
              <w:rPr>
                <w:rFonts w:hint="eastAsia" w:ascii="仿宋_GB2312" w:hAnsi="仿宋_GB2312" w:eastAsia="仿宋_GB2312" w:cs="仿宋_GB2312"/>
                <w:b w:val="0"/>
                <w:bCs w:val="0"/>
                <w:i w:val="0"/>
                <w:iCs w:val="0"/>
                <w:color w:val="auto"/>
                <w:kern w:val="0"/>
                <w:sz w:val="21"/>
                <w:szCs w:val="21"/>
                <w:u w:val="none"/>
                <w:lang w:val="en-US" w:eastAsia="zh-CN" w:bidi="ar"/>
              </w:rPr>
              <w:t>0.8</w:t>
            </w:r>
          </w:p>
        </w:tc>
      </w:tr>
      <w:bookmarkEnd w:id="25"/>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jc w:val="left"/>
        <w:textAlignment w:val="auto"/>
        <w:outlineLvl w:val="1"/>
        <w:rPr>
          <w:rFonts w:hint="eastAsia" w:ascii="黑体" w:hAnsi="黑体" w:eastAsia="黑体" w:cs="黑体"/>
          <w:b w:val="0"/>
          <w:bCs w:val="0"/>
          <w:i w:val="0"/>
          <w:iCs w:val="0"/>
          <w:caps w:val="0"/>
          <w:color w:val="auto"/>
          <w:spacing w:val="0"/>
          <w:sz w:val="32"/>
          <w:szCs w:val="32"/>
          <w:shd w:val="clear" w:fill="FFFFFF"/>
          <w:lang w:val="en-US" w:eastAsia="zh-CN"/>
        </w:rPr>
      </w:pPr>
      <w:bookmarkStart w:id="28" w:name="_Toc13833"/>
      <w:r>
        <w:rPr>
          <w:rFonts w:hint="eastAsia" w:ascii="黑体" w:hAnsi="黑体" w:eastAsia="黑体" w:cs="黑体"/>
          <w:b w:val="0"/>
          <w:bCs w:val="0"/>
          <w:i w:val="0"/>
          <w:iCs w:val="0"/>
          <w:caps w:val="0"/>
          <w:color w:val="auto"/>
          <w:spacing w:val="0"/>
          <w:sz w:val="32"/>
          <w:szCs w:val="32"/>
          <w:shd w:val="clear" w:fill="FFFFFF"/>
          <w:lang w:val="en-US" w:eastAsia="zh-CN"/>
        </w:rPr>
        <w:t>（三）青苗及附着物补偿标准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jc w:val="left"/>
        <w:textAlignment w:val="auto"/>
        <w:outlineLvl w:val="2"/>
        <w:rPr>
          <w:rFonts w:hint="eastAsia" w:ascii="仿宋_GB2312" w:hAnsi="仿宋_GB2312" w:eastAsia="仿宋_GB2312" w:cs="仿宋_GB2312"/>
          <w:b/>
          <w:bCs/>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1.成片青苗及附着物</w:t>
      </w:r>
      <w:bookmarkEnd w:id="28"/>
    </w:p>
    <w:tbl>
      <w:tblPr>
        <w:tblStyle w:val="12"/>
        <w:tblW w:w="82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1"/>
        <w:gridCol w:w="865"/>
        <w:gridCol w:w="1146"/>
        <w:gridCol w:w="1571"/>
        <w:gridCol w:w="1299"/>
        <w:gridCol w:w="2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类别</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青苗种类</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青苗时期</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青苗类别</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补偿标准(元/亩)</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21"/>
                <w:szCs w:val="21"/>
                <w:u w:val="none"/>
              </w:rPr>
            </w:pPr>
            <w:r>
              <w:rPr>
                <w:rFonts w:hint="eastAsia" w:ascii="仿宋_GB2312" w:hAnsi="仿宋_GB2312" w:eastAsia="仿宋_GB2312" w:cs="仿宋_GB2312"/>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地上定着物</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林木补偿</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幼林、灌木林</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主要为杂树，含小山竹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280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成林</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主要为杂树</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580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竹林</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主要为毛竹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1250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果园、其它经济林补偿</w:t>
            </w: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果前期</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柑橘、杨梅、板栗、葡萄等</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2460</w:t>
            </w:r>
          </w:p>
        </w:tc>
        <w:tc>
          <w:tcPr>
            <w:tcW w:w="269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1、果园、其它经济林所处不同时期的划分标准为：</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（1）果前期：1年＜树龄≤3年；辨识特征：果树定植到第一次开花结果，枝条多以新梢、一年生枝及两年生枝为主。</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（2）初果期：3年＜树龄≤5年；辨识特征：第一次结果到大量结果前，根系和树冠继续扩大，树体结构基本形成，主干直径大于等于3cm的按上限补偿，主干直径小于3cm的按下限补偿。</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衰产期：树龄＞25年；辨识特征：骨干枝前端出现枯死，树体老化甚至死亡。</w:t>
            </w:r>
          </w:p>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（3）盛果期：5年＜树龄≤25年；辨识特征：大量结果到产量明显下降，树体结构形成，中短果枝大量增加，全树形成大量花芽，主干直径大于等于5cm的按上限补偿，主干直径小于5cm的按下限补偿。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人工高产油茶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1460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普通油茶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720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杂果类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1230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药材、吊瓜</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1230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茶叶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1820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初果、衰产期</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柑橘、杨梅、板栗、葡萄等</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5750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人工高产油茶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3110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普通油茶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1000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杂果类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2460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药材、吊瓜</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1830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茶叶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2700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盛果期</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柑橘、杨梅、板栗、葡萄等</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12600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人工高产油茶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6270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普通油茶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1200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杂果类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3800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药材、吊瓜</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3690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1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2"/>
                <w:szCs w:val="22"/>
                <w:u w:val="none"/>
                <w:lang w:val="en-US" w:eastAsia="zh-CN" w:bidi="ar-SA"/>
              </w:rPr>
            </w:pPr>
            <w:r>
              <w:rPr>
                <w:rFonts w:hint="eastAsia" w:ascii="仿宋_GB2312" w:hAnsi="仿宋_GB2312" w:eastAsia="仿宋_GB2312" w:cs="仿宋_GB2312"/>
                <w:i w:val="0"/>
                <w:iCs w:val="0"/>
                <w:color w:val="auto"/>
                <w:kern w:val="0"/>
                <w:sz w:val="22"/>
                <w:szCs w:val="22"/>
                <w:u w:val="none"/>
                <w:lang w:val="en-US" w:eastAsia="zh-CN" w:bidi="ar"/>
              </w:rPr>
              <w:t>茶叶</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2"/>
                <w:sz w:val="21"/>
                <w:szCs w:val="21"/>
                <w:u w:val="no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3640</w:t>
            </w:r>
          </w:p>
        </w:tc>
        <w:tc>
          <w:tcPr>
            <w:tcW w:w="269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lef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绿化苗木（移栽补助）</w:t>
            </w:r>
          </w:p>
        </w:tc>
        <w:tc>
          <w:tcPr>
            <w:tcW w:w="2717" w:type="dxa"/>
            <w:gridSpan w:val="2"/>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2"/>
                <w:szCs w:val="22"/>
                <w:u w:val="none"/>
              </w:rPr>
            </w:pPr>
            <w:r>
              <w:rPr>
                <w:rFonts w:hint="eastAsia" w:ascii="仿宋_GB2312" w:hAnsi="仿宋_GB2312" w:eastAsia="仿宋_GB2312" w:cs="仿宋_GB2312"/>
                <w:i w:val="0"/>
                <w:iCs w:val="0"/>
                <w:color w:val="auto"/>
                <w:kern w:val="0"/>
                <w:sz w:val="22"/>
                <w:szCs w:val="22"/>
                <w:u w:val="none"/>
                <w:lang w:val="en-US" w:eastAsia="zh-CN" w:bidi="ar"/>
              </w:rPr>
              <w:t>苗围</w:t>
            </w:r>
          </w:p>
        </w:tc>
        <w:tc>
          <w:tcPr>
            <w:tcW w:w="1299"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2420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717"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绿化树木、花卉(一类)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6090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小树(具体规则见零星青苗中分类）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绿化树木、花卉(二类)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4900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中树(具体规则见零星青苗中分类)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绿化树木、花卉(三类)</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3780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大树(具体规则见零星青苗中分类)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青苗</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粮食作物补偿</w:t>
            </w: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水稻、蔬菜、大豆、花生等 (水生、旱生农作物)</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1200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藕塘</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3000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水面养殖补偿</w:t>
            </w: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精养鱼塘</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2000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lang w:eastAsia="zh-CN"/>
              </w:rPr>
            </w:pPr>
            <w:r>
              <w:rPr>
                <w:rFonts w:hint="eastAsia" w:ascii="仿宋_GB2312" w:hAnsi="仿宋_GB2312" w:eastAsia="仿宋_GB2312" w:cs="仿宋_GB2312"/>
                <w:i w:val="0"/>
                <w:iCs w:val="0"/>
                <w:color w:val="auto"/>
                <w:sz w:val="21"/>
                <w:szCs w:val="21"/>
                <w:u w:val="none"/>
                <w:lang w:eastAsia="zh-CN"/>
              </w:rPr>
              <w:t>包含砌垒砖石塘坎等设施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jc w:val="center"/>
        </w:trPr>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21"/>
                <w:szCs w:val="21"/>
                <w:u w:val="none"/>
              </w:rPr>
            </w:pP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普通鱼塘</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1200</w:t>
            </w:r>
          </w:p>
        </w:tc>
        <w:tc>
          <w:tcPr>
            <w:tcW w:w="269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rPr>
                <w:rFonts w:hint="eastAsia" w:ascii="仿宋_GB2312" w:hAnsi="仿宋_GB2312" w:eastAsia="仿宋_GB2312" w:cs="仿宋_GB2312"/>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5" w:hRule="atLeast"/>
          <w:jc w:val="center"/>
        </w:trPr>
        <w:tc>
          <w:tcPr>
            <w:tcW w:w="82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firstLine="0" w:firstLineChars="0"/>
              <w:jc w:val="left"/>
              <w:textAlignment w:val="auto"/>
              <w:outlineLvl w:val="0"/>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备注：1、本规定未列农作物参照以上相近的农作物标准执行；</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630" w:firstLineChars="300"/>
              <w:jc w:val="left"/>
              <w:textAlignment w:val="auto"/>
              <w:outlineLvl w:val="0"/>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2、水域养殖补偿是指包括塘开发、塘基费用和捕捞费用、新塘的前期处理费用、过塘运输费用、可能存在的死亡损失费用等；</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630" w:firstLineChars="300"/>
              <w:jc w:val="left"/>
              <w:textAlignment w:val="auto"/>
              <w:outlineLvl w:val="0"/>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3、以上种、养殖应符合合理密度，不足的按实际密度进行折算；</w:t>
            </w:r>
          </w:p>
          <w:p>
            <w:pPr>
              <w:keepNext w:val="0"/>
              <w:keepLines w:val="0"/>
              <w:pageBreakBefore w:val="0"/>
              <w:widowControl/>
              <w:suppressLineNumbers w:val="0"/>
              <w:kinsoku/>
              <w:wordWrap/>
              <w:overflowPunct/>
              <w:topLinePunct w:val="0"/>
              <w:autoSpaceDE/>
              <w:autoSpaceDN/>
              <w:bidi w:val="0"/>
              <w:adjustRightInd/>
              <w:snapToGrid/>
              <w:spacing w:line="200" w:lineRule="exact"/>
              <w:ind w:firstLine="630" w:firstLineChars="300"/>
              <w:jc w:val="left"/>
              <w:textAlignment w:val="auto"/>
              <w:outlineLvl w:val="0"/>
              <w:rPr>
                <w:rFonts w:hint="default" w:ascii="仿宋_GB2312" w:hAnsi="仿宋_GB2312" w:eastAsia="仿宋_GB2312" w:cs="仿宋_GB2312"/>
                <w:i w:val="0"/>
                <w:iCs w:val="0"/>
                <w:color w:val="auto"/>
                <w:sz w:val="21"/>
                <w:szCs w:val="21"/>
                <w:u w:val="none"/>
                <w:lang w:val="en-US"/>
              </w:rPr>
            </w:pPr>
            <w:r>
              <w:rPr>
                <w:rFonts w:hint="eastAsia" w:ascii="仿宋_GB2312" w:hAnsi="仿宋_GB2312" w:eastAsia="仿宋_GB2312" w:cs="仿宋_GB2312"/>
                <w:i w:val="0"/>
                <w:iCs w:val="0"/>
                <w:color w:val="auto"/>
                <w:kern w:val="0"/>
                <w:sz w:val="21"/>
                <w:szCs w:val="21"/>
                <w:u w:val="none"/>
                <w:lang w:val="en-US" w:eastAsia="zh-CN" w:bidi="ar"/>
              </w:rPr>
              <w:t>4、对范围内套种的农作物不进行另行补助。</w:t>
            </w: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jc w:val="left"/>
        <w:textAlignment w:val="auto"/>
        <w:outlineLvl w:val="2"/>
        <w:rPr>
          <w:rFonts w:hint="eastAsia" w:ascii="仿宋_GB2312" w:hAnsi="仿宋_GB2312" w:eastAsia="仿宋_GB2312" w:cs="仿宋_GB2312"/>
          <w:b/>
          <w:bCs/>
          <w:i w:val="0"/>
          <w:iCs w:val="0"/>
          <w:caps w:val="0"/>
          <w:color w:val="auto"/>
          <w:spacing w:val="0"/>
          <w:sz w:val="32"/>
          <w:szCs w:val="32"/>
          <w:shd w:val="clear" w:fill="FFFFFF"/>
          <w:lang w:val="en-US" w:eastAsia="zh-CN"/>
        </w:rPr>
      </w:pPr>
      <w:bookmarkStart w:id="29" w:name="_Toc1366"/>
      <w:r>
        <w:rPr>
          <w:rFonts w:hint="eastAsia" w:ascii="仿宋_GB2312" w:hAnsi="仿宋_GB2312" w:eastAsia="仿宋_GB2312" w:cs="仿宋_GB2312"/>
          <w:b/>
          <w:bCs/>
          <w:i w:val="0"/>
          <w:iCs w:val="0"/>
          <w:caps w:val="0"/>
          <w:color w:val="auto"/>
          <w:spacing w:val="0"/>
          <w:sz w:val="32"/>
          <w:szCs w:val="32"/>
          <w:shd w:val="clear" w:fill="FFFFFF"/>
          <w:lang w:val="en-US" w:eastAsia="zh-CN"/>
        </w:rPr>
        <w:t>2.零星青苗及附着物</w:t>
      </w:r>
      <w:bookmarkEnd w:id="29"/>
    </w:p>
    <w:tbl>
      <w:tblPr>
        <w:tblStyle w:val="12"/>
        <w:tblW w:w="82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7"/>
        <w:gridCol w:w="1693"/>
        <w:gridCol w:w="2962"/>
        <w:gridCol w:w="619"/>
        <w:gridCol w:w="769"/>
        <w:gridCol w:w="17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jc w:val="center"/>
        </w:trPr>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18"/>
                <w:szCs w:val="18"/>
                <w:u w:val="none"/>
              </w:rPr>
            </w:pPr>
            <w:r>
              <w:rPr>
                <w:rFonts w:hint="eastAsia" w:ascii="仿宋_GB2312" w:hAnsi="仿宋_GB2312" w:eastAsia="仿宋_GB2312" w:cs="仿宋_GB2312"/>
                <w:b/>
                <w:bCs/>
                <w:i w:val="0"/>
                <w:iCs w:val="0"/>
                <w:color w:val="auto"/>
                <w:kern w:val="0"/>
                <w:sz w:val="18"/>
                <w:szCs w:val="18"/>
                <w:u w:val="none"/>
                <w:lang w:val="en-US" w:eastAsia="zh-CN" w:bidi="ar"/>
              </w:rPr>
              <w:t>类别</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18"/>
                <w:szCs w:val="18"/>
                <w:u w:val="none"/>
              </w:rPr>
            </w:pPr>
            <w:r>
              <w:rPr>
                <w:rFonts w:hint="eastAsia" w:ascii="仿宋_GB2312" w:hAnsi="仿宋_GB2312" w:eastAsia="仿宋_GB2312" w:cs="仿宋_GB2312"/>
                <w:b/>
                <w:bCs/>
                <w:i w:val="0"/>
                <w:iCs w:val="0"/>
                <w:color w:val="auto"/>
                <w:kern w:val="0"/>
                <w:sz w:val="18"/>
                <w:szCs w:val="18"/>
                <w:u w:val="none"/>
                <w:lang w:val="en-US" w:eastAsia="zh-CN" w:bidi="ar"/>
              </w:rPr>
              <w:t>分(品)类</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18"/>
                <w:szCs w:val="18"/>
                <w:u w:val="none"/>
              </w:rPr>
            </w:pPr>
            <w:r>
              <w:rPr>
                <w:rFonts w:hint="eastAsia" w:ascii="仿宋_GB2312" w:hAnsi="仿宋_GB2312" w:eastAsia="仿宋_GB2312" w:cs="仿宋_GB2312"/>
                <w:b/>
                <w:bCs/>
                <w:i w:val="0"/>
                <w:iCs w:val="0"/>
                <w:color w:val="auto"/>
                <w:kern w:val="0"/>
                <w:sz w:val="18"/>
                <w:szCs w:val="18"/>
                <w:u w:val="none"/>
                <w:lang w:val="en-US" w:eastAsia="zh-CN" w:bidi="ar"/>
              </w:rPr>
              <w:t>单位</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18"/>
                <w:szCs w:val="18"/>
                <w:u w:val="none"/>
              </w:rPr>
            </w:pPr>
            <w:r>
              <w:rPr>
                <w:rFonts w:hint="eastAsia" w:ascii="仿宋_GB2312" w:hAnsi="仿宋_GB2312" w:eastAsia="仿宋_GB2312" w:cs="仿宋_GB2312"/>
                <w:b/>
                <w:bCs/>
                <w:i w:val="0"/>
                <w:iCs w:val="0"/>
                <w:color w:val="auto"/>
                <w:kern w:val="0"/>
                <w:sz w:val="18"/>
                <w:szCs w:val="18"/>
                <w:u w:val="none"/>
                <w:lang w:val="en-US" w:eastAsia="zh-CN" w:bidi="ar"/>
              </w:rPr>
              <w:t>补偿标准(元）</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b/>
                <w:bCs/>
                <w:i w:val="0"/>
                <w:iCs w:val="0"/>
                <w:color w:val="auto"/>
                <w:sz w:val="18"/>
                <w:szCs w:val="18"/>
                <w:u w:val="none"/>
              </w:rPr>
            </w:pPr>
            <w:r>
              <w:rPr>
                <w:rFonts w:hint="eastAsia" w:ascii="仿宋_GB2312" w:hAnsi="仿宋_GB2312" w:eastAsia="仿宋_GB2312" w:cs="仿宋_GB2312"/>
                <w:b/>
                <w:bCs/>
                <w:i w:val="0"/>
                <w:iCs w:val="0"/>
                <w:color w:val="auto"/>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地上定着</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物</w:t>
            </w: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桂花树、樟树</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苗(树高 80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小树(干径 5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9</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 5-10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32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 10 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116</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银杏、红豆杉</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苗(树高 80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小树(干径 5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7</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 5-10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28</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 10 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114</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广玉兰、杜英、紫玉兰、白玉兰、木荷、茶花</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苗(树高 80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小树(干径 3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3</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 8公分以下)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14</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大树(干径8公分以上)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60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60" w:afterAutospacing="0" w:line="200" w:lineRule="exact"/>
              <w:ind w:right="0"/>
              <w:jc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b w:val="0"/>
                <w:bCs w:val="0"/>
                <w:i w:val="0"/>
                <w:iCs w:val="0"/>
                <w:color w:val="auto"/>
                <w:kern w:val="0"/>
                <w:sz w:val="18"/>
                <w:szCs w:val="18"/>
                <w:u w:val="none"/>
                <w:lang w:val="en-US" w:eastAsia="zh-CN" w:bidi="ar"/>
              </w:rPr>
              <w:t>铁树、雪松、塔松、柏树、罗汉松、</w:t>
            </w:r>
            <w:r>
              <w:rPr>
                <w:rFonts w:hint="default" w:ascii="仿宋_GB2312" w:hAnsi="仿宋_GB2312" w:eastAsia="仿宋_GB2312" w:cs="仿宋_GB2312"/>
                <w:b w:val="0"/>
                <w:bCs w:val="0"/>
                <w:i w:val="0"/>
                <w:iCs w:val="0"/>
                <w:color w:val="auto"/>
                <w:kern w:val="0"/>
                <w:sz w:val="18"/>
                <w:szCs w:val="18"/>
                <w:u w:val="none"/>
                <w:lang w:val="en-US" w:eastAsia="zh-CN" w:bidi="ar"/>
              </w:rPr>
              <w:fldChar w:fldCharType="begin"/>
            </w:r>
            <w:r>
              <w:rPr>
                <w:rFonts w:hint="default" w:ascii="仿宋_GB2312" w:hAnsi="仿宋_GB2312" w:eastAsia="仿宋_GB2312" w:cs="仿宋_GB2312"/>
                <w:b w:val="0"/>
                <w:bCs w:val="0"/>
                <w:i w:val="0"/>
                <w:iCs w:val="0"/>
                <w:color w:val="auto"/>
                <w:kern w:val="0"/>
                <w:sz w:val="18"/>
                <w:szCs w:val="18"/>
                <w:u w:val="none"/>
                <w:lang w:val="en-US" w:eastAsia="zh-CN" w:bidi="ar"/>
              </w:rPr>
              <w:instrText xml:space="preserve"> HYPERLINK "http://www.baidu.com/link?url=tu5SgRyh7-z5LQpFsCtErhB25wCLxwUeTHgvrrCivCcvkeFNE2yzMBqa1T1MZSd4EdjWSTrF-HxZBBoxZQY_iMRn6ahdyy0K8Rk9msAm4G7" \t "https://www.baidu.com/_blank" </w:instrText>
            </w:r>
            <w:r>
              <w:rPr>
                <w:rFonts w:hint="default" w:ascii="仿宋_GB2312" w:hAnsi="仿宋_GB2312" w:eastAsia="仿宋_GB2312" w:cs="仿宋_GB2312"/>
                <w:b w:val="0"/>
                <w:bCs w:val="0"/>
                <w:i w:val="0"/>
                <w:iCs w:val="0"/>
                <w:color w:val="auto"/>
                <w:kern w:val="0"/>
                <w:sz w:val="18"/>
                <w:szCs w:val="18"/>
                <w:u w:val="none"/>
                <w:lang w:val="en-US" w:eastAsia="zh-CN" w:bidi="ar"/>
              </w:rPr>
              <w:fldChar w:fldCharType="separate"/>
            </w:r>
            <w:r>
              <w:rPr>
                <w:rFonts w:hint="default" w:ascii="仿宋_GB2312" w:hAnsi="仿宋_GB2312" w:eastAsia="仿宋_GB2312" w:cs="仿宋_GB2312"/>
                <w:b w:val="0"/>
                <w:bCs w:val="0"/>
                <w:i w:val="0"/>
                <w:iCs w:val="0"/>
                <w:color w:val="auto"/>
                <w:kern w:val="0"/>
                <w:sz w:val="18"/>
                <w:szCs w:val="18"/>
                <w:u w:val="none"/>
                <w:lang w:val="en-US" w:eastAsia="zh-CN" w:bidi="ar"/>
              </w:rPr>
              <w:t>棕榈树</w:t>
            </w:r>
            <w:r>
              <w:rPr>
                <w:rFonts w:hint="default" w:ascii="仿宋_GB2312" w:hAnsi="仿宋_GB2312" w:eastAsia="仿宋_GB2312" w:cs="仿宋_GB2312"/>
                <w:b w:val="0"/>
                <w:bCs w:val="0"/>
                <w:i w:val="0"/>
                <w:iCs w:val="0"/>
                <w:color w:val="auto"/>
                <w:kern w:val="0"/>
                <w:sz w:val="18"/>
                <w:szCs w:val="18"/>
                <w:u w:val="none"/>
                <w:lang w:val="en-US" w:eastAsia="zh-CN" w:bidi="ar"/>
              </w:rPr>
              <w:fldChar w:fldCharType="end"/>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苗(树高 80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20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小树(干径 5 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35</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 5-10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65</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 10 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130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红继木、紫薇、洒金柏、金叶女贞、夏鹃、大叶黄杨、栀子花、茶梅、米兰、红叶石楠、小叶黄杨、含笑等</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苗(冠幅 10-30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2</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小树(冠幅 30-60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3</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中树(冠幅 60-100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9</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大树(冠幅 100-150 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14</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樱桃、柿树、批杷、梨树、李树、桃树、奈李、石榴、枣树、柑橘、板栗、杨梅、葡萄等</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苗(低于以下标准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15</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小树(干径4-6公分、树冠0.5-1米）</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30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中树(干径6-10公分、树冠1-1.8米)</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60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大树(干径10公分以上、树冠1.8米）</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120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油茶</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苗(冠幅20-40公分)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5</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小树(冠幅40-60公分)</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10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中树(干径2-5公分，冠幅1米以内</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30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大树(干径5公分以上，冠幅1米以上）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60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杂树（主要为乔 木</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干径10公分以下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3</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干径10公分以上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rPr>
            </w:pPr>
            <w:r>
              <w:rPr>
                <w:rFonts w:hint="eastAsia" w:ascii="仿宋_GB2312" w:hAnsi="仿宋_GB2312" w:eastAsia="仿宋_GB2312" w:cs="仿宋_GB2312"/>
                <w:i w:val="0"/>
                <w:iCs w:val="0"/>
                <w:color w:val="auto"/>
                <w:kern w:val="0"/>
                <w:sz w:val="18"/>
                <w:szCs w:val="18"/>
                <w:u w:val="none"/>
                <w:lang w:val="en-US" w:eastAsia="zh-CN" w:bidi="ar"/>
              </w:rPr>
              <w:t>20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毛竹</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零星(5公分以下)</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4</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零星(5公分以上）</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棵</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8</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篁竹</w:t>
            </w: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大</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蓬</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260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lang w:val="en-US" w:eastAsia="zh-CN"/>
              </w:rPr>
            </w:pPr>
            <w:r>
              <w:rPr>
                <w:rFonts w:hint="eastAsia" w:ascii="仿宋_GB2312" w:hAnsi="仿宋_GB2312" w:eastAsia="仿宋_GB2312" w:cs="仿宋_GB2312"/>
                <w:i w:val="0"/>
                <w:iCs w:val="0"/>
                <w:color w:val="auto"/>
                <w:sz w:val="18"/>
                <w:szCs w:val="18"/>
                <w:u w:val="none"/>
                <w:lang w:val="en-US" w:eastAsia="zh-CN"/>
              </w:rPr>
              <w:t>小</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蓬</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仿宋_GB2312" w:hAnsi="仿宋_GB2312" w:eastAsia="仿宋_GB2312" w:cs="仿宋_GB2312"/>
                <w:i w:val="0"/>
                <w:iCs w:val="0"/>
                <w:color w:val="auto"/>
                <w:sz w:val="18"/>
                <w:szCs w:val="18"/>
                <w:u w:val="none"/>
                <w:lang w:val="en-US" w:eastAsia="zh-CN"/>
              </w:rPr>
            </w:pPr>
            <w:r>
              <w:rPr>
                <w:rFonts w:hint="eastAsia" w:ascii="仿宋_GB2312" w:hAnsi="仿宋_GB2312" w:eastAsia="仿宋_GB2312" w:cs="仿宋_GB2312"/>
                <w:i w:val="0"/>
                <w:iCs w:val="0"/>
                <w:color w:val="auto"/>
                <w:sz w:val="18"/>
                <w:szCs w:val="18"/>
                <w:u w:val="none"/>
                <w:lang w:val="en-US" w:eastAsia="zh-CN"/>
              </w:rPr>
              <w:t>130</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4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地上附着物</w:t>
            </w: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sz w:val="18"/>
                <w:szCs w:val="18"/>
                <w:u w:val="none"/>
              </w:rPr>
            </w:pPr>
            <w:r>
              <w:rPr>
                <w:rFonts w:hint="eastAsia" w:ascii="仿宋_GB2312" w:hAnsi="仿宋_GB2312" w:eastAsia="仿宋_GB2312" w:cs="仿宋_GB2312"/>
                <w:i w:val="0"/>
                <w:iCs w:val="0"/>
                <w:color w:val="auto"/>
                <w:kern w:val="0"/>
                <w:sz w:val="18"/>
                <w:szCs w:val="18"/>
                <w:u w:val="none"/>
                <w:lang w:val="en-US" w:eastAsia="zh-CN" w:bidi="ar"/>
              </w:rPr>
              <w:t>坟墓（迁移补偿）</w:t>
            </w:r>
          </w:p>
        </w:tc>
        <w:tc>
          <w:tcPr>
            <w:tcW w:w="2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土坯结构无墓碑</w:t>
            </w:r>
          </w:p>
        </w:tc>
        <w:tc>
          <w:tcPr>
            <w:tcW w:w="6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穴</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200</w:t>
            </w:r>
          </w:p>
        </w:tc>
        <w:tc>
          <w:tcPr>
            <w:tcW w:w="17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（1）政府就近安排公益性墓地；</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color w:val="auto"/>
                <w:sz w:val="18"/>
                <w:szCs w:val="18"/>
                <w:lang w:val="en-US"/>
              </w:rPr>
            </w:pPr>
            <w:r>
              <w:rPr>
                <w:rFonts w:hint="eastAsia" w:ascii="仿宋_GB2312" w:hAnsi="仿宋_GB2312" w:eastAsia="仿宋_GB2312" w:cs="仿宋_GB2312"/>
                <w:i w:val="0"/>
                <w:iCs w:val="0"/>
                <w:color w:val="auto"/>
                <w:kern w:val="0"/>
                <w:sz w:val="18"/>
                <w:szCs w:val="18"/>
                <w:u w:val="none"/>
                <w:lang w:val="en-US" w:eastAsia="zh-CN" w:bidi="ar"/>
              </w:rPr>
              <w:t>（2）以上补偿费包括坟墓补偿和捡骨、装运、安放及二次火化等迁移费用；</w:t>
            </w:r>
            <w:r>
              <w:rPr>
                <w:rFonts w:hint="eastAsia" w:ascii="仿宋_GB2312" w:hAnsi="仿宋_GB2312" w:eastAsia="仿宋_GB2312" w:cs="仿宋_GB2312"/>
                <w:b w:val="0"/>
                <w:bCs w:val="0"/>
                <w:i w:val="0"/>
                <w:iCs w:val="0"/>
                <w:color w:val="auto"/>
                <w:kern w:val="0"/>
                <w:sz w:val="18"/>
                <w:szCs w:val="18"/>
                <w:u w:val="none"/>
                <w:lang w:val="en-US" w:eastAsia="zh-CN" w:bidi="ar"/>
              </w:rPr>
              <w:t>（3）以上补偿费不含公墓维护管理费，维护管理费参照相关政策执行。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土坯结构有墓碑</w:t>
            </w:r>
          </w:p>
        </w:tc>
        <w:tc>
          <w:tcPr>
            <w:tcW w:w="6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穴</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500</w:t>
            </w:r>
          </w:p>
        </w:tc>
        <w:tc>
          <w:tcPr>
            <w:tcW w:w="17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砖石结构</w:t>
            </w:r>
          </w:p>
        </w:tc>
        <w:tc>
          <w:tcPr>
            <w:tcW w:w="6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穴</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2000</w:t>
            </w:r>
          </w:p>
        </w:tc>
        <w:tc>
          <w:tcPr>
            <w:tcW w:w="17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4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c>
          <w:tcPr>
            <w:tcW w:w="2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全堂石（花岗岩、红石条、麻石条等）材质结构</w:t>
            </w:r>
          </w:p>
        </w:tc>
        <w:tc>
          <w:tcPr>
            <w:tcW w:w="6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穴</w:t>
            </w: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仿宋_GB2312" w:eastAsia="仿宋_GB2312" w:cs="仿宋_GB2312"/>
                <w:i w:val="0"/>
                <w:iCs w:val="0"/>
                <w:color w:val="auto"/>
                <w:kern w:val="0"/>
                <w:sz w:val="18"/>
                <w:szCs w:val="18"/>
                <w:u w:val="none"/>
                <w:lang w:val="en-US" w:eastAsia="zh-CN" w:bidi="ar"/>
              </w:rPr>
            </w:pPr>
            <w:r>
              <w:rPr>
                <w:rFonts w:hint="eastAsia" w:ascii="仿宋_GB2312" w:hAnsi="仿宋_GB2312" w:eastAsia="仿宋_GB2312" w:cs="仿宋_GB2312"/>
                <w:i w:val="0"/>
                <w:iCs w:val="0"/>
                <w:color w:val="auto"/>
                <w:kern w:val="0"/>
                <w:sz w:val="18"/>
                <w:szCs w:val="18"/>
                <w:u w:val="none"/>
                <w:lang w:val="en-US" w:eastAsia="zh-CN" w:bidi="ar"/>
              </w:rPr>
              <w:t>3600</w:t>
            </w:r>
          </w:p>
        </w:tc>
        <w:tc>
          <w:tcPr>
            <w:tcW w:w="17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_GB2312" w:hAnsi="仿宋_GB2312" w:eastAsia="仿宋_GB2312" w:cs="仿宋_GB2312"/>
                <w:i w:val="0"/>
                <w:iCs w:val="0"/>
                <w:color w:val="auto"/>
                <w:sz w:val="18"/>
                <w:szCs w:val="18"/>
                <w:u w:val="none"/>
              </w:rPr>
            </w:pPr>
          </w:p>
        </w:tc>
      </w:tr>
    </w:tbl>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0"/>
        <w:rPr>
          <w:rFonts w:hint="eastAsia" w:ascii="黑体" w:hAnsi="黑体" w:eastAsia="黑体" w:cs="黑体"/>
          <w:b/>
          <w:bCs/>
          <w:color w:val="000000"/>
          <w:kern w:val="0"/>
          <w:sz w:val="32"/>
          <w:szCs w:val="32"/>
          <w:lang w:val="en-US" w:eastAsia="zh-CN" w:bidi="ar"/>
        </w:rPr>
      </w:pPr>
      <w:r>
        <w:rPr>
          <w:rFonts w:hint="eastAsia" w:ascii="黑体" w:hAnsi="黑体" w:eastAsia="黑体" w:cs="黑体"/>
          <w:b/>
          <w:bCs/>
          <w:color w:val="000000"/>
          <w:kern w:val="0"/>
          <w:sz w:val="32"/>
          <w:szCs w:val="32"/>
          <w:lang w:val="en-US" w:eastAsia="zh-CN" w:bidi="ar"/>
        </w:rPr>
        <w:t>七、成果应用与建议</w:t>
      </w:r>
      <w:bookmarkEnd w:id="26"/>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sz w:val="32"/>
          <w:szCs w:val="32"/>
        </w:rPr>
      </w:pPr>
      <w:bookmarkStart w:id="30" w:name="_Toc14878"/>
      <w:r>
        <w:rPr>
          <w:rFonts w:hint="eastAsia" w:ascii="仿宋_GB2312" w:hAnsi="仿宋_GB2312" w:eastAsia="仿宋_GB2312" w:cs="仿宋_GB2312"/>
          <w:color w:val="000000"/>
          <w:kern w:val="0"/>
          <w:sz w:val="32"/>
          <w:szCs w:val="32"/>
          <w:lang w:val="en-US" w:eastAsia="zh-CN" w:bidi="ar"/>
        </w:rPr>
        <w:t>1、适用范围</w:t>
      </w:r>
      <w:bookmarkEnd w:id="3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该标准适用于征收集体土地过程中，对被征收土地上的地上附着物、青苗进行搬迁补偿标准的确定。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sz w:val="32"/>
          <w:szCs w:val="32"/>
        </w:rPr>
      </w:pPr>
      <w:bookmarkStart w:id="31" w:name="_Toc20410"/>
      <w:r>
        <w:rPr>
          <w:rFonts w:hint="eastAsia" w:ascii="仿宋_GB2312" w:hAnsi="仿宋_GB2312" w:eastAsia="仿宋_GB2312" w:cs="仿宋_GB2312"/>
          <w:color w:val="000000"/>
          <w:kern w:val="0"/>
          <w:sz w:val="32"/>
          <w:szCs w:val="32"/>
          <w:lang w:val="en-US" w:eastAsia="zh-CN" w:bidi="ar"/>
        </w:rPr>
        <w:t>2、特殊情况说明</w:t>
      </w:r>
      <w:bookmarkEnd w:id="31"/>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本报告中确定的地上构筑物、林木、果树补偿标准仅适用于一般情况，针对具有特殊意义的构筑物、名贵树木等，应单独进行评估并进行补偿。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color w:val="000000"/>
          <w:kern w:val="0"/>
          <w:sz w:val="32"/>
          <w:szCs w:val="32"/>
          <w:lang w:val="en-US" w:eastAsia="zh-CN" w:bidi="ar"/>
        </w:rPr>
      </w:pPr>
      <w:bookmarkStart w:id="32" w:name="_Toc15388"/>
      <w:r>
        <w:rPr>
          <w:rFonts w:hint="eastAsia" w:ascii="仿宋_GB2312" w:hAnsi="仿宋_GB2312" w:eastAsia="仿宋_GB2312" w:cs="仿宋_GB2312"/>
          <w:color w:val="000000"/>
          <w:kern w:val="0"/>
          <w:sz w:val="32"/>
          <w:szCs w:val="32"/>
          <w:lang w:val="en-US" w:eastAsia="zh-CN" w:bidi="ar"/>
        </w:rPr>
        <w:t>3、根据《江西省征收土地管理办法》第二十八条规定</w:t>
      </w:r>
      <w:bookmarkEnd w:id="32"/>
    </w:p>
    <w:p>
      <w:pPr>
        <w:keepNext w:val="0"/>
        <w:keepLines w:val="0"/>
        <w:pageBreakBefore w:val="0"/>
        <w:widowControl/>
        <w:numPr>
          <w:ilvl w:val="-1"/>
          <w:numId w:val="0"/>
        </w:numPr>
        <w:tabs>
          <w:tab w:val="right" w:pos="8306"/>
        </w:tabs>
        <w:kinsoku/>
        <w:wordWrap/>
        <w:overflowPunct/>
        <w:topLinePunct w:val="0"/>
        <w:autoSpaceDE/>
        <w:autoSpaceDN/>
        <w:bidi w:val="0"/>
        <w:snapToGrid/>
        <w:spacing w:line="56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对可以移植的成片苗木、花草等多年生经济植物，支付移植费；移植费超过植物价格或者不能移植的，作价收购。植物价格、移植费可以聘请第三方专业评估机构确定。</w:t>
      </w:r>
    </w:p>
    <w:p>
      <w:pPr>
        <w:keepNext w:val="0"/>
        <w:keepLines w:val="0"/>
        <w:pageBreakBefore w:val="0"/>
        <w:widowControl/>
        <w:suppressLineNumbers w:val="0"/>
        <w:tabs>
          <w:tab w:val="right" w:pos="8306"/>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涉及水利、交通运输、电力、通讯基础设施等其他地上附着物的，</w:t>
      </w:r>
      <w:r>
        <w:rPr>
          <w:rFonts w:hint="eastAsia" w:ascii="仿宋_GB2312" w:hAnsi="仿宋_GB2312" w:eastAsia="仿宋_GB2312" w:cs="仿宋_GB2312"/>
          <w:color w:val="000000"/>
          <w:kern w:val="0"/>
          <w:sz w:val="32"/>
          <w:szCs w:val="32"/>
          <w:lang w:val="en-US" w:eastAsia="zh-CN" w:bidi="ar"/>
        </w:rPr>
        <w:t>按照等效替代的原则进行迁移、改建或者支付迁移费、改建费、补偿费等。</w:t>
      </w:r>
    </w:p>
    <w:p>
      <w:pPr>
        <w:keepNext w:val="0"/>
        <w:keepLines w:val="0"/>
        <w:pageBreakBefore w:val="0"/>
        <w:widowControl/>
        <w:suppressLineNumbers w:val="0"/>
        <w:tabs>
          <w:tab w:val="right" w:pos="8306"/>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被征收土地上存在与经济建设和群众生活密切相关的水源、渠道、涵闸、管道和道路等设施的，不得擅自阻断或者损坏；发生阻断或者损坏的，应当及时加以修复或者建设相应的工程设施；造成损失的，应当依法予以赔偿。</w:t>
      </w:r>
    </w:p>
    <w:p>
      <w:pPr>
        <w:keepNext w:val="0"/>
        <w:keepLines w:val="0"/>
        <w:pageBreakBefore w:val="0"/>
        <w:widowControl/>
        <w:suppressLineNumbers w:val="0"/>
        <w:tabs>
          <w:tab w:val="right" w:pos="8306"/>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被征收土地上的坟墓安置，由设区的市、县(市、区)人民政府按照有关法律、法规、规章的规定执行。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outlineLvl w:val="1"/>
        <w:rPr>
          <w:rFonts w:hint="eastAsia" w:ascii="仿宋_GB2312" w:hAnsi="仿宋_GB2312" w:eastAsia="仿宋_GB2312" w:cs="仿宋_GB2312"/>
          <w:sz w:val="32"/>
          <w:szCs w:val="32"/>
        </w:rPr>
      </w:pPr>
      <w:bookmarkStart w:id="33" w:name="_Toc16261"/>
      <w:r>
        <w:rPr>
          <w:rFonts w:hint="eastAsia" w:ascii="仿宋_GB2312" w:hAnsi="仿宋_GB2312" w:eastAsia="仿宋_GB2312" w:cs="仿宋_GB2312"/>
          <w:color w:val="000000"/>
          <w:kern w:val="0"/>
          <w:sz w:val="32"/>
          <w:szCs w:val="32"/>
          <w:lang w:val="en-US" w:eastAsia="zh-CN" w:bidi="ar"/>
        </w:rPr>
        <w:t>4、定期调整地上附着物和青苗补偿标准</w:t>
      </w:r>
      <w:bookmarkEnd w:id="33"/>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60" w:lineRule="exact"/>
        <w:ind w:left="0" w:right="0" w:firstLine="42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根据《江西省征收土地管理办法》第二十四条规定，征收农用地以外的其他土地、农村村民住宅、其他地上附着物和青苗等的补偿标准由省人民政府确定，并至少每三年调整或者重新公布一次。各级人民政府应根据本县经济发展水平、市场行情变化、物价指数等变化情况，及时的对地上附着物和青苗补偿标准进行调整更新，保障农民合法权益，维护社会稳定，促进区域社会经济持续发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0" w:beforeAutospacing="0" w:after="0" w:afterAutospacing="0" w:line="560" w:lineRule="exact"/>
        <w:ind w:left="0" w:right="0" w:firstLine="420"/>
        <w:jc w:val="left"/>
        <w:rPr>
          <w:rFonts w:hint="eastAsia" w:ascii="仿宋_GB2312" w:hAnsi="仿宋_GB2312" w:eastAsia="仿宋_GB2312" w:cs="仿宋_GB2312"/>
          <w:color w:val="000000"/>
          <w:kern w:val="0"/>
          <w:sz w:val="32"/>
          <w:szCs w:val="32"/>
          <w:lang w:val="en-US" w:eastAsia="zh-CN" w:bidi="ar"/>
        </w:rPr>
      </w:pPr>
    </w:p>
    <w:p>
      <w:pPr>
        <w:rPr>
          <w:rFonts w:hint="default" w:ascii="仿宋_GB2312" w:hAnsi="仿宋_GB2312" w:eastAsia="仿宋_GB2312" w:cs="仿宋_GB2312"/>
          <w:color w:val="000000"/>
          <w:kern w:val="0"/>
          <w:sz w:val="32"/>
          <w:szCs w:val="32"/>
          <w:lang w:val="en-US" w:eastAsia="zh-CN" w:bidi="ar"/>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MGJiZTE5NmJmZjMzMDg3ZGQ2ZDkxMGU0MTBmNjEifQ=="/>
  </w:docVars>
  <w:rsids>
    <w:rsidRoot w:val="00000000"/>
    <w:rsid w:val="00380BE9"/>
    <w:rsid w:val="006502CB"/>
    <w:rsid w:val="00E3119B"/>
    <w:rsid w:val="013F4D46"/>
    <w:rsid w:val="01642C16"/>
    <w:rsid w:val="02EE31DC"/>
    <w:rsid w:val="0397607D"/>
    <w:rsid w:val="03F531F0"/>
    <w:rsid w:val="04DB6F4F"/>
    <w:rsid w:val="053E2F29"/>
    <w:rsid w:val="057560A7"/>
    <w:rsid w:val="057F7624"/>
    <w:rsid w:val="05F652DD"/>
    <w:rsid w:val="06626C5E"/>
    <w:rsid w:val="07A36A33"/>
    <w:rsid w:val="09DD4ADE"/>
    <w:rsid w:val="0A083537"/>
    <w:rsid w:val="0A5C592B"/>
    <w:rsid w:val="0B9A33EC"/>
    <w:rsid w:val="0BCA4240"/>
    <w:rsid w:val="0C3261D9"/>
    <w:rsid w:val="0C6923BC"/>
    <w:rsid w:val="0C9121CB"/>
    <w:rsid w:val="0F672951"/>
    <w:rsid w:val="108A1444"/>
    <w:rsid w:val="12D26A15"/>
    <w:rsid w:val="130E1074"/>
    <w:rsid w:val="13F6294C"/>
    <w:rsid w:val="14BA748E"/>
    <w:rsid w:val="15004085"/>
    <w:rsid w:val="168F749C"/>
    <w:rsid w:val="175272D0"/>
    <w:rsid w:val="1B582FC5"/>
    <w:rsid w:val="1BB17A77"/>
    <w:rsid w:val="1BB674C6"/>
    <w:rsid w:val="1D440C9E"/>
    <w:rsid w:val="206016B1"/>
    <w:rsid w:val="20977D70"/>
    <w:rsid w:val="21735CA5"/>
    <w:rsid w:val="22235F69"/>
    <w:rsid w:val="2226060F"/>
    <w:rsid w:val="224B2A46"/>
    <w:rsid w:val="23956D5A"/>
    <w:rsid w:val="23D24851"/>
    <w:rsid w:val="244871F4"/>
    <w:rsid w:val="24FE78B3"/>
    <w:rsid w:val="25D32B19"/>
    <w:rsid w:val="26C22CF2"/>
    <w:rsid w:val="29384957"/>
    <w:rsid w:val="298E19D6"/>
    <w:rsid w:val="29B1497B"/>
    <w:rsid w:val="29EB48A9"/>
    <w:rsid w:val="2A2D5BCF"/>
    <w:rsid w:val="2AF24D9A"/>
    <w:rsid w:val="2B6237DF"/>
    <w:rsid w:val="2B6E5611"/>
    <w:rsid w:val="2CFB664E"/>
    <w:rsid w:val="2FF57743"/>
    <w:rsid w:val="30E87D95"/>
    <w:rsid w:val="30FD7461"/>
    <w:rsid w:val="30FF5BD4"/>
    <w:rsid w:val="31014620"/>
    <w:rsid w:val="315E1AAA"/>
    <w:rsid w:val="329C5588"/>
    <w:rsid w:val="32A45F3D"/>
    <w:rsid w:val="32C77F74"/>
    <w:rsid w:val="34C57AD9"/>
    <w:rsid w:val="35F02813"/>
    <w:rsid w:val="35F91DC2"/>
    <w:rsid w:val="36372C24"/>
    <w:rsid w:val="365A565D"/>
    <w:rsid w:val="3779644E"/>
    <w:rsid w:val="379D140C"/>
    <w:rsid w:val="37A635C9"/>
    <w:rsid w:val="37E8536D"/>
    <w:rsid w:val="386910DF"/>
    <w:rsid w:val="396C5544"/>
    <w:rsid w:val="39C944DB"/>
    <w:rsid w:val="3A445910"/>
    <w:rsid w:val="3A5E28DE"/>
    <w:rsid w:val="3AA67A39"/>
    <w:rsid w:val="3B014FF4"/>
    <w:rsid w:val="3C9C1303"/>
    <w:rsid w:val="3CBF5AEE"/>
    <w:rsid w:val="3D153DE6"/>
    <w:rsid w:val="3FF0539D"/>
    <w:rsid w:val="417E3DFD"/>
    <w:rsid w:val="42A86388"/>
    <w:rsid w:val="43135E2B"/>
    <w:rsid w:val="44013A82"/>
    <w:rsid w:val="44056E19"/>
    <w:rsid w:val="441475D6"/>
    <w:rsid w:val="44790989"/>
    <w:rsid w:val="44E119CD"/>
    <w:rsid w:val="450A4A85"/>
    <w:rsid w:val="451842CE"/>
    <w:rsid w:val="45F75F2C"/>
    <w:rsid w:val="46D520F4"/>
    <w:rsid w:val="47F46BC7"/>
    <w:rsid w:val="480F57AF"/>
    <w:rsid w:val="49A24C81"/>
    <w:rsid w:val="4A317C5F"/>
    <w:rsid w:val="4B6E4EE3"/>
    <w:rsid w:val="4BB067B7"/>
    <w:rsid w:val="4C4A5008"/>
    <w:rsid w:val="4CE45FBA"/>
    <w:rsid w:val="4CE80A83"/>
    <w:rsid w:val="4D940580"/>
    <w:rsid w:val="50813AD3"/>
    <w:rsid w:val="50852582"/>
    <w:rsid w:val="5164091A"/>
    <w:rsid w:val="51A21442"/>
    <w:rsid w:val="5245652E"/>
    <w:rsid w:val="52950FA7"/>
    <w:rsid w:val="52AE2CD8"/>
    <w:rsid w:val="54B07F8D"/>
    <w:rsid w:val="55C83490"/>
    <w:rsid w:val="56521689"/>
    <w:rsid w:val="56B04601"/>
    <w:rsid w:val="57CA16F3"/>
    <w:rsid w:val="590E1762"/>
    <w:rsid w:val="59CF2FF0"/>
    <w:rsid w:val="5B6E0934"/>
    <w:rsid w:val="5B771CA8"/>
    <w:rsid w:val="5D6905CB"/>
    <w:rsid w:val="5D810AA5"/>
    <w:rsid w:val="5DBE0BA9"/>
    <w:rsid w:val="5E6C26D4"/>
    <w:rsid w:val="5EF67620"/>
    <w:rsid w:val="5F6A7154"/>
    <w:rsid w:val="600D7BA4"/>
    <w:rsid w:val="60D128D3"/>
    <w:rsid w:val="6187474F"/>
    <w:rsid w:val="633B2C7C"/>
    <w:rsid w:val="637644DD"/>
    <w:rsid w:val="63FF2724"/>
    <w:rsid w:val="646B7DB9"/>
    <w:rsid w:val="6554084E"/>
    <w:rsid w:val="657666FB"/>
    <w:rsid w:val="66275276"/>
    <w:rsid w:val="66862C89"/>
    <w:rsid w:val="67824C8A"/>
    <w:rsid w:val="6913697F"/>
    <w:rsid w:val="69441891"/>
    <w:rsid w:val="69694A8E"/>
    <w:rsid w:val="69DB32EB"/>
    <w:rsid w:val="6BAF2C82"/>
    <w:rsid w:val="6C4055AC"/>
    <w:rsid w:val="6C9E2FD3"/>
    <w:rsid w:val="6D505D9E"/>
    <w:rsid w:val="6D792DBA"/>
    <w:rsid w:val="6E201C15"/>
    <w:rsid w:val="6EE175F6"/>
    <w:rsid w:val="6F1C0BD3"/>
    <w:rsid w:val="6F775864"/>
    <w:rsid w:val="703D6AAE"/>
    <w:rsid w:val="704D2605"/>
    <w:rsid w:val="70560D4F"/>
    <w:rsid w:val="70D96DFC"/>
    <w:rsid w:val="720338F8"/>
    <w:rsid w:val="73E549DB"/>
    <w:rsid w:val="73F90F3E"/>
    <w:rsid w:val="741765B8"/>
    <w:rsid w:val="751F2194"/>
    <w:rsid w:val="75B74537"/>
    <w:rsid w:val="75FA0295"/>
    <w:rsid w:val="760879A7"/>
    <w:rsid w:val="76320B1C"/>
    <w:rsid w:val="7828750A"/>
    <w:rsid w:val="79087436"/>
    <w:rsid w:val="79184FCA"/>
    <w:rsid w:val="7B283A5B"/>
    <w:rsid w:val="7B9D2AF7"/>
    <w:rsid w:val="7CA03C84"/>
    <w:rsid w:val="7CAD0B17"/>
    <w:rsid w:val="7D2C59D4"/>
    <w:rsid w:val="7E860C41"/>
    <w:rsid w:val="7EA034F5"/>
    <w:rsid w:val="7EBB6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0"/>
    <w:pPr>
      <w:widowControl/>
      <w:jc w:val="left"/>
    </w:pPr>
    <w:rPr>
      <w:rFonts w:ascii="宋体" w:hAnsi="宋体"/>
      <w:color w:val="FF0000"/>
      <w:sz w:val="28"/>
      <w:szCs w:val="28"/>
    </w:rPr>
  </w:style>
  <w:style w:type="paragraph" w:styleId="6">
    <w:name w:val="footer"/>
    <w:basedOn w:val="1"/>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paragraph" w:styleId="10">
    <w:name w:val="Body Text 2"/>
    <w:basedOn w:val="1"/>
    <w:autoRedefine/>
    <w:qFormat/>
    <w:uiPriority w:val="0"/>
    <w:rPr>
      <w:rFonts w:ascii="宋体" w:hAnsi="宋体"/>
      <w:color w:val="FF0000"/>
      <w:sz w:val="24"/>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0"/>
    <w:rPr>
      <w:b/>
    </w:rPr>
  </w:style>
  <w:style w:type="character" w:styleId="16">
    <w:name w:val="page number"/>
    <w:basedOn w:val="14"/>
    <w:autoRedefine/>
    <w:qFormat/>
    <w:uiPriority w:val="0"/>
  </w:style>
  <w:style w:type="character" w:styleId="17">
    <w:name w:val="Hyperlink"/>
    <w:basedOn w:val="14"/>
    <w:autoRedefine/>
    <w:qFormat/>
    <w:uiPriority w:val="0"/>
    <w:rPr>
      <w:color w:val="0000FF"/>
      <w:u w:val="single"/>
    </w:rPr>
  </w:style>
  <w:style w:type="character" w:customStyle="1" w:styleId="18">
    <w:name w:val="font11"/>
    <w:basedOn w:val="14"/>
    <w:autoRedefine/>
    <w:qFormat/>
    <w:uiPriority w:val="0"/>
    <w:rPr>
      <w:rFonts w:hint="eastAsia" w:ascii="宋体" w:hAnsi="宋体" w:eastAsia="宋体" w:cs="宋体"/>
      <w:b/>
      <w:bCs/>
      <w:color w:val="000000"/>
      <w:sz w:val="24"/>
      <w:szCs w:val="24"/>
      <w:u w:val="none"/>
    </w:rPr>
  </w:style>
  <w:style w:type="character" w:customStyle="1" w:styleId="19">
    <w:name w:val="font21"/>
    <w:basedOn w:val="14"/>
    <w:autoRedefine/>
    <w:qFormat/>
    <w:uiPriority w:val="0"/>
    <w:rPr>
      <w:rFonts w:hint="eastAsia" w:ascii="宋体" w:hAnsi="宋体" w:eastAsia="宋体" w:cs="宋体"/>
      <w:color w:val="000000"/>
      <w:sz w:val="22"/>
      <w:szCs w:val="22"/>
      <w:u w:val="none"/>
    </w:rPr>
  </w:style>
  <w:style w:type="character" w:customStyle="1" w:styleId="20">
    <w:name w:val="font01"/>
    <w:basedOn w:val="14"/>
    <w:autoRedefine/>
    <w:qFormat/>
    <w:uiPriority w:val="0"/>
    <w:rPr>
      <w:rFonts w:hint="eastAsia" w:ascii="宋体" w:hAnsi="宋体" w:eastAsia="宋体" w:cs="宋体"/>
      <w:color w:val="000000"/>
      <w:sz w:val="24"/>
      <w:szCs w:val="24"/>
      <w:u w:val="none"/>
    </w:rPr>
  </w:style>
  <w:style w:type="character" w:customStyle="1" w:styleId="21">
    <w:name w:val="font31"/>
    <w:basedOn w:val="14"/>
    <w:autoRedefine/>
    <w:qFormat/>
    <w:uiPriority w:val="0"/>
    <w:rPr>
      <w:rFonts w:hint="eastAsia" w:ascii="宋体" w:hAnsi="宋体" w:eastAsia="宋体" w:cs="宋体"/>
      <w:color w:val="000000"/>
      <w:sz w:val="24"/>
      <w:szCs w:val="24"/>
      <w:u w:val="none"/>
    </w:rPr>
  </w:style>
  <w:style w:type="paragraph" w:customStyle="1" w:styleId="22">
    <w:name w:val="WPSOffice手动目录 1"/>
    <w:autoRedefine/>
    <w:qFormat/>
    <w:uiPriority w:val="0"/>
    <w:pPr>
      <w:ind w:leftChars="0"/>
    </w:pPr>
    <w:rPr>
      <w:rFonts w:ascii="Times New Roman" w:hAnsi="Times New Roman" w:eastAsia="宋体" w:cs="Times New Roman"/>
      <w:sz w:val="20"/>
      <w:szCs w:val="20"/>
    </w:rPr>
  </w:style>
  <w:style w:type="paragraph" w:customStyle="1" w:styleId="23">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7057</Words>
  <Characters>7582</Characters>
  <Lines>0</Lines>
  <Paragraphs>0</Paragraphs>
  <TotalTime>4</TotalTime>
  <ScaleCrop>false</ScaleCrop>
  <LinksUpToDate>false</LinksUpToDate>
  <CharactersWithSpaces>7841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2023-07-07T08:27:00Z</dcterms:created>
  <dc:creator>Administrator</dc:creator>
  <cp:lastModifiedBy>Leo</cp:lastModifiedBy>
  <cp:lastPrinted>2024-01-02T03:24:00Z</cp:lastPrinted>
  <dcterms:modified xsi:type="dcterms:W3CDTF">2024-02-26T06:44:39Z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1800EF3D47564453BD66F9A0A9BAA9FD_13</vt:lpwstr>
  </property>
</Properties>
</file>