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</w:t>
      </w:r>
      <w:r>
        <w:rPr>
          <w:rFonts w:hint="default" w:ascii="Times New Roman" w:hAnsi="Times New Roman" w:eastAsia="华文中宋" w:cs="Times New Roman"/>
          <w:b/>
          <w:bCs/>
          <w:sz w:val="36"/>
          <w:szCs w:val="36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《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兴国县茶园乡集镇单元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详细规划》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征求公众意见稿主要内容</w:t>
      </w:r>
    </w:p>
    <w:p>
      <w:pPr>
        <w:jc w:val="both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</w:p>
    <w:p>
      <w:pPr>
        <w:snapToGrid w:val="0"/>
        <w:spacing w:after="0" w:line="560" w:lineRule="exact"/>
        <w:ind w:firstLine="562" w:firstLineChars="200"/>
        <w:contextualSpacing/>
        <w:jc w:val="both"/>
        <w:rPr>
          <w:rFonts w:hint="eastAsia" w:ascii="仿宋" w:hAnsi="仿宋" w:eastAsia="仿宋" w:cs="仿宋"/>
          <w:bCs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FFFFFF"/>
          <w14:ligatures w14:val="none"/>
        </w:rPr>
        <w:t>一、项目名称：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兴国县茶园乡集镇单元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14:ligatures w14:val="none"/>
        </w:rPr>
        <w:t>详细规划</w:t>
      </w:r>
    </w:p>
    <w:p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sz w:val="28"/>
          <w:szCs w:val="28"/>
          <w14:ligatures w14:val="none"/>
        </w:rPr>
        <w:t>二、法律依据：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《中华人民共和国城乡规划法》（2019年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）、《中华人民共和国环境保护法》（2014年修订）、《中华人民共和国土地管理法》（2019年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《江西省城市规划管理技术导则》（20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2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4版）、《江西省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建设用地指标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》（20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25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版）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《江西省城乡规划条例》（2010年）、《江西省自然资源厅关于做好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城镇开发边界内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详细规划编制管理工作的通知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》《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江西省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城镇开发边界内详细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规划编制技术指南（试行）》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等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。</w:t>
      </w:r>
    </w:p>
    <w:p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黑体" w:hAnsi="黑体" w:eastAsia="黑体" w:cs="黑体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sz w:val="28"/>
          <w:szCs w:val="28"/>
          <w14:ligatures w14:val="none"/>
        </w:rPr>
        <w:t>三、规划主要内容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（1）规划范围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本次规划范围总面积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22.92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公顷，主要位于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茶园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村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全坑村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，东至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110kv变电站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，南至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茶园乡中学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，西北侧均以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龙山河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为界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:lang w:val="en-US" w:eastAsia="zh-CN"/>
          <w14:ligatures w14:val="none"/>
        </w:rPr>
        <w:t>功能定位</w:t>
      </w:r>
    </w:p>
    <w:p>
      <w:pPr>
        <w:spacing w:after="0" w:line="560" w:lineRule="exact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“油茶强乡、生态美乡、旅游活乡、振兴立乡”的旅游型集镇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（2）规划结构</w:t>
      </w:r>
    </w:p>
    <w:p>
      <w:pPr>
        <w:spacing w:before="120" w:after="120"/>
        <w:ind w:firstLine="600"/>
        <w:jc w:val="both"/>
        <w:rPr>
          <w:rFonts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茶园乡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集镇规划形成“一心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一轴一带两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组团”的空间结构形式。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“一心”指：由乡政府及周边其他公共服务设施组成的集镇综合服务中心。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一轴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”指：</w:t>
      </w:r>
      <w:r>
        <w:rPr>
          <w:rFonts w:hint="eastAsia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X460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城乡融合发展轴。</w:t>
      </w:r>
    </w:p>
    <w:p>
      <w:pPr>
        <w:spacing w:after="0" w:line="560" w:lineRule="exact"/>
        <w:ind w:firstLine="560" w:firstLineChars="200"/>
        <w:jc w:val="both"/>
        <w:rPr>
          <w:rFonts w:hint="eastAsia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“</w:t>
      </w:r>
      <w:r>
        <w:rPr>
          <w:rFonts w:hint="default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一带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指：</w:t>
      </w:r>
      <w:r>
        <w:rPr>
          <w:rFonts w:hint="default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沿</w:t>
      </w:r>
      <w:r>
        <w:rPr>
          <w:rFonts w:hint="eastAsia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龙山</w:t>
      </w:r>
      <w:r>
        <w:rPr>
          <w:rFonts w:hint="default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河打造</w:t>
      </w:r>
      <w:r>
        <w:rPr>
          <w:rFonts w:hint="eastAsia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滨河</w:t>
      </w:r>
      <w:r>
        <w:rPr>
          <w:rFonts w:hint="default" w:ascii="Times New Roman" w:hAnsi="Times New Roman" w:eastAsia="仿宋_GB2312" w:cs="Times New Roman"/>
          <w:snapToGrid/>
          <w:kern w:val="2"/>
          <w:sz w:val="28"/>
          <w:szCs w:val="28"/>
          <w:lang w:val="en-US" w:eastAsia="zh-CN"/>
          <w14:ligatures w14:val="standardContextual"/>
        </w:rPr>
        <w:t>景观带。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两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组团”指：综合服务组团、生活居住组团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（3）用地布局</w:t>
      </w:r>
    </w:p>
    <w:p>
      <w:pPr>
        <w:ind w:firstLine="600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统筹生活居住、产业发展、道路交通、基础设施与公共服务设施、防灾减灾等用地功能，合理组织各类用地布局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；统筹设施保留、提质与布局优化，完善全维度服务体系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规划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保留茶园乡人民政府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等行政办公设施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，夯实基层政务管理服务基础；</w:t>
      </w:r>
      <w:r>
        <w:rPr>
          <w:rFonts w:hint="default" w:ascii="仿宋" w:hAnsi="仿宋" w:eastAsia="仿宋" w:cs="仿宋"/>
          <w:sz w:val="28"/>
          <w:szCs w:val="28"/>
          <w:lang w:val="zh-CN" w:eastAsia="zh-CN"/>
          <w14:ligatures w14:val="none"/>
        </w:rPr>
        <w:t>规划结合商住一体设置文化活动站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，</w:t>
      </w:r>
      <w:r>
        <w:rPr>
          <w:rFonts w:hint="default" w:ascii="仿宋" w:hAnsi="仿宋" w:eastAsia="仿宋" w:cs="仿宋"/>
          <w:sz w:val="28"/>
          <w:szCs w:val="28"/>
          <w:lang w:val="zh-CN" w:eastAsia="zh-CN"/>
          <w14:ligatures w14:val="none"/>
        </w:rPr>
        <w:t>包括图书阅览室、影视厅、球类、棋类活动室等活动场地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保留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茶园中学、茶园中心小学、幼儿园等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保障基础教育配套；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结合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广场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与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绿地配建老年休憩、儿童游乐设施，打造便民户外活动空间。保留现状卫生院、卫生所，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规划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对中心卫生院实施提升改造，完善医疗服务配套。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保留现状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农贸市场、商业街区、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加油站、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餐饮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等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商业服务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设施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（4）道路交通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规划集镇形成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“一主两副”的道路骨架。“一主”指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集镇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内部的贯通性东西走向干道，为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X460两副；“两副”集镇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内部的贯通性南北走向干道，为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富强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路、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富兴路</w:t>
      </w: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道路网分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三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个等级建设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：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干路：道路红线宽按12米控制，主要采用一块板形式；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支路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：道路红线宽按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6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-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9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米控制，主要采用一块板形式。</w:t>
      </w:r>
    </w:p>
    <w:p>
      <w:pPr>
        <w:spacing w:after="0" w:line="560" w:lineRule="exact"/>
        <w:ind w:firstLine="560" w:firstLineChars="200"/>
        <w:jc w:val="both"/>
        <w:rPr>
          <w:rFonts w:hint="eastAsia" w:ascii="等线" w:hAnsi="等线" w:eastAsia="等线" w:cs="Times New Roman"/>
          <w:sz w:val="21"/>
          <w14:ligatures w14:val="none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  <w14:ligatures w14:val="none"/>
        </w:rPr>
        <w:t>巷道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：道路红线宽按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14:ligatures w14:val="none"/>
        </w:rPr>
        <w:t>5</w:t>
      </w:r>
      <w:r>
        <w:rPr>
          <w:rFonts w:hint="eastAsia" w:ascii="仿宋" w:hAnsi="仿宋" w:eastAsia="仿宋" w:cs="仿宋"/>
          <w:sz w:val="28"/>
          <w:szCs w:val="28"/>
          <w14:ligatures w14:val="none"/>
        </w:rPr>
        <w:t>-6米控制，主要采用一块板形式</w:t>
      </w:r>
      <w:r>
        <w:rPr>
          <w:rFonts w:hint="eastAsia" w:ascii="仿宋" w:hAnsi="仿宋" w:eastAsia="仿宋" w:cs="仿宋"/>
          <w:sz w:val="28"/>
          <w:szCs w:val="28"/>
          <w:lang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  <w14:ligatures w14:val="none"/>
        </w:rPr>
        <w:t>（5）指标控制</w:t>
      </w:r>
    </w:p>
    <w:p>
      <w:pPr>
        <w:spacing w:after="0" w:line="560" w:lineRule="exact"/>
        <w:ind w:firstLine="560" w:firstLineChars="200"/>
        <w:jc w:val="both"/>
        <w:rPr>
          <w:rFonts w:hint="eastAsia" w:ascii="等线" w:hAnsi="等线" w:eastAsia="等线" w:cs="Times New Roman"/>
          <w:sz w:val="21"/>
          <w14:ligatures w14:val="none"/>
        </w:rPr>
      </w:pPr>
      <w:r>
        <w:rPr>
          <w:rFonts w:hint="eastAsia" w:ascii="仿宋" w:hAnsi="仿宋" w:eastAsia="仿宋" w:cs="仿宋"/>
          <w:sz w:val="28"/>
          <w:szCs w:val="28"/>
          <w14:ligatures w14:val="none"/>
        </w:rPr>
        <w:t>按照规划管理的不同要求，分指令性指标和引导性指标两类，指令性指标包括用地性质、用地面积、开发强度指标、建筑控制指标、交通控制指标；引导性指标包括土地使用兼容性、人口容量、建筑风格、建筑形式、建筑色彩等参照指标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14:ligatures w14:val="none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  <w:r>
        <w:rPr>
          <w:rFonts w:hint="eastAsia" w:ascii="Times New Roman" w:hAnsi="Times New Roman" w:cs="Times New Roman"/>
          <w:color w:val="auto"/>
          <w:lang w:eastAsia="zh-CN"/>
        </w:rPr>
        <w:t>附图1：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土地使用规划</w:t>
      </w:r>
      <w:r>
        <w:rPr>
          <w:rFonts w:hint="eastAsia" w:ascii="Times New Roman" w:hAnsi="Times New Roman" w:cs="Times New Roman"/>
          <w:color w:val="auto"/>
          <w:lang w:eastAsia="zh-CN"/>
        </w:rPr>
        <w:t>图</w:t>
      </w:r>
    </w:p>
    <w:p>
      <w:pP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  <w14:ligatures w14:val="standardContextual"/>
        </w:rPr>
        <w:drawing>
          <wp:inline distT="0" distB="0" distL="114300" distR="114300">
            <wp:extent cx="5262245" cy="3721100"/>
            <wp:effectExtent l="0" t="0" r="14605" b="12700"/>
            <wp:docPr id="3" name="图片 3" descr="土地使用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土地使用规划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  <w14:ligatures w14:val="standardContextual"/>
        </w:rPr>
      </w:pPr>
      <w:r>
        <w:rPr>
          <w:rFonts w:hint="eastAsia" w:ascii="Times New Roman" w:hAnsi="Times New Roman" w:eastAsia="仿宋" w:cs="Times New Roman"/>
          <w:color w:val="auto"/>
          <w:kern w:val="2"/>
          <w:sz w:val="28"/>
          <w:szCs w:val="28"/>
          <w:lang w:val="en-US" w:eastAsia="zh-CN" w:bidi="ar-SA"/>
          <w14:ligatures w14:val="standardContextual"/>
        </w:rPr>
        <w:t>附图2：道路系统规划图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drawing>
          <wp:inline distT="0" distB="0" distL="114300" distR="114300">
            <wp:extent cx="5262245" cy="3721100"/>
            <wp:effectExtent l="0" t="0" r="14605" b="12700"/>
            <wp:docPr id="4" name="图片 4" descr="道路系统规划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道路系统规划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5YzA1ZDliMmY5YWVjZTE2NmVjMTJlZTFjMTk5YjEifQ=="/>
  </w:docVars>
  <w:rsids>
    <w:rsidRoot w:val="00122AA5"/>
    <w:rsid w:val="00122AA5"/>
    <w:rsid w:val="009D1016"/>
    <w:rsid w:val="00BE1FE2"/>
    <w:rsid w:val="00C83B3D"/>
    <w:rsid w:val="034731FD"/>
    <w:rsid w:val="13DE5BD7"/>
    <w:rsid w:val="188824E2"/>
    <w:rsid w:val="208A7DE6"/>
    <w:rsid w:val="2E182F2D"/>
    <w:rsid w:val="35C91E0A"/>
    <w:rsid w:val="40D90045"/>
    <w:rsid w:val="448D5492"/>
    <w:rsid w:val="452B7102"/>
    <w:rsid w:val="510F5597"/>
    <w:rsid w:val="58841F63"/>
    <w:rsid w:val="5CB766BC"/>
    <w:rsid w:val="6FF02365"/>
    <w:rsid w:val="764346F2"/>
    <w:rsid w:val="79A2143E"/>
    <w:rsid w:val="7A7E2CA4"/>
    <w:rsid w:val="7CCE2579"/>
    <w:rsid w:val="7DA8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Hyperlink"/>
    <w:basedOn w:val="16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Unresolved Mention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cf221017-b8dd-4da1-815f-c60d8ef0c3bd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2749EC57</paraID>
      <start>11</start>
      <end>12</end>
      <status>unmodified</status>
      <modifiedWord/>
      <trackRevisions>false</trackRevisions>
    </reviewItem>
    <reviewItem>
      <errorID>298db54e-a9e4-4cdf-ab16-4fad3065946a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34764298</paraID>
      <start>10</start>
      <end>11</end>
      <status>unmodified</status>
      <modifiedWord/>
      <trackRevisions>false</trackRevisions>
    </reviewItem>
    <reviewItem>
      <errorID>e0ee4c1a-a68e-4089-b19d-8fa7d82325f7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2E167C0B</paraID>
      <start>10</start>
      <end>11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eb12a47-1952-4714-bbd8-ee4d57021f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1037</Words>
  <Characters>1079</Characters>
  <Lines>3</Lines>
  <Paragraphs>1</Paragraphs>
  <TotalTime>5</TotalTime>
  <ScaleCrop>false</ScaleCrop>
  <LinksUpToDate>false</LinksUpToDate>
  <CharactersWithSpaces>1080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2025-07-07T08:36:00Z</dcterms:created>
  <dc:creator>万礼 梅</dc:creator>
  <cp:lastModifiedBy>Administrator</cp:lastModifiedBy>
  <dcterms:modified xsi:type="dcterms:W3CDTF">2026-02-12T09:12:51Z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eyJoZGlkIjoiNzhiN2I0YzJjNWNkOGJlMzBmYjgxNDNlMDBiNWQ4MDgiLCJ1c2VySWQiOiIyMDY3NjcxNDcifQ==</vt:lpwstr>
  </property>
  <property fmtid="{D5CDD505-2E9C-101B-9397-08002B2CF9AE}" pid="3" name="KSOProductBuildVer">
    <vt:lpwstr>2052-12.1.0.15712</vt:lpwstr>
  </property>
  <property fmtid="{D5CDD505-2E9C-101B-9397-08002B2CF9AE}" pid="4" name="ICV">
    <vt:lpwstr>15B698A5FB354E188BEBCFC9CDADAC81_13</vt:lpwstr>
  </property>
</Properties>
</file>