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7CF29">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4BC54CE2">
      <w:pPr>
        <w:rPr>
          <w:rFonts w:hint="eastAsia"/>
        </w:rPr>
      </w:pPr>
    </w:p>
    <w:p w14:paraId="2603C9E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pacing w:val="-11"/>
          <w:sz w:val="44"/>
          <w:szCs w:val="44"/>
        </w:rPr>
      </w:pPr>
      <w:bookmarkStart w:id="0" w:name="_GoBack"/>
      <w:r>
        <w:rPr>
          <w:rFonts w:hint="eastAsia" w:ascii="方正小标宋简体" w:hAnsi="方正小标宋简体" w:eastAsia="方正小标宋简体" w:cs="方正小标宋简体"/>
          <w:spacing w:val="-11"/>
          <w:sz w:val="44"/>
          <w:szCs w:val="44"/>
        </w:rPr>
        <w:t>兴国县林业经营收益权质押贷款管理办法（试行）（征求意见稿）</w:t>
      </w:r>
    </w:p>
    <w:bookmarkEnd w:id="0"/>
    <w:p w14:paraId="432872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11"/>
          <w:sz w:val="32"/>
          <w:szCs w:val="32"/>
        </w:rPr>
      </w:pPr>
    </w:p>
    <w:p w14:paraId="5C61C9C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第一章</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rPr>
        <w:t>总则</w:t>
      </w:r>
    </w:p>
    <w:p w14:paraId="1D56CC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1326B3D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第一条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为构建有序且可持续的林业经营收益权质押贷款体系，有效预防和控制信贷过程中的潜在风险，同时促进林业资源的健康发展与循环利用，保障林业经济稳步增长与农户收入持续增加，特此制定本办法。</w:t>
      </w:r>
    </w:p>
    <w:p w14:paraId="46E81F8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本办法所称“林业经营收益权质押贷款”（以下简称“质押贷款”）是指借款人用林下经济、林业碳汇、森林康养、森林旅游等非木质经营和获得补偿及入股、托管、合作收益的权利等经营收益权作为质押担保，向银行机构申请贷款。</w:t>
      </w:r>
    </w:p>
    <w:p w14:paraId="67CDFD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林下经济经营收益权指林业经营主体在林地林下空间开展立体种养、林下产品采集加工等活动，依法获得经济收益的权利，核心是林下生产经营的财产性权益。包括林下种植（中草药、食用菌、农作物）、林下养殖（畜禽、昆虫、水产）的产品销售收入，林下产品初加工（烘干、分拣、包装）增值收益，以及林下经济项目流转、合作经营的分红收益等。</w:t>
      </w:r>
    </w:p>
    <w:p w14:paraId="28B1F9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林业碳汇经营收益权是指基于森林固碳减排功能，经营主体通过培育、管护森林提升碳汇量，进而获得碳汇交易收益或政策补贴的权利，本质是碳汇资源的市场化与政策性收益权。包括碳汇林项目产生的核证碳汇量（CCER等）交易收入，政府发放的碳汇培育补贴、减排激励资金，以及碳汇项目合作开发的分成收益、碳汇资产质押融资产生的衍生收益等。</w:t>
      </w:r>
    </w:p>
    <w:p w14:paraId="766F64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森林康养经营收益权是指依托森林生态环境与养生资源，开展康养服务、健康管理等经营活动，依法获取收益的权利，核心是森林康养服务的提供与对价获取权。包括康养基地的住宿餐饮收入、养生课程（森林冥想、食疗养生）服务费、康复护理服务收费，以及康养项目配套产品（康养食品、文创产品）销售收入、品牌授权收益等。</w:t>
      </w:r>
    </w:p>
    <w:p w14:paraId="0223A5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森林旅游经营收益权是指利用森林景观、自然环境及配套设施，开展旅游观光、休闲度假等经营活动，获得经济收益的权利，重点是旅游服务与相关衍生业务的收益权。包括景区门票收入、旅游专线交通收费、露营地/民宿经营收入，以及旅游配套服务（向导、摄影、户外拓展）收费、旅游文创产品销售收益、景区招商合作分红等。</w:t>
      </w:r>
    </w:p>
    <w:p w14:paraId="73B7C9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第三条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林业经营收益权质押贷款主要用于满足借款人正常经营过程中为耗用或销售而储存的各类存货、季节性物资储备等经营周转性或临时性的资金需求及用于与林业经营活动直接相关的固定资产建设、购置、技术改造等。</w:t>
      </w:r>
    </w:p>
    <w:p w14:paraId="2F53A86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第四条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办理“质押贷款”</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借贷双方应遵循诚信守法、公平公正、自愿协商等原则签订贷款合同和质押合同。银行机构为贷款人/质权人，林业收益权权益人为借款人/出质人。</w:t>
      </w:r>
    </w:p>
    <w:p w14:paraId="4FC6E9D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第五条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林业经营收益权质押贷款合作银行机构为在本县内依法设立的银行机构。</w:t>
      </w:r>
    </w:p>
    <w:p w14:paraId="5A7CEFB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第六条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林业经营收益权质押贷款申请人应当是从事县域林业生产活动，符合银行机构贷款管理相关规定的企业和个人。</w:t>
      </w:r>
    </w:p>
    <w:p w14:paraId="349740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0"/>
          <w:sz w:val="32"/>
          <w:szCs w:val="32"/>
        </w:rPr>
      </w:pPr>
    </w:p>
    <w:p w14:paraId="5F916A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第二章</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rPr>
        <w:t>基本条件</w:t>
      </w:r>
    </w:p>
    <w:p w14:paraId="5FC430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1FAB67B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第七条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“质押贷款”的申请人应具备以下条件：</w:t>
      </w:r>
    </w:p>
    <w:p w14:paraId="5885AF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（一）申请人为具有完全民事行为能力的自然人，年龄需在20周岁（含）至65周岁（含）之间，原则上贷款到期时年龄不得超过65周岁，但对经营稳定、还款能力充足的借款人，经贷款人审慎评估后可适当放宽；</w:t>
      </w:r>
    </w:p>
    <w:p w14:paraId="7BD08E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（二）申请人为经市场监督管理部门（或主管部门）核准依法成立，实行独立核算的企（事）业法人或国家规定可以作为借款人的其他组织机构，经营需满一年；</w:t>
      </w:r>
    </w:p>
    <w:p w14:paraId="088725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（三）具有合法、稳定的收入来源，具备足够偿还贷款本息的能力；</w:t>
      </w:r>
    </w:p>
    <w:p w14:paraId="51AAF9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（四）具有良好信誉和还款意愿，无重大不良信用记录；</w:t>
      </w:r>
    </w:p>
    <w:p w14:paraId="08DE15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（五）借款用途符合政策规定；</w:t>
      </w:r>
    </w:p>
    <w:p w14:paraId="1178B1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（六）具有兴国县人民政府颁发的林业经营收益权证；</w:t>
      </w:r>
    </w:p>
    <w:p w14:paraId="0D99E5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（七）符合行业监管部门和银行金融机构的其他规定</w:t>
      </w:r>
    </w:p>
    <w:p w14:paraId="682D7D3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第八条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借款人申请“质押贷款”要恪守诚实守信原则，存在以下行为的不予办理：</w:t>
      </w:r>
    </w:p>
    <w:p w14:paraId="1B36E1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（一）有骗（套）取银行信用、逃废银行债务或当期信用卡透支仍未归还行为或记录的；</w:t>
      </w:r>
    </w:p>
    <w:p w14:paraId="5906DD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（二）担任或曾经担任有骗（套）取银行信用、逃废银行债务行为企业的主要管理人员，且对企业逃废债务行为负直接责任的；</w:t>
      </w:r>
    </w:p>
    <w:p w14:paraId="795E67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（三）借款申请人有严重逾期行为或记录的，或当前有贷款逾期余额的，被列入反洗钱监控名单、制裁名单、电信诈骗名单等行内风险名单的或洗钱风险等级为“较高风险”及以上等级的客户；</w:t>
      </w:r>
    </w:p>
    <w:p w14:paraId="20A8B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（四）有嗜赌、吸毒等不良行为的；</w:t>
      </w:r>
    </w:p>
    <w:p w14:paraId="0F1996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（五）金融机构、金监部门作出要求的其他条件。</w:t>
      </w:r>
    </w:p>
    <w:p w14:paraId="46AF67D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第九条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申请收益权质押贷款登记的，当事人应当提交下列资料：</w:t>
      </w:r>
    </w:p>
    <w:p w14:paraId="5BD6DA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（一）出质人和质权人共同签字或盖章的收益权质押登记申请表；</w:t>
      </w:r>
    </w:p>
    <w:p w14:paraId="4B7B65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（二）林业经营收益权证书；</w:t>
      </w:r>
    </w:p>
    <w:p w14:paraId="42244F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（三）收益权质押合同；</w:t>
      </w:r>
    </w:p>
    <w:p w14:paraId="752B93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（四）当事人的身份证明复印件或单位营业执照复印件，或当事人签署的相关承诺书；</w:t>
      </w:r>
    </w:p>
    <w:p w14:paraId="39B860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（五）委托代理的，注明委托权限的委托书；</w:t>
      </w:r>
    </w:p>
    <w:p w14:paraId="1B4FB3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（六）收益权经过资产评估的，当事人还应当提交资产评估报告；</w:t>
      </w:r>
    </w:p>
    <w:p w14:paraId="0C2D02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（七）其他需要提供的材料。</w:t>
      </w:r>
    </w:p>
    <w:p w14:paraId="5B65DAF8">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黑体" w:hAnsi="黑体" w:eastAsia="黑体" w:cs="黑体"/>
          <w:spacing w:val="0"/>
          <w:sz w:val="32"/>
          <w:szCs w:val="32"/>
        </w:rPr>
      </w:pPr>
    </w:p>
    <w:p w14:paraId="477FFC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第三章</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rPr>
        <w:t>贷款额度、利率、期限和还款方式</w:t>
      </w:r>
    </w:p>
    <w:p w14:paraId="32169562">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黑体" w:hAnsi="黑体" w:eastAsia="黑体" w:cs="黑体"/>
          <w:spacing w:val="0"/>
          <w:sz w:val="32"/>
          <w:szCs w:val="32"/>
        </w:rPr>
      </w:pPr>
    </w:p>
    <w:p w14:paraId="5718637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贷款额度。林业经营收益权质押贷款额度应在综合考虑借款人/出质人的资信情况、收益权质量等相关因素的基础上，根据借款人实际资金需求和第一还款来源确定，贷款额度原则上不得超过收益权评估价值的70%。</w:t>
      </w:r>
    </w:p>
    <w:p w14:paraId="63BE8D5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第十一条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贷款利率。遵循利率市场化原则，在符合国家有关规定及银行机构定价政策的基础上，可在同期同档次贷款市场报价利率（LPR）基础上给予一定基点优惠，具体由借贷双方协商确定。</w:t>
      </w:r>
    </w:p>
    <w:p w14:paraId="25EFB94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第十二条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贷款期限。林业经营收益权质押贷款期限不得超过借款人/出质人权益兑现期限，且个人业务不超过五年，对公流动资金类业务不超过三年，固定资产类业务不超过五年；权益兑现期限以收益权证书登记为准，如权益兑现期限发生变更，借贷双方可协商调整贷款期限。</w:t>
      </w:r>
    </w:p>
    <w:p w14:paraId="5914CA0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第十三条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还款方式。个人贷款的还款方式可采取按月付息到期一次性还本、等额本息、等额本金、等本等息、不规则还款等方式。对公贷款还款方式应当根据借款人与交易对手的结算方式、贷款期限、整体综合偿债能力、收益权兑现特征及其他担保条件等因素合理确定。1年期以上或大额贷款一般采取分期还款方式，制定分期还款计划，并根据借款人的预期现金流合理确定每期还本付息的金额。</w:t>
      </w:r>
    </w:p>
    <w:p w14:paraId="1D7A84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0"/>
          <w:sz w:val="32"/>
          <w:szCs w:val="32"/>
        </w:rPr>
      </w:pPr>
    </w:p>
    <w:p w14:paraId="44E7DB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第四章</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rPr>
        <w:t>贷款申请和办理程序</w:t>
      </w:r>
    </w:p>
    <w:p w14:paraId="47639E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0850D7C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第十四条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林业经营收益权质押贷款应按照以下程序办理：</w:t>
      </w:r>
    </w:p>
    <w:p w14:paraId="3697602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楷体_GB2312" w:hAnsi="楷体_GB2312" w:eastAsia="楷体_GB2312" w:cs="楷体_GB2312"/>
          <w:b/>
          <w:bCs/>
          <w:spacing w:val="0"/>
          <w:sz w:val="32"/>
          <w:szCs w:val="32"/>
        </w:rPr>
        <w:t>（一）贷款申请。</w:t>
      </w:r>
      <w:r>
        <w:rPr>
          <w:rFonts w:hint="eastAsia" w:ascii="仿宋_GB2312" w:hAnsi="仿宋_GB2312" w:eastAsia="仿宋_GB2312" w:cs="仿宋_GB2312"/>
          <w:spacing w:val="0"/>
          <w:sz w:val="32"/>
          <w:szCs w:val="32"/>
        </w:rPr>
        <w:t>持有县政府颁发的林业经营收益权证的林农及林业经营主体书面提出贷款申请。</w:t>
      </w:r>
    </w:p>
    <w:p w14:paraId="3109875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楷体_GB2312" w:hAnsi="楷体_GB2312" w:eastAsia="楷体_GB2312" w:cs="楷体_GB2312"/>
          <w:b/>
          <w:bCs/>
          <w:spacing w:val="0"/>
          <w:sz w:val="32"/>
          <w:szCs w:val="32"/>
        </w:rPr>
        <w:t>（二）收益权评估。</w:t>
      </w:r>
      <w:r>
        <w:rPr>
          <w:rFonts w:hint="eastAsia" w:ascii="仿宋_GB2312" w:hAnsi="仿宋_GB2312" w:eastAsia="仿宋_GB2312" w:cs="仿宋_GB2312"/>
          <w:spacing w:val="0"/>
          <w:sz w:val="32"/>
          <w:szCs w:val="32"/>
        </w:rPr>
        <w:t>林业经营收益权的评估需结合林业经营周期长、收益不稳定、受自然因素影响大等特点，评估方法以收益法为主，辅以市场法、成本法以及特殊场景评估补充。林业经营收益权价值可采取银行机构内部评估、借款人/出质人和银行机构协商评估、林业局专家库评估，或委托具备资产评估资质的第三方机构评估等。第三方评估机构须拥有独立法人资格，并取得省级以上人民政府有关部门颁发的《资产评估资格证书》或《林业调查规划设计资质证书》，且资质经营范围包含森林资源评估业务；采取银行机构内部评估或与借款人协商评估的必须根据《普惠一县一品种养殖客户操作要点》各品种的单位额度进行，采取林业局专家库评估的按银行机构发布的公告为准，采取第三方机构评估的需出具林业收益权评估报告，评估报告需明确评估目的、评估对象与范围、评估方法与过程以及评估结果等内容。</w:t>
      </w:r>
    </w:p>
    <w:p w14:paraId="760C1F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楷体_GB2312" w:hAnsi="楷体_GB2312" w:eastAsia="楷体_GB2312" w:cs="楷体_GB2312"/>
          <w:b/>
          <w:bCs/>
          <w:spacing w:val="0"/>
          <w:sz w:val="32"/>
          <w:szCs w:val="32"/>
        </w:rPr>
        <w:t>（三）贷款受理与调查。</w:t>
      </w:r>
      <w:r>
        <w:rPr>
          <w:rFonts w:hint="eastAsia" w:ascii="仿宋_GB2312" w:hAnsi="仿宋_GB2312" w:eastAsia="仿宋_GB2312" w:cs="仿宋_GB2312"/>
          <w:spacing w:val="0"/>
          <w:sz w:val="32"/>
          <w:szCs w:val="32"/>
        </w:rPr>
        <w:t>银行机构按照“真人真事真用、自借自用自还”原则，全面、准确、客观掌握客户情况，通过交叉验证方式核实材料真实性，对业务真实性和客户真实性负主责，重点调查第一还款来源，如实披露客户风险；相关审批人员应关注第一还款来源是否能够覆盖银行机构的负债本息，通过借款人经营实体经营情况、财务情况等分析客户还款能力，结合林业经营收益权，进行独立审批。</w:t>
      </w:r>
    </w:p>
    <w:p w14:paraId="288EF67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楷体_GB2312" w:hAnsi="楷体_GB2312" w:eastAsia="楷体_GB2312" w:cs="楷体_GB2312"/>
          <w:b/>
          <w:bCs/>
          <w:spacing w:val="0"/>
          <w:sz w:val="32"/>
          <w:szCs w:val="32"/>
        </w:rPr>
        <w:t>（四）抵押登记。</w:t>
      </w:r>
      <w:r>
        <w:rPr>
          <w:rFonts w:hint="eastAsia" w:ascii="仿宋_GB2312" w:hAnsi="仿宋_GB2312" w:eastAsia="仿宋_GB2312" w:cs="仿宋_GB2312"/>
          <w:spacing w:val="0"/>
          <w:sz w:val="32"/>
          <w:szCs w:val="32"/>
        </w:rPr>
        <w:t>质押双方当事人应共同书面向县林业局申请办理质押登记备案手续，登记经办人对登记内容的真实性、完整性和合法性负责。县林业局必须履行审查职责，对审查通过的申请，在网上予以公示7天，公示无异议的在规定时限内办理登记手续、签注登记信息并发放登记证明，质权自登记时设立；对不符合条件的，书面告知不予登记的理由。</w:t>
      </w:r>
    </w:p>
    <w:p w14:paraId="7F2CF88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楷体_GB2312" w:hAnsi="楷体_GB2312" w:eastAsia="楷体_GB2312" w:cs="楷体_GB2312"/>
          <w:b/>
          <w:bCs/>
          <w:spacing w:val="0"/>
          <w:sz w:val="32"/>
          <w:szCs w:val="32"/>
        </w:rPr>
        <w:t>（五）合同签订与贷款发放。</w:t>
      </w:r>
      <w:r>
        <w:rPr>
          <w:rFonts w:hint="eastAsia" w:ascii="仿宋_GB2312" w:hAnsi="仿宋_GB2312" w:eastAsia="仿宋_GB2312" w:cs="仿宋_GB2312"/>
          <w:spacing w:val="0"/>
          <w:sz w:val="32"/>
          <w:szCs w:val="32"/>
        </w:rPr>
        <w:t>借款人与贷款人双方签订借款合同、出质人与质权人双方签订质押合同，银行机构向借款人发放贷款。</w:t>
      </w:r>
    </w:p>
    <w:p w14:paraId="79AD22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2BF09A5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第五章</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rPr>
        <w:t>质押后管理</w:t>
      </w:r>
    </w:p>
    <w:p w14:paraId="6C8D52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0DDCF1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第十五条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银行机构在发放林业经营收益权质押贷款后，应监控借款人贷后资金用途，关注借款人的经营状况，及时了解收益权价值的市场因素和政策因素，持续评估质押权益价值，采取有效措施防范和控制信贷风险。贷款期间，如遇政策变化或其他因素影响权益价值和质押有效性，需要求借款人追加担保，或采取相关保全措施。</w:t>
      </w:r>
    </w:p>
    <w:p w14:paraId="43986B0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第十六条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在林业经营收益权质押期间，同一质押物不可重复设置质押。采用最高额质押的，在贷款期限内可多笔授信，总额不得超过最高授信金额。</w:t>
      </w:r>
    </w:p>
    <w:p w14:paraId="1F45858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第十七条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质押贷款清偿顺序，优先清偿实现质权的费用（如评估费、诉讼费、保全费、强制执行费等）；其次清偿贷款利息（包括正常利息、逾期利息、复利等合同约定的利息类款项）；最后清偿贷款本金（质押合同约定的借款本金余额）；若清偿后有剩余，返还出质人（林业收益权权利人）；若不足以清偿，债权人可就未受偿部分向债务人追偿。</w:t>
      </w:r>
    </w:p>
    <w:p w14:paraId="5120DC5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第十八条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借款合同约定的还款期限届满，借款人逾期未清偿时，林业部门协助金融机构处置质押的林业收益权（如依法流转、拍卖收益权），不动产登记部门配合办理权属变更相关手续，保障质权实现。</w:t>
      </w:r>
    </w:p>
    <w:p w14:paraId="666D5D6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第十九条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对于林业经营收益权提前兑现的部分，借款人/出质人应将该资金存入还款账户并办理提前还款手续，金融机构须及时办理质押变更手续。</w:t>
      </w:r>
    </w:p>
    <w:p w14:paraId="6DE706F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第二十条</w:t>
      </w:r>
      <w:r>
        <w:rPr>
          <w:rFonts w:hint="eastAsia" w:ascii="仿宋_GB2312" w:hAnsi="仿宋_GB2312" w:eastAsia="仿宋_GB2312" w:cs="仿宋_GB2312"/>
          <w:spacing w:val="0"/>
          <w:sz w:val="32"/>
          <w:szCs w:val="32"/>
        </w:rPr>
        <w:t xml:space="preserve">  严格保护出质人的个人隐私和商业秘密。各方在业务办理、登记公示、风险处置等环节中，对相关信息的使用、共享负有保护责任。</w:t>
      </w:r>
    </w:p>
    <w:p w14:paraId="0D503A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信息披露遵循“最小必要+目的限定”，仅为质押贷款的审核、登记、监管、清偿等目的披露，不得超范围用于其他商业或非必要用途。</w:t>
      </w:r>
    </w:p>
    <w:p w14:paraId="617A4B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披露范围：仅向必要主体披露核心信息——向金融机构披露林权权属证明、收益权评估报告、经营收益明细等贷款审核所需材料；向林业/不动产部门披露质押登记相关的权属、合同信息，不泄露无关隐私。</w:t>
      </w:r>
    </w:p>
    <w:p w14:paraId="3D076D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按法律法规及合同约定留存披露信息，贷款结清或质押关系终止后，及时销毁或匿名化处理相关材料，删除电子存储数据，避免残留</w:t>
      </w:r>
      <w:r>
        <w:rPr>
          <w:rFonts w:hint="eastAsia" w:ascii="仿宋_GB2312" w:hAnsi="仿宋_GB2312" w:eastAsia="仿宋_GB2312" w:cs="仿宋_GB2312"/>
          <w:spacing w:val="0"/>
          <w:sz w:val="32"/>
          <w:szCs w:val="32"/>
          <w:lang w:eastAsia="zh-CN"/>
        </w:rPr>
        <w:t>泄漏</w:t>
      </w:r>
      <w:r>
        <w:rPr>
          <w:rFonts w:hint="eastAsia" w:ascii="仿宋_GB2312" w:hAnsi="仿宋_GB2312" w:eastAsia="仿宋_GB2312" w:cs="仿宋_GB2312"/>
          <w:spacing w:val="0"/>
          <w:sz w:val="32"/>
          <w:szCs w:val="32"/>
        </w:rPr>
        <w:t>风险。</w:t>
      </w:r>
    </w:p>
    <w:p w14:paraId="59ABBCD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spacing w:val="0"/>
          <w:sz w:val="32"/>
          <w:szCs w:val="32"/>
        </w:rPr>
      </w:pPr>
    </w:p>
    <w:p w14:paraId="3687E4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p>
    <w:p w14:paraId="726475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第六章  附则</w:t>
      </w:r>
    </w:p>
    <w:p w14:paraId="01BF45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pacing w:val="0"/>
          <w:sz w:val="32"/>
          <w:szCs w:val="32"/>
        </w:rPr>
      </w:pPr>
    </w:p>
    <w:p w14:paraId="6AC772D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第二十一条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鉴于林业经营易受自然灾害、政策调整等影响，建议鼓励银行机构开发或引入相关的贷款保险产品，建立风险分担机制。</w:t>
      </w:r>
    </w:p>
    <w:p w14:paraId="2E2E9B8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第二十二条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本办法由兴国县林业局、兴国县金融服务中心负责解释。</w:t>
      </w:r>
    </w:p>
    <w:p w14:paraId="191CEC3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第二十三条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本办法自印发之日起试行。试行期限3年，试行期内由林业局定期评估实施效果，以便后续修订完善。</w:t>
      </w:r>
    </w:p>
    <w:sectPr>
      <w:footerReference r:id="rId3" w:type="default"/>
      <w:pgSz w:w="11906" w:h="16838"/>
      <w:pgMar w:top="1701" w:right="1587"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2A67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9348AB4">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9348AB4">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ED75FF"/>
    <w:rsid w:val="04F94BF6"/>
    <w:rsid w:val="1D7C4911"/>
    <w:rsid w:val="1E37264D"/>
    <w:rsid w:val="25D344B3"/>
    <w:rsid w:val="2CC91761"/>
    <w:rsid w:val="3C653E36"/>
    <w:rsid w:val="4A4725C6"/>
    <w:rsid w:val="52ED7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61964f54-1da2-415c-a353-b971c9c08b1b</errorID>
      <errorWord>、等</errorWord>
      <group>L1_Punc</group>
      <groupName>标点问题</groupName>
      <ability>L2_Punc</ability>
      <abilityName>标点符号检查</abilityName>
      <candidateList>
        <item>等</item>
      </candidateList>
      <explain>“及”“和”“等”连词前不宜使用顿号，建议删除（或使用逗号）。</explain>
      <paraID>5914CA0D</paraID>
      <start>44</start>
      <end>46</end>
      <status>unmodified</status>
      <modifiedWord/>
      <trackRevisions>false</trackRevisions>
    </reviewItem>
    <reviewItem>
      <errorID>a2f14abb-58fa-4707-8faa-43796ae2779b</errorID>
      <errorWord>。</errorWord>
      <group>L1_Punc</group>
      <groupName>标点问题</groupName>
      <ability>L2_Punc</ability>
      <abilityName>标点符号检查</abilityName>
      <candidateList>
        <item/>
      </candidateList>
      <explain>标题文本后不使用标点符号。</explain>
      <paraID>3697602B</paraID>
      <start>7</start>
      <end>8</end>
      <status>unmodified</status>
      <modifiedWord/>
      <trackRevisions>false</trackRevisions>
    </reviewItem>
    <reviewItem>
      <errorID>f8ce9294-6075-416e-b737-cdb79ae1948e</errorID>
      <errorWord>。</errorWord>
      <group>L1_Punc</group>
      <groupName>标点问题</groupName>
      <ability>L2_Punc</ability>
      <abilityName>标点符号检查</abilityName>
      <candidateList>
        <item/>
      </candidateList>
      <explain>标题文本后不使用标点符号。</explain>
      <paraID>31098758</paraID>
      <start>8</start>
      <end>9</end>
      <status>unmodified</status>
      <modifiedWord/>
      <trackRevisions>false</trackRevisions>
    </reviewItem>
    <reviewItem>
      <errorID>32614b0c-8ec9-4d5c-8444-bd6deda71790</errorID>
      <errorWord>。</errorWord>
      <group>L1_Punc</group>
      <groupName>标点问题</groupName>
      <ability>L2_Punc</ability>
      <abilityName>标点符号检查</abilityName>
      <candidateList>
        <item/>
      </candidateList>
      <explain>标题文本后不使用标点符号。</explain>
      <paraID>760C1FB0</paraID>
      <start>10</start>
      <end>11</end>
      <status>unmodified</status>
      <modifiedWord/>
      <trackRevisions>false</trackRevisions>
    </reviewItem>
    <reviewItem>
      <errorID>05bf2358-9522-4a79-b2f4-ed26b290a9ff</errorID>
      <errorWord>。</errorWord>
      <group>L1_Punc</group>
      <groupName>标点问题</groupName>
      <ability>L2_Punc</ability>
      <abilityName>标点符号检查</abilityName>
      <candidateList>
        <item/>
      </candidateList>
      <explain>标题文本后不使用标点符号。</explain>
      <paraID>288EF67C</paraID>
      <start>7</start>
      <end>8</end>
      <status>unmodified</status>
      <modifiedWord/>
      <trackRevisions>false</trackRevisions>
    </reviewItem>
    <reviewItem>
      <errorID>949d4656-ff23-423d-877b-968db879100d</errorID>
      <errorWord>。</errorWord>
      <group>L1_Punc</group>
      <groupName>标点问题</groupName>
      <ability>L2_Punc</ability>
      <abilityName>标点符号检查</abilityName>
      <candidateList>
        <item/>
      </candidateList>
      <explain>标题文本后不使用标点符号。</explain>
      <paraID>7F2CF888</paraID>
      <start>12</start>
      <end>13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a4010b-288f-4726-b907-a744ddc79be2}">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2026-01-14T01:35:00Z</dcterms:created>
  <dc:creator> 䉁</dc:creator>
  <cp:lastModifiedBy> 䉁</cp:lastModifiedBy>
  <dcterms:modified xsi:type="dcterms:W3CDTF">2026-01-14T01:57:16Z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0A92778BF3A84C1F9E5AB39F4D255ED5_11</vt:lpwstr>
  </property>
  <property fmtid="{D5CDD505-2E9C-101B-9397-08002B2CF9AE}" pid="4" name="KSOTemplateDocerSaveRecord">
    <vt:lpwstr>eyJoZGlkIjoiOTA2NGRlOTdkYWIxMDgxN2M4ZDBhZDQwZGRjOTg3OTMiLCJ1c2VySWQiOiIxMjk1ODI3MTI3In0=</vt:lpwstr>
  </property>
</Properties>
</file>